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bx-20260630.htm"/>
      <w:bookmarkStart w:id="1" w:name="ksobx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6"/>
        </w:rPr>
      </w:pPr>
      <w:r>
        <w:rPr>
          <w:rFonts w:ascii="Times New Roman" w:hAnsi="Times New Roman"/>
          <w:b/>
          <w:color w:val="000000"/>
          <w:sz w:val="16"/>
        </w:rPr>
        <w:t>Washington, D.C. 20549</w:t>
      </w:r>
    </w:p>
    <w:p>
      <w:pPr>
        <w:pStyle w:val="TextBody"/>
        <w:bidi w:val="0"/>
        <w:spacing w:before="80" w:after="283"/>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Commission File Number 001-43430</w:t>
      </w:r>
    </w:p>
    <w:p>
      <w:pPr>
        <w:pStyle w:val="TextBody"/>
        <w:bidi w:val="0"/>
        <w:spacing w:before="80" w:after="283"/>
        <w:jc w:val="center"/>
        <w:rPr>
          <w:rFonts w:ascii="Times New Roman" w:hAnsi="Times New Roman"/>
          <w:sz w:val="20"/>
        </w:rPr>
      </w:pPr>
      <w:r>
        <w:rPr>
          <w:rFonts w:ascii="Times New Roman" w:hAnsi="Times New Roman"/>
          <w:b/>
          <w:color w:val="000A3C"/>
          <w:sz w:val="32"/>
        </w:rPr>
        <w:t>OBSIDIAN THERAPEUTICS, INC.</w:t>
      </w:r>
      <w:r>
        <w:rPr>
          <w:rFonts w:ascii="Times New Roman" w:hAnsi="Times New Roman"/>
          <w:color w:val="00497F"/>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5098" w:type="dxa"/>
        <w:jc w:val="left"/>
        <w:tblInd w:w="0" w:type="dxa"/>
        <w:tblLayout w:type="fixed"/>
        <w:tblCellMar>
          <w:top w:w="28" w:type="dxa"/>
          <w:left w:w="28" w:type="dxa"/>
          <w:bottom w:w="28" w:type="dxa"/>
          <w:right w:w="28" w:type="dxa"/>
        </w:tblCellMar>
      </w:tblPr>
      <w:tblGrid>
        <w:gridCol w:w="2236"/>
        <w:gridCol w:w="14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42-1977778</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13"/>
        <w:gridCol w:w="6214"/>
        <w:gridCol w:w="978"/>
      </w:tblGrid>
      <w:tr>
        <w:trPr/>
        <w:tc>
          <w:tcPr>
            <w:tcW w:w="3013" w:type="dxa"/>
            <w:tcBorders/>
            <w:vAlign w:val="center"/>
          </w:tcPr>
          <w:p>
            <w:pPr>
              <w:pStyle w:val="TableContents"/>
              <w:bidi w:val="0"/>
              <w:spacing w:before="0" w:after="283"/>
              <w:jc w:val="left"/>
              <w:rPr>
                <w:sz w:val="4"/>
                <w:szCs w:val="4"/>
              </w:rPr>
            </w:pPr>
            <w:r>
              <w:rPr>
                <w:sz w:val="4"/>
                <w:szCs w:val="4"/>
              </w:rPr>
            </w:r>
          </w:p>
        </w:tc>
        <w:tc>
          <w:tcPr>
            <w:tcW w:w="62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1030 Massachusetts Avenue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Cambridge, MA</w:t>
            </w:r>
          </w:p>
        </w:tc>
        <w:tc>
          <w:tcPr>
            <w:tcW w:w="62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02138</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62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(781)</w:t>
            </w:r>
            <w:r>
              <w:rPr>
                <w:rFonts w:ascii="Times New Roman" w:hAnsi="Times New Roman"/>
                <w:color w:val="000000"/>
                <w:sz w:val="20"/>
              </w:rPr>
              <w:t xml:space="preserve"> </w:t>
            </w:r>
            <w:r>
              <w:rPr>
                <w:rFonts w:ascii="Times New Roman" w:hAnsi="Times New Roman"/>
                <w:b/>
                <w:color w:val="000000"/>
                <w:sz w:val="18"/>
              </w:rPr>
              <w:t>806-6245</w:t>
            </w:r>
          </w:p>
        </w:tc>
        <w:tc>
          <w:tcPr>
            <w:tcW w:w="9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(Registrant’s telephone number, including area code)</w:t>
            </w:r>
          </w:p>
        </w:tc>
        <w:tc>
          <w:tcPr>
            <w:tcW w:w="9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Gazelle Parent, Inc.</w:t>
            </w:r>
          </w:p>
          <w:p>
            <w:pPr>
              <w:pStyle w:val="TableContents"/>
              <w:bidi w:val="0"/>
              <w:jc w:val="center"/>
              <w:rPr>
                <w:rFonts w:ascii="Times New Roman" w:hAnsi="Times New Roman"/>
                <w:b/>
                <w:color w:val="000000"/>
                <w:sz w:val="18"/>
              </w:rPr>
            </w:pPr>
            <w:r>
              <w:rPr>
                <w:rFonts w:ascii="Times New Roman" w:hAnsi="Times New Roman"/>
                <w:b/>
                <w:color w:val="000000"/>
                <w:sz w:val="18"/>
              </w:rPr>
              <w:t>1030 Massachusetts Avenue</w:t>
            </w:r>
          </w:p>
          <w:p>
            <w:pPr>
              <w:pStyle w:val="TableContents"/>
              <w:bidi w:val="0"/>
              <w:spacing w:before="0" w:after="283"/>
              <w:jc w:val="center"/>
              <w:rPr>
                <w:rFonts w:ascii="Times New Roman" w:hAnsi="Times New Roman"/>
                <w:sz w:val="20"/>
              </w:rPr>
            </w:pPr>
            <w:r>
              <w:rPr>
                <w:rFonts w:ascii="Times New Roman" w:hAnsi="Times New Roman"/>
                <w:b/>
                <w:color w:val="000000"/>
                <w:sz w:val="18"/>
              </w:rPr>
              <w:t>Cambridge, MA</w:t>
            </w:r>
            <w:r>
              <w:rPr>
                <w:rFonts w:ascii="Times New Roman" w:hAnsi="Times New Roman"/>
                <w:color w:val="000000"/>
                <w:sz w:val="20"/>
              </w:rPr>
              <w:t xml:space="preserve"> </w:t>
            </w:r>
            <w:r>
              <w:rPr>
                <w:rFonts w:ascii="Times New Roman" w:hAnsi="Times New Roman"/>
                <w:b/>
                <w:color w:val="000000"/>
                <w:sz w:val="18"/>
              </w:rPr>
              <w:t>02138</w:t>
            </w:r>
            <w:r>
              <w:rPr>
                <w:rFonts w:ascii="Times New Roman" w:hAnsi="Times New Roman"/>
                <w:color w:val="000000"/>
                <w:sz w:val="20"/>
              </w:rPr>
              <w:t xml:space="preserve"> </w:t>
            </w:r>
            <w:r>
              <w:rPr>
                <w:rFonts w:ascii="Times New Roman" w:hAnsi="Times New Roman"/>
                <w:b/>
                <w:color w:val="000000"/>
                <w:sz w:val="18"/>
              </w:rPr>
              <w:t>(781)</w:t>
            </w:r>
            <w:r>
              <w:rPr>
                <w:rFonts w:ascii="Times New Roman" w:hAnsi="Times New Roman"/>
                <w:color w:val="000000"/>
                <w:sz w:val="20"/>
              </w:rPr>
              <w:t xml:space="preserve"> </w:t>
            </w:r>
            <w:r>
              <w:rPr>
                <w:rFonts w:ascii="Times New Roman" w:hAnsi="Times New Roman"/>
                <w:b/>
                <w:color w:val="000000"/>
                <w:sz w:val="18"/>
              </w:rPr>
              <w:t>806-6245</w:t>
            </w:r>
          </w:p>
        </w:tc>
        <w:tc>
          <w:tcPr>
            <w:tcW w:w="9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tc>
        <w:tc>
          <w:tcPr>
            <w:tcW w:w="97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3211"/>
        <w:gridCol w:w="146"/>
        <w:gridCol w:w="262"/>
        <w:gridCol w:w="810"/>
        <w:gridCol w:w="262"/>
        <w:gridCol w:w="146"/>
        <w:gridCol w:w="207"/>
        <w:gridCol w:w="2837"/>
        <w:gridCol w:w="2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11" w:type="dxa"/>
            <w:tcBorders>
              <w:top w:val="single" w:sz="8"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6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OBX</w:t>
            </w:r>
          </w:p>
        </w:tc>
        <w:tc>
          <w:tcPr>
            <w:tcW w:w="26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837" w:type="dxa"/>
            <w:tcBorders>
              <w:top w:val="single" w:sz="8" w:space="0" w:color="000000"/>
            </w:tcBorders>
            <w:tcMar>
              <w:top w:w="3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Capital Market</w:t>
            </w:r>
          </w:p>
        </w:tc>
        <w:tc>
          <w:tcPr>
            <w:tcW w:w="27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jc w:val="left"/>
        <w:rPr/>
      </w:pPr>
      <w:r>
        <w:rPr/>
        <w:t> </w:t>
      </w:r>
    </w:p>
    <w:tbl>
      <w:tblPr>
        <w:tblW w:w="4414" w:type="dxa"/>
        <w:jc w:val="left"/>
        <w:tblInd w:w="0" w:type="dxa"/>
        <w:tblLayout w:type="fixed"/>
        <w:tblCellMar>
          <w:top w:w="28" w:type="dxa"/>
          <w:left w:w="28" w:type="dxa"/>
          <w:bottom w:w="28" w:type="dxa"/>
          <w:right w:w="28" w:type="dxa"/>
        </w:tblCellMar>
      </w:tblPr>
      <w:tblGrid>
        <w:gridCol w:w="1711"/>
        <w:gridCol w:w="316"/>
        <w:gridCol w:w="202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Securities Exchange Act of 1934). 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6"/>
        </w:rPr>
        <w:t>As of August 10, 2026, there were 61,772,876</w:t>
      </w:r>
      <w:r>
        <w:rPr>
          <w:rFonts w:ascii="Times New Roman" w:hAnsi="Times New Roman"/>
          <w:color w:val="000000"/>
          <w:sz w:val="20"/>
        </w:rPr>
        <w:t xml:space="preserve"> </w:t>
      </w:r>
      <w:r>
        <w:rPr>
          <w:rFonts w:ascii="Times New Roman" w:hAnsi="Times New Roman"/>
          <w:color w:val="000000"/>
          <w:sz w:val="16"/>
        </w:rPr>
        <w:t>outstanding shares of the registrant’s common stock, $0.0001 par value per share.</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The registrant meets the conditions set forth in General Instructions (H)(1)(a) and (b) of Form 10-Q and therefore is filing this form with the reduced disclosure format permitted by Form 10-Q.</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
        <w:gridCol w:w="8929"/>
        <w:gridCol w:w="542"/>
      </w:tblGrid>
      <w:tr>
        <w:trPr/>
        <w:tc>
          <w:tcPr>
            <w:tcW w:w="734" w:type="dxa"/>
            <w:tcBorders/>
            <w:vAlign w:val="center"/>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r>
              <w:rPr/>
              <w:t> </w:t>
            </w:r>
          </w:p>
        </w:tc>
        <w:tc>
          <w:tcPr>
            <w:tcW w:w="542" w:type="dxa"/>
            <w:tcBorders>
              <w:bottom w:val="single" w:sz="4" w:space="0" w:color="000000"/>
            </w:tcBorders>
            <w:tcMar>
              <w:top w:w="0" w:type="dxa"/>
              <w:left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Page</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explanatory_note">
              <w:r>
                <w:rPr>
                  <w:rStyle w:val="InternetLink"/>
                  <w:rFonts w:ascii="Times New Roman" w:hAnsi="Times New Roman"/>
                  <w:color w:val="0000FF"/>
                  <w:sz w:val="20"/>
                  <w:u w:val="single"/>
                </w:rPr>
                <w:t>Explanatory Note.</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i</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FF"/>
                <w:sz w:val="20"/>
                <w:u w:val="single"/>
              </w:rPr>
            </w:pPr>
            <w:r>
              <w:rPr>
                <w:rFonts w:ascii="Times New Roman" w:hAnsi="Times New Roman"/>
                <w:b/>
                <w:color w:val="0000FF"/>
                <w:sz w:val="20"/>
                <w:u w:val="single"/>
              </w:rPr>
              <w:t>PART I - FINANCIAL INFORMATION</w:t>
            </w:r>
          </w:p>
        </w:tc>
        <w:tc>
          <w:tcPr>
            <w:tcW w:w="542"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Item 1.</w:t>
            </w:r>
          </w:p>
        </w:tc>
        <w:tc>
          <w:tcPr>
            <w:tcW w:w="8929"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FF"/>
                <w:sz w:val="20"/>
                <w:u w:val="single"/>
              </w:rPr>
            </w:pPr>
            <w:r>
              <w:rPr>
                <w:rFonts w:ascii="Times New Roman" w:hAnsi="Times New Roman"/>
                <w:color w:val="0000FF"/>
                <w:sz w:val="20"/>
                <w:u w:val="single"/>
              </w:rPr>
              <w:t>Financial Statements (unaudited).</w:t>
            </w:r>
          </w:p>
        </w:tc>
        <w:tc>
          <w:tcPr>
            <w:tcW w:w="542"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consolidated_balance_sheet">
              <w:r>
                <w:rPr>
                  <w:rStyle w:val="InternetLink"/>
                  <w:rFonts w:ascii="Times New Roman" w:hAnsi="Times New Roman"/>
                  <w:color w:val="0000FF"/>
                  <w:sz w:val="20"/>
                  <w:u w:val="single"/>
                </w:rPr>
                <w:t>Condensed Consolidated Balance Sheet at June 30, 2026</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consolidated_statement_of_comp_income">
              <w:r>
                <w:rPr>
                  <w:rStyle w:val="InternetLink"/>
                  <w:rFonts w:ascii="Times New Roman" w:hAnsi="Times New Roman"/>
                  <w:color w:val="0000FF"/>
                  <w:sz w:val="20"/>
                  <w:u w:val="single"/>
                </w:rPr>
                <w:t>Condensed Consolidated Statement of Operations and Comprehensive Income for the period April 10, 2026 (Inception) to June 30, 2026</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2</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consolidated_statement_of_equity">
              <w:r>
                <w:rPr>
                  <w:rStyle w:val="InternetLink"/>
                  <w:rFonts w:ascii="Times New Roman" w:hAnsi="Times New Roman"/>
                  <w:color w:val="0000FF"/>
                  <w:sz w:val="20"/>
                  <w:u w:val="single"/>
                </w:rPr>
                <w:t>Condensed Consolidated Statement of Changes in Shareholder's Equity for the period April 10, 2026 (Inception) to June 30, 2026</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consolidated_statement_of_cash_flows">
              <w:r>
                <w:rPr>
                  <w:rStyle w:val="InternetLink"/>
                  <w:rFonts w:ascii="Times New Roman" w:hAnsi="Times New Roman"/>
                  <w:color w:val="0000FF"/>
                  <w:sz w:val="20"/>
                  <w:u w:val="single"/>
                </w:rPr>
                <w:t>Condensed Consolidated Statement of Cash Flows for the period April 10, 2026 (Inception) to June 30, 2026</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notes_to_consolidated_financial_statem">
              <w:r>
                <w:rPr>
                  <w:rStyle w:val="InternetLink"/>
                  <w:rFonts w:ascii="Times New Roman" w:hAnsi="Times New Roman"/>
                  <w:color w:val="0000FF"/>
                  <w:sz w:val="20"/>
                  <w:u w:val="single"/>
                </w:rPr>
                <w:t>Notes to the Condensed Consolidated Financial Statements.</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Item 2.</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item2_managements_discussion_and_analysi">
              <w:r>
                <w:rPr>
                  <w:rStyle w:val="InternetLink"/>
                  <w:rFonts w:ascii="Times New Roman" w:hAnsi="Times New Roman"/>
                  <w:color w:val="0000FF"/>
                  <w:sz w:val="20"/>
                  <w:u w:val="single"/>
                </w:rPr>
                <w:t>Management’s Discussion and Analysis of Results of Operations and Financial Condition.</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Item 4.</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pPr>
            <w:r>
              <w:rPr/>
              <w:t> </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partii_other_information">
              <w:r>
                <w:rPr>
                  <w:rStyle w:val="InternetLink"/>
                  <w:rFonts w:ascii="Times New Roman" w:hAnsi="Times New Roman"/>
                  <w:b/>
                  <w:color w:val="0000FF"/>
                  <w:sz w:val="20"/>
                  <w:u w:val="single"/>
                </w:rPr>
                <w:t>PART II - OTHER INFORMATION</w:t>
              </w:r>
            </w:hyperlink>
          </w:p>
        </w:tc>
        <w:tc>
          <w:tcPr>
            <w:tcW w:w="542"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Item 1A.</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item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w:t>
            </w:r>
          </w:p>
        </w:tc>
      </w:tr>
      <w:tr>
        <w:trPr/>
        <w:tc>
          <w:tcPr>
            <w:tcW w:w="73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Item 6.</w:t>
            </w:r>
          </w:p>
        </w:tc>
        <w:tc>
          <w:tcPr>
            <w:tcW w:w="8929" w:type="dxa"/>
            <w:tcBorders/>
            <w:tcMar>
              <w:top w:w="0" w:type="dxa"/>
              <w:left w:w="0" w:type="dxa"/>
              <w:bottom w:w="0" w:type="dxa"/>
              <w:right w:w="0" w:type="dxa"/>
            </w:tcMar>
            <w:vAlign w:val="center"/>
          </w:tcPr>
          <w:p>
            <w:pPr>
              <w:pStyle w:val="TableContents"/>
              <w:bidi w:val="0"/>
              <w:spacing w:before="100" w:after="283"/>
              <w:jc w:val="left"/>
              <w:rPr/>
            </w:pPr>
            <w:hyperlink w:anchor="item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 w:name="explanatory_note"/>
      <w:bookmarkEnd w:id="2"/>
      <w:r>
        <w:rPr>
          <w:rFonts w:ascii="Times New Roman" w:hAnsi="Times New Roman"/>
          <w:b/>
          <w:color w:val="000000"/>
          <w:sz w:val="20"/>
        </w:rPr>
        <w:t>EXPLANATORY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3, 2026 (the “Closing Date”), Obsidian Therapeutics, Inc., a Delaware corporation (formerly known as Gazelle Parent, Inc., the “Company”), completed the previously announced merger transactions pursuant to the Agreement and Plan of Merger (the “Merger Agreement”) dated April 14, 2026, by and among the Company, Gazelle Parent, Inc., a Delaware corporation (“Legacy Company”), Galera Therapeutics, Inc., Onyx MergerSub, Inc., a Delaware corporation and a direct, wholly owned subsidiary of Company (“Obsidian Merger Sub”) and Gazelle Merger Subsidiary, Inc., a Delaware corporation and a direct, wholly owned subsidiary of Company (“Galera Merger Sub”). Each of Legacy Company, Obsidian Merger Sub and Galera Merger Sub were formed on April 10, 2026 for purposes of consummating the transactions described in the Merger Agreement. On July 2, 2026, the United States Securities and Exchange Commission (the “SEC”) declared effective the Registration Statement on Form S-4, as amended (the “Registration Statement”),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INC</w:t>
      </w:r>
    </w:p>
    <w:p>
      <w:pPr>
        <w:pStyle w:val="TextBody"/>
        <w:bidi w:val="0"/>
        <w:jc w:val="center"/>
        <w:rPr>
          <w:rFonts w:ascii="Times New Roman" w:hAnsi="Times New Roman"/>
          <w:sz w:val="20"/>
        </w:rPr>
      </w:pPr>
      <w:bookmarkStart w:id="4" w:name="consolidated_balance_sheet"/>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945"/>
        <w:gridCol w:w="546"/>
        <w:gridCol w:w="425"/>
        <w:gridCol w:w="697"/>
        <w:gridCol w:w="592"/>
      </w:tblGrid>
      <w:tr>
        <w:trPr/>
        <w:tc>
          <w:tcPr>
            <w:tcW w:w="79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1,000 shares authorized; 1,000 shares issued and outstanding as of June 30, 2026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shareholder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INC</w:t>
      </w:r>
    </w:p>
    <w:p>
      <w:pPr>
        <w:pStyle w:val="TextBody"/>
        <w:bidi w:val="0"/>
        <w:jc w:val="center"/>
        <w:rPr>
          <w:rFonts w:ascii="Times New Roman" w:hAnsi="Times New Roman"/>
          <w:sz w:val="20"/>
        </w:rPr>
      </w:pPr>
      <w:bookmarkStart w:id="5" w:name="consolidated_statement_of_comp_income"/>
      <w:bookmarkEnd w:id="5"/>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STATEMENT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FOR THE PERIOD FROM APRIL 10, 2026 (INCEPTION) TO JUNE 30, 2026</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p>
      <w:pPr>
        <w:pStyle w:val="TextBody"/>
        <w:bidi w:val="0"/>
        <w:jc w:val="center"/>
        <w:rPr/>
      </w:pPr>
      <w:r>
        <w:rPr/>
        <w:t> </w:t>
      </w:r>
    </w:p>
    <w:tbl>
      <w:tblPr>
        <w:tblW w:w="5803" w:type="dxa"/>
        <w:jc w:val="left"/>
        <w:tblInd w:w="0" w:type="dxa"/>
        <w:tblLayout w:type="fixed"/>
        <w:tblCellMar>
          <w:top w:w="28" w:type="dxa"/>
          <w:left w:w="28" w:type="dxa"/>
          <w:bottom w:w="28" w:type="dxa"/>
          <w:right w:w="28" w:type="dxa"/>
        </w:tblCellMar>
      </w:tblPr>
      <w:tblGrid>
        <w:gridCol w:w="3511"/>
        <w:gridCol w:w="546"/>
        <w:gridCol w:w="437"/>
        <w:gridCol w:w="718"/>
        <w:gridCol w:w="591"/>
      </w:tblGrid>
      <w:tr>
        <w:trPr/>
        <w:tc>
          <w:tcPr>
            <w:tcW w:w="35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INC.</w:t>
      </w:r>
    </w:p>
    <w:p>
      <w:pPr>
        <w:pStyle w:val="TextBody"/>
        <w:bidi w:val="0"/>
        <w:jc w:val="center"/>
        <w:rPr>
          <w:rFonts w:ascii="Times New Roman" w:hAnsi="Times New Roman"/>
          <w:sz w:val="20"/>
        </w:rPr>
      </w:pPr>
      <w:bookmarkStart w:id="6" w:name="consolidated_statement_of_equity"/>
      <w:bookmarkEnd w:id="6"/>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STATEMENT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PERIOD FROM APRIL 10, 2026 (INCEPTION) TO JUNE 30, 2026</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 unaudited)</w:t>
      </w:r>
    </w:p>
    <w:p>
      <w:pPr>
        <w:pStyle w:val="TextBody"/>
        <w:bidi w:val="0"/>
        <w:jc w:val="center"/>
        <w:rPr/>
      </w:pPr>
      <w:r>
        <w:rPr/>
        <w:t> </w:t>
      </w:r>
    </w:p>
    <w:tbl>
      <w:tblPr>
        <w:tblW w:w="8640" w:type="dxa"/>
        <w:jc w:val="left"/>
        <w:tblInd w:w="0" w:type="dxa"/>
        <w:tblLayout w:type="fixed"/>
        <w:tblCellMar>
          <w:top w:w="28" w:type="dxa"/>
          <w:left w:w="28" w:type="dxa"/>
          <w:bottom w:w="28" w:type="dxa"/>
          <w:right w:w="28" w:type="dxa"/>
        </w:tblCellMar>
      </w:tblPr>
      <w:tblGrid>
        <w:gridCol w:w="1796"/>
        <w:gridCol w:w="306"/>
        <w:gridCol w:w="146"/>
        <w:gridCol w:w="436"/>
        <w:gridCol w:w="146"/>
        <w:gridCol w:w="146"/>
        <w:gridCol w:w="196"/>
        <w:gridCol w:w="375"/>
        <w:gridCol w:w="146"/>
        <w:gridCol w:w="146"/>
        <w:gridCol w:w="257"/>
        <w:gridCol w:w="494"/>
        <w:gridCol w:w="146"/>
        <w:gridCol w:w="146"/>
        <w:gridCol w:w="350"/>
        <w:gridCol w:w="671"/>
        <w:gridCol w:w="146"/>
        <w:gridCol w:w="146"/>
        <w:gridCol w:w="299"/>
        <w:gridCol w:w="572"/>
        <w:gridCol w:w="146"/>
        <w:gridCol w:w="146"/>
        <w:gridCol w:w="319"/>
        <w:gridCol w:w="612"/>
        <w:gridCol w:w="351"/>
      </w:tblGrid>
      <w:tr>
        <w:trPr/>
        <w:tc>
          <w:tcPr>
            <w:tcW w:w="17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Balances at April 10,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Issuance of common stock</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loss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Balances at June 30, 2026</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OBSIDIAN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_of_cash_flows"/>
      <w:bookmarkEnd w:id="7"/>
      <w:r>
        <w:rPr>
          <w:rFonts w:ascii="Times New Roman" w:hAnsi="Times New Roman"/>
          <w:b/>
          <w:color w:val="000000"/>
          <w:sz w:val="20"/>
        </w:rPr>
        <w:t>CONDENSED CONSOLIDATED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PERIOD FROM APRIL 10, 2026 (INCEPTION) TO JUNE 30, 2026</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center"/>
        <w:rPr/>
      </w:pPr>
      <w:r>
        <w:rPr/>
        <w:t> </w:t>
      </w:r>
    </w:p>
    <w:tbl>
      <w:tblPr>
        <w:tblW w:w="8643" w:type="dxa"/>
        <w:jc w:val="left"/>
        <w:tblInd w:w="0" w:type="dxa"/>
        <w:tblLayout w:type="fixed"/>
        <w:tblCellMar>
          <w:top w:w="28" w:type="dxa"/>
          <w:left w:w="28" w:type="dxa"/>
          <w:bottom w:w="28" w:type="dxa"/>
          <w:right w:w="28" w:type="dxa"/>
        </w:tblCellMar>
      </w:tblPr>
      <w:tblGrid>
        <w:gridCol w:w="6231"/>
        <w:gridCol w:w="546"/>
        <w:gridCol w:w="483"/>
        <w:gridCol w:w="792"/>
        <w:gridCol w:w="591"/>
      </w:tblGrid>
      <w:tr>
        <w:trPr/>
        <w:tc>
          <w:tcPr>
            <w:tcW w:w="62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at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at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INC. AND SUBSIDIARIES</w:t>
      </w:r>
    </w:p>
    <w:p>
      <w:pPr>
        <w:pStyle w:val="TextBody"/>
        <w:bidi w:val="0"/>
        <w:jc w:val="center"/>
        <w:rPr>
          <w:rFonts w:ascii="Times New Roman" w:hAnsi="Times New Roman"/>
          <w:b/>
          <w:color w:val="000000"/>
          <w:sz w:val="20"/>
        </w:rPr>
      </w:pPr>
      <w:bookmarkStart w:id="8" w:name="notes_to_consolidated_financial_statem"/>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Obsidian Therapeutics, Inc., a Delaware corporation (the “Company”), is a clinical-stage biopharmaceutical company harnessing novel protein-regulation technology to develop engineered tumor infiltrating lymphocyte cell therapies for the treatment of patients with solid tumors. The Company has two wholly-owned direct subsidiaries, Onyx MergerSub, Inc. (“Obsidian Merger Sub”), and Gazelle Merger Subsidiary, Inc. (“Galera Merger Sub”), both of which are Delaware corporations.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 2026, the United States Securities and Exchange Commission (the “SEC”) declared effective the Registration Statement on Form S-4, as amended, of Gazelle Parent, Inc., which was formed on April 10, 2026 for purposes of consummating the transactions described herein (“Legacy Company”) relating to the Agreement and Plan of Merger (the “Merger Agreement”) dated April 14, 2026, by and among Company, Legacy Company, Galera Therapeutics, Inc. (“Legacy Galera”), Obsidian Merger Sub and Galera Merger Sub pursuant to which (a) Obsidian Merger Sub merged with and into the Company, pursuant to the provisions of the General Corporation Law of the State of Delaware, as amended (the “DGCL”), with Obsidian as the surviving entity (the “Obsidian Merger”) and (b) immediately following the Obsidian Merger, the Galera Merger Sub merged with and into Legacy Galera, pursuant to the DGCL, with Legacy Galera as the surviving entity (the “Galera Merger,” and together with the Obsidian Merger, the “Mergers”). Immediately following the completion of the Mergers, Legacy Company was renamed Obsidian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Concurrently with entering into the Merger Agreement, on April 14, 2026, the Company, Legacy Company and Legacy Galera entered into a securities purchase agreement (the “Securities Purchase Agreement”) with certain qualified institutional buyers and/or accredited investors (the “Investors”). Pursuant to the Securities Purchase Agreement, and subject to the terms and conditions therein, the Investors agreed to purchase, and Legacy Galera agreed to issue and sell, immediately prior to the effective time of the Obsidian Merger (the “Obsidian Effective Time”), shares of Legacy Galera’s Series C Non-Voting Convertible Preferred Stock, par value $0.001 per share (“Series C Preferred Stock”), for an aggregate purchase price of $350.0 million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Concurrent PIPE Financing, Legacy Galera, Legacy Company and the investors in the Concurrent PIPE Financing entered into a registration rights agreement (the “Registration Rights Agreement”), pursuant to which, among other things, Company agreed to register for resale certain shares of common stock of Company, par value $0.001 per share (“Company Common Stock”) held by such Investors from time to time, including shares of Company Common Stock issued in the Mergers in exchange for the shares of common stock, par value $0.001 per share, of Legacy Galera (“Legacy Galera Common Stock”) issued in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31, 2026, Legacy Company and Legacy Obsidian entered into a Contingent Value Rights Agreement (the “CVR Agreement”) with Equiniti Trust Company, LLC (the “Rights Agent”), pursuant to which stockholders of Legacy Galera of record as of July 31, 2026 received (1) one contingent value right, each a CVR, for each outstanding share of Legacy Galera Common Stock held by such stockholder on such date, representing the right to receive a pro rata portion of 80% of any potential future net proceeds received by Company or its affiliates from the development, commercialization, licensing, sale or other disposition of the Legacy Product (as defined in the CVR Agreement), or related intellectual property during the five years following the closing and (2) the CVR for each outstanding share of Legacy Galera Common Stock held by such stockholder on such date, representing the right to receive a pro rata portion of 95% of any potential future net proceeds received by Company or its affiliates from the Supportive-Care Product Divestiture (as defined in the CVR Agreement) during the ten years following the closing.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contingent payments under the CVR Agreement, if they become payable, will become payable to the Rights Agent for subsequent distribution to the holders of the CVRs. There can be no assurance that any holders of CVRs will receive payments with respect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 to the contingent payments contemplated by the CVR Agreement is a contractual right only and will not be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us or any of our affiliates. No interest will accrue on any amounts payable in respect of the CVRs.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(“U.S. GAAP”) requires management to make estimates, judgments and assumptions that affect the reported amounts of assets and liabilities and disclosure of contingent assets and liabilities at the date of the financial statements, and the reported amounts of revenues and expenses during the applicable periods presented. Actual results may vary from these estimates under different assumptions or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was formed on April 10, 2026 and at inception was authorized to issue 1,000 shares of common stock, par value $0.001 per share. As part of the formation, the Company issued 1,000 shares of common stock at its par value to Legacy Galera. At June 30, 2026, 1,000 shares of the Company’s common stock were issued and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2_managements_discussion_and_analysi"/>
      <w:bookmarkEnd w:id="9"/>
      <w:r>
        <w:rPr>
          <w:rFonts w:ascii="Times New Roman" w:hAnsi="Times New Roman"/>
          <w:b/>
          <w:color w:val="000000"/>
          <w:sz w:val="20"/>
        </w:rPr>
        <w:t>Item 2. Management’s Discussion and Analysis of Results of Operations and Financial Condition.</w:t>
      </w:r>
    </w:p>
    <w:p>
      <w:pPr>
        <w:pStyle w:val="TextBody"/>
        <w:bidi w:val="0"/>
        <w:spacing w:before="240" w:after="283"/>
        <w:jc w:val="both"/>
        <w:rPr>
          <w:rFonts w:ascii="Times New Roman" w:hAnsi="Times New Roman"/>
          <w:sz w:val="20"/>
        </w:rPr>
      </w:pPr>
      <w:r>
        <w:rPr>
          <w:rFonts w:ascii="Times New Roman" w:hAnsi="Times New Roman"/>
          <w:i/>
          <w:color w:val="000000"/>
          <w:sz w:val="20"/>
        </w:rPr>
        <w:t>Management’s discussion and analysis of the results of operations and financial condition of Obsidian Therapeutics, Inc. should be read in conjunction with the consolidated financial statements and related notes in our Registration Statement on Form S-4, as amended (File No. 333-295249) filed with the SEC.</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 2026, the United States Securities and Exchange Commission (the “SEC”) declared effective the Registration Statement on Form S-4, as amended, of Legacy Company relating to the Agreement and Plan of Merger (the “Merger Agreement”) dated April 14, 2026, by and among the Company, Legacy Company, Galera Therapeutics, Inc. (the “Legacy Galera”), Obsidian Merger Sub and Galera Merger Sub pursuant to which (a) Obsidian Merger Sub merged with and into Company, pursuant to the provisions of the General Corporation Law of the State of Delaware, as amended (the “DGCL”), with Obsidian as the surviving entity (the “Obsidian Merger”) and (b) immediately following the Obsidian Merger, the Galera Merger Sub merged with and into Legacy Galera, pursuant to the DGCL, with Legacy Galera as the surviving entity (the “Galera Merger,” and together with the Obsidian Merger, the “Mergers”).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Concurrently with entering into the Merger Agreement, on April 14, 2026, the Company, Legacy Company and Legacy Galera entered into a securities purchase agreement (the “Securities Purchase Agreement”) with certain qualified institutional buyers and/or accredited investors (the “Investors”). Pursuant to the Securities Purchase Agreement, and subject to the terms and conditions therein, the Investors agreed to purchase, and Legacy Galera agreed to issue and sell, immediately prior to the effective time of the Obsidian Merger (the “Obsidian Effective Time”), shares of Legacy Galera’s Series C Non-Voting Convertible Preferred Stock, par value $0.001 per share (“Series C Preferred Stock”), for an aggregate purchase price of $350.0 million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Concurrent PIPE Financing, Legacy Galera, Legacy Company and the investors in the Concurrent PIPE Financing entered into a registration rights agreement (the “Registration Rights Agreement”), pursuant to which, among other things, Company agreed to register for resale certain shares of common stock of Company, par value $0.001 per share (“Company Common Stock”) held by such Investors from time to time, including shares of Company Common Stock issued in the Mergers in exchange for the shares of common stock, par value $0.001 per share, of Legacy Galera (“Legacy Galera Common Stock”) issued in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31, 2026, Legacy Company and Legacy Obsidian entered into a Contingent Value Rights Agreement (the “CVR Agreement”) with Equiniti Trust Company, LLC (the “Rights Agent”), pursuant to which stockholders of Legacy Galera of record as of July 31, 2026 received (1) one contingent value right, each a CVR, for each outstanding share of Legacy Galera Common Stock held by such stockholder on such date, representing the right to receive a pro rata portion of 80% of any potential future net proceeds received by Company or its affiliates from the development, commercialization, licensing, sale or other disposition of the Legacy Product (as defined in the CVR Agreement), or related intellectual property during the five years following the closing and (2) the CVR for each outstanding share of Legacy Galera Common Stock held by such stockholder on such date, representing the right to receive a pro rata portion of 95% of any potential future net proceeds received by Company or its affiliates from the Supportive-Care Product Divestiture (as defined in the CVR Agreement) during the ten years following the closing.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contingent payments under the CVR Agreement, if they become payable, will become payable to the Rights Agent for subsequent distribution to the holders of the CVRs. There can be no assurance that any holders of CVRs will receive payments with respect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 to the contingent payments contemplated by the CVR Agreement is a contractual right only and will not be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us or any of our affiliates. No interest will accrue on any amounts payable in respect of the CVRs.</w:t>
      </w:r>
    </w:p>
    <w:p>
      <w:pPr>
        <w:pStyle w:val="TextBody"/>
        <w:bidi w:val="0"/>
        <w:spacing w:before="360" w:after="283"/>
        <w:jc w:val="both"/>
        <w:rPr>
          <w:rFonts w:ascii="Times New Roman" w:hAnsi="Times New Roman"/>
          <w:b/>
          <w:color w:val="000000"/>
          <w:sz w:val="20"/>
        </w:rPr>
      </w:pPr>
      <w:bookmarkStart w:id="10" w:name="item4_controls_and_procedures"/>
      <w:bookmarkEnd w:id="10"/>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executive officer and principal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change in our internal control over financial reporting occurred during our last fiscal quarter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PART II - OT</w:t>
      </w:r>
      <w:bookmarkStart w:id="11" w:name="partii_other_information"/>
      <w:bookmarkEnd w:id="11"/>
      <w:r>
        <w:rPr>
          <w:rFonts w:ascii="Times New Roman" w:hAnsi="Times New Roman"/>
          <w:b/>
          <w:color w:val="000000"/>
          <w:sz w:val="20"/>
        </w:rPr>
        <w:t>HER INFORMATION</w:t>
      </w:r>
    </w:p>
    <w:p>
      <w:pPr>
        <w:pStyle w:val="TextBody"/>
        <w:bidi w:val="0"/>
        <w:spacing w:before="120" w:after="283"/>
        <w:jc w:val="both"/>
        <w:rPr>
          <w:rFonts w:ascii="Times New Roman" w:hAnsi="Times New Roman"/>
          <w:b/>
          <w:color w:val="000000"/>
          <w:sz w:val="20"/>
        </w:rPr>
      </w:pPr>
      <w:bookmarkStart w:id="12" w:name="item1a_risk_factors"/>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covered by this report, the Company did not conduct any significant activities other than those related to its formation and the matters contemplated by the Transactions. See “Cautionary Statement Regarding Forward-Looking Statements” and “Risk Factors” in the Company’s Registration Statement on Form S-4 (File No. 333-295249) filed with and declared effective by the Securities and Exchange Commission on July 2, 2026, which is incorporated by reference herein.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3" w:name="item6_exhibits"/>
      <w:bookmarkEnd w:id="1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
        <w:gridCol w:w="146"/>
        <w:gridCol w:w="9387"/>
      </w:tblGrid>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7" w:type="dxa"/>
            <w:tcBorders/>
            <w:vAlign w:val="center"/>
          </w:tcPr>
          <w:p>
            <w:pPr>
              <w:pStyle w:val="TableContents"/>
              <w:bidi w:val="0"/>
              <w:spacing w:before="0" w:after="283"/>
              <w:jc w:val="left"/>
              <w:rPr>
                <w:sz w:val="4"/>
                <w:szCs w:val="4"/>
              </w:rPr>
            </w:pPr>
            <w:r>
              <w:rPr>
                <w:sz w:val="4"/>
                <w:szCs w:val="4"/>
              </w:rPr>
            </w:r>
          </w:p>
        </w:tc>
      </w:tr>
      <w:tr>
        <w:trPr/>
        <w:tc>
          <w:tcPr>
            <w:tcW w:w="818"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9387"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 of Document</w:t>
            </w:r>
          </w:p>
        </w:tc>
      </w:tr>
      <w:tr>
        <w:trPr/>
        <w:tc>
          <w:tcPr>
            <w:tcW w:w="818" w:type="dxa"/>
            <w:gridSpan w:val="2"/>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2.1</w:t>
              </w:r>
            </w:hyperlink>
            <w:r>
              <w:rPr>
                <w:rFonts w:ascii="Times New Roman" w:hAnsi="Times New Roman"/>
                <w:color w:val="000000"/>
                <w:sz w:val="20"/>
              </w:rPr>
              <w:t>+</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Agreement and Plan of Merger, dated as of April 14, 2026, by and among Galera Therapeutics, Inc., Obsidian Therapeutics, Inc., Gazelle Parent, Inc., Onyx MergerSub, Inc. and Gazelle Merger Subsidiary, Inc. (incorporated by reference from Exhibit 2.1 to Gazelle Parent, Inc.’s Registration Statement on Form S-4 (File No. 333-295249) filed with the Securities and Exchange Commission on June 24, 2026).</w:t>
            </w:r>
          </w:p>
        </w:tc>
      </w:tr>
      <w:tr>
        <w:trPr/>
        <w:tc>
          <w:tcPr>
            <w:tcW w:w="818" w:type="dxa"/>
            <w:gridSpan w:val="2"/>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3.1</w:t>
              </w:r>
            </w:hyperlink>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Amended and Restated Certificate of Incorporation of Obsidian Therapeutics, Inc. (incorporated by reference from Exhibit 3.1 to Obsidian Therapeutics, Inc.’s Current Report on Form 8-K (File No. 001-43430) filed with the Securities and Exchange Commission on August 3, 2026).</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Amended and Restated Bylaws of Obsidian Therapeutics, Inc. (incorporated by reference from Exhibit 3.2 to Obsidian Therapeutics, Inc.’s Current Report on Form 8-K (File No. 001-43430) filed with the Securities and Exchange Commission on August 3, 2026).</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10.1</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Securities Purchase Agreement, dated as of April 14, 2026, by and among Gazelle Parent, Inc., Galera Therapeutics, Inc., Obsidian Therapeutics, Inc. and each of the Investors listed on Exhibit A thereto (incorporated by reference from Exhibit 10.1 to Obsidian Therapeutics, Inc.’s Current Report on Form 8-K (File No. 001-43430) filed with the Securities and Exchange Commission on August 3, 2026).</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10.2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Registration Rights Agreement, dated as of April 14, 2026, by and among Parent, Galera Therapeutics, Inc. and each of the Investors signatory thereto (incorporated by reference from Exhibit 10.2 to Obsidian Therapeutics, Inc.’s Current Report on Form 8-K (File No. 001-43430) filed with the Securities and Exchange Commission on August 3, 2026).</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10.3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Form of Lock-Up Agreement (incorporated by reference from Exhibit 10.3 to Obsidian Therapeutics, Inc.’s Current Report on Form 8-K (File No. 001-43430) filed with the Securities and Exchange Commission on August 3, 2026).</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w:anchor="obx-ex31_1.htm">
              <w:r>
                <w:rPr>
                  <w:rStyle w:val="InternetLink"/>
                  <w:rFonts w:ascii="Times New Roman" w:hAnsi="Times New Roman"/>
                  <w:color w:val="0000FF"/>
                  <w:sz w:val="20"/>
                  <w:u w:val="single"/>
                </w:rPr>
                <w:t>31.1</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the principal executive officer of Obsidian Therapeutics, Inc. pursuant to Rule 13a</w:t>
              <w:noBreakHyphen/>
              <w:t>14(a) or 15d</w:t>
              <w:noBreakHyphen/>
              <w:t>14(a), as adopted pursuant to Section 302 of the Sarbanes</w:t>
              <w:noBreakHyphen/>
              <w:t>Oxley Act of 2002.</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w:anchor="obx-ex31_2.htm">
              <w:r>
                <w:rPr>
                  <w:rStyle w:val="InternetLink"/>
                  <w:rFonts w:ascii="Times New Roman" w:hAnsi="Times New Roman"/>
                  <w:color w:val="0000FF"/>
                  <w:sz w:val="20"/>
                  <w:u w:val="single"/>
                </w:rPr>
                <w:t>31.2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the principal financial officer of Obsidian Therapeutics, Inc. pursuant to Rule 13a</w:t>
              <w:noBreakHyphen/>
              <w:t>14(a) or 15d</w:t>
              <w:noBreakHyphen/>
              <w:t>14(a), as adopted pursuant to Section 302 of the Sarbanes</w:t>
              <w:noBreakHyphen/>
              <w:t>Oxley Act of 2002.</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w:anchor="obx-ex31_2.htm">
              <w:r>
                <w:rPr>
                  <w:rStyle w:val="InternetLink"/>
                  <w:rFonts w:ascii="Times New Roman" w:hAnsi="Times New Roman"/>
                  <w:color w:val="0000FF"/>
                  <w:sz w:val="20"/>
                  <w:u w:val="single"/>
                </w:rPr>
                <w:t>32.1</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the principal executive officer of Obsidian Therapeutics, Inc. furnished pursuant to 18 U.S.C. Section 1350, as adopted pursuant to Section 906 of the Sarbanes</w:t>
              <w:noBreakHyphen/>
              <w:t>Oxley Act of 2002.</w:t>
            </w:r>
          </w:p>
        </w:tc>
      </w:tr>
      <w:tr>
        <w:trPr/>
        <w:tc>
          <w:tcPr>
            <w:tcW w:w="672" w:type="dxa"/>
            <w:tcBorders/>
            <w:tcMar>
              <w:top w:w="0" w:type="dxa"/>
              <w:left w:w="0" w:type="dxa"/>
              <w:bottom w:w="0" w:type="dxa"/>
              <w:right w:w="0" w:type="dxa"/>
            </w:tcMar>
            <w:vAlign w:val="center"/>
          </w:tcPr>
          <w:p>
            <w:pPr>
              <w:pStyle w:val="TableContents"/>
              <w:bidi w:val="0"/>
              <w:spacing w:before="0" w:after="283"/>
              <w:jc w:val="both"/>
              <w:rPr/>
            </w:pPr>
            <w:hyperlink w:anchor="obx-ex32_2.htm">
              <w:r>
                <w:rPr>
                  <w:rStyle w:val="InternetLink"/>
                  <w:rFonts w:ascii="Times New Roman" w:hAnsi="Times New Roman"/>
                  <w:color w:val="0000FF"/>
                  <w:sz w:val="20"/>
                  <w:u w:val="single"/>
                </w:rPr>
                <w:t>32.2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the principal financial officer of Obsidian Therapeutics, Inc. furnished pursuant to 18 U.S.C. Section 1350, as adopted pursuant to Section 906 of the Sarbanes</w:t>
              <w:noBreakHyphen/>
              <w:t>Oxley Act of 2002.</w:t>
            </w:r>
          </w:p>
        </w:tc>
      </w:tr>
      <w:tr>
        <w:trPr/>
        <w:tc>
          <w:tcPr>
            <w:tcW w:w="6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 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 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Annexes, schedules and exhibits have been omitted pursuant to Item 601(b)(2) or 601(a)(5), as applicable, of Regulation S-K. The Registrant agrees to furnish supplementally a copy of any omitted attachment to the SEC on a confidential basis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87" w:type="dxa"/>
        <w:jc w:val="left"/>
        <w:tblInd w:w="0" w:type="dxa"/>
        <w:tblLayout w:type="fixed"/>
        <w:tblCellMar>
          <w:top w:w="28" w:type="dxa"/>
          <w:left w:w="28" w:type="dxa"/>
          <w:bottom w:w="28" w:type="dxa"/>
          <w:right w:w="28" w:type="dxa"/>
        </w:tblCellMar>
      </w:tblPr>
      <w:tblGrid>
        <w:gridCol w:w="1951"/>
        <w:gridCol w:w="5836"/>
      </w:tblGrid>
      <w:tr>
        <w:trPr/>
        <w:tc>
          <w:tcPr>
            <w:tcW w:w="195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aps/>
                <w:color w:val="000000"/>
                <w:sz w:val="20"/>
              </w:rPr>
              <w:t>Obsidian Therapeutics</w:t>
            </w:r>
            <w:r>
              <w:rPr>
                <w:rFonts w:ascii="Times New Roman" w:hAnsi="Times New Roman"/>
                <w:b/>
                <w:color w:val="000000"/>
                <w:sz w:val="20"/>
              </w:rPr>
              <w:t>,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583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Madan Jagasia, M.D., M.S.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Madan Jagasia, M.D., M.S.</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 (Principal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583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Julie Feder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Julie Feder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bookmarkStart w:id="14" w:name="obx-ex31_1.htm"/>
      <w:bookmarkStart w:id="15" w:name="ksobxex31_1"/>
      <w:bookmarkEnd w:id="14"/>
      <w:bookmarkEnd w:id="1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Madan Jagasia,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Obsidian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Madan Jagasia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Madan Jagasia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 w:name="obx-ex31_2.htm"/>
      <w:bookmarkStart w:id="17" w:name="ksobxex31_2"/>
      <w:bookmarkEnd w:id="16"/>
      <w:bookmarkEnd w:id="1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Julie Feder,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Obsidian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6374" w:type="dxa"/>
        <w:jc w:val="left"/>
        <w:tblInd w:w="0" w:type="dxa"/>
        <w:tblLayout w:type="fixed"/>
        <w:tblCellMar>
          <w:top w:w="28" w:type="dxa"/>
          <w:left w:w="28" w:type="dxa"/>
          <w:bottom w:w="28" w:type="dxa"/>
          <w:right w:w="28" w:type="dxa"/>
        </w:tblCellMar>
      </w:tblPr>
      <w:tblGrid>
        <w:gridCol w:w="1951"/>
        <w:gridCol w:w="146"/>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Julie Feder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Julie Feder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obx-ex32_1.htm"/>
      <w:bookmarkStart w:id="19" w:name="ksobxex32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Obsidian Therapeutics, Inc. (the “Company”) on Form 10-Q for the period ending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(15 U.S.C. 78m or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Madan Jagasia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Madan Jagasia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obx-ex32_2.htm"/>
      <w:bookmarkStart w:id="21" w:name="ksobxex32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Obsidian Therapeutics, Inc. (the “Company”) on Form 10-Q for the period ending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(15 U.S.C. 78m or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1951"/>
        <w:gridCol w:w="146"/>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Julie Feder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Julie Feder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30606/000119312526281076/d117787dex21.htm" TargetMode="External"/><Relationship Id="rId3" Type="http://schemas.openxmlformats.org/officeDocument/2006/relationships/hyperlink" Target="https://www.sec.gov/Archives/edgar/data/2130606/000119312526330810/d309963dex31.htm" TargetMode="External"/><Relationship Id="rId4" Type="http://schemas.openxmlformats.org/officeDocument/2006/relationships/hyperlink" Target="https://www.sec.gov/Archives/edgar/data/2130606/000119312526330810/d309963dex32.htm" TargetMode="External"/><Relationship Id="rId5" Type="http://schemas.openxmlformats.org/officeDocument/2006/relationships/hyperlink" Target="https://www.sec.gov/Archives/edgar/data/2130606/000119312526330810/d309963dex101.htm" TargetMode="External"/><Relationship Id="rId6" Type="http://schemas.openxmlformats.org/officeDocument/2006/relationships/hyperlink" Target="https://www.sec.gov/Archives/edgar/data/2130606/000119312526330810/d309963dex102.htm" TargetMode="External"/><Relationship Id="rId7" Type="http://schemas.openxmlformats.org/officeDocument/2006/relationships/hyperlink" Target="https://www.sec.gov/Archives/edgar/data/2130606/000119312526330810/d309963dex10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4828</Words>
  <Characters>26977</Characters>
  <CharactersWithSpaces>31785</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