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9963d8k.htm"/>
      <w:bookmarkStart w:id="1" w:name="ksd3099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w:t>
      </w:r>
      <w:bookmarkStart w:id="2" w:name="Fact_1"/>
      <w:bookmarkEnd w:id="2"/>
      <w:r>
        <w:rPr>
          <w:rFonts w:ascii="Times New Roman" w:hAnsi="Times New Roman"/>
          <w:b/>
          <w:sz w:val="24"/>
        </w:rPr>
        <w:t>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OBSIDIAN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42-1977778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4610"/>
        <w:gridCol w:w="60"/>
        <w:gridCol w:w="1145"/>
      </w:tblGrid>
      <w:tr>
        <w:trPr/>
        <w:tc>
          <w:tcPr>
            <w:tcW w:w="4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center"/>
              <w:rPr>
                <w:b/>
              </w:rPr>
            </w:pPr>
            <w:r>
              <w:rPr>
                <w:b/>
              </w:rPr>
              <w:t>1030 Massachusetts Avenue, Cambridge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02138</w:t>
            </w:r>
          </w:p>
        </w:tc>
      </w:tr>
      <w:tr>
        <w:trPr/>
        <w:tc>
          <w:tcPr>
            <w:tcW w:w="461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(781) 806-6245</w:t>
      </w:r>
    </w:p>
    <w:p>
      <w:pPr>
        <w:pStyle w:val="TextBody"/>
        <w:bidi w:val="0"/>
        <w:spacing w:before="160" w:after="0"/>
        <w:jc w:val="center"/>
        <w:rPr>
          <w:rFonts w:ascii="Times New Roman" w:hAnsi="Times New Roman"/>
          <w:b/>
          <w:sz w:val="20"/>
        </w:rPr>
      </w:pPr>
      <w:r>
        <w:rPr>
          <w:rFonts w:ascii="Times New Roman" w:hAnsi="Times New Roman"/>
          <w:b/>
          <w:sz w:val="20"/>
        </w:rPr>
        <w:t>Gazelle Parent, Inc.</w:t>
      </w:r>
    </w:p>
    <w:p>
      <w:pPr>
        <w:pStyle w:val="TextBody"/>
        <w:bidi w:val="0"/>
        <w:spacing w:before="0" w:after="0"/>
        <w:jc w:val="center"/>
        <w:rPr>
          <w:rFonts w:ascii="Times New Roman" w:hAnsi="Times New Roman"/>
          <w:b/>
          <w:sz w:val="20"/>
        </w:rPr>
      </w:pPr>
      <w:r>
        <w:rPr>
          <w:rFonts w:ascii="Times New Roman" w:hAnsi="Times New Roman"/>
          <w:b/>
          <w:sz w:val="20"/>
        </w:rPr>
        <w:t>1030 Massachusetts Avenue</w:t>
      </w:r>
    </w:p>
    <w:p>
      <w:pPr>
        <w:pStyle w:val="TextBody"/>
        <w:bidi w:val="0"/>
        <w:spacing w:before="0" w:after="0"/>
        <w:jc w:val="center"/>
        <w:rPr>
          <w:rFonts w:ascii="Times New Roman" w:hAnsi="Times New Roman"/>
          <w:b/>
          <w:sz w:val="20"/>
        </w:rPr>
      </w:pPr>
      <w:r>
        <w:rPr>
          <w:rFonts w:ascii="Times New Roman" w:hAnsi="Times New Roman"/>
          <w:b/>
          <w:sz w:val="20"/>
        </w:rPr>
        <w:t>Cambridge, MA 02138</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4100"/>
        <w:gridCol w:w="60"/>
        <w:gridCol w:w="740"/>
        <w:gridCol w:w="60"/>
        <w:gridCol w:w="266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OBX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 xml:space="preserve">The </w:t>
            </w:r>
            <w:bookmarkStart w:id="3" w:name="Fact_19"/>
            <w:bookmarkEnd w:id="3"/>
            <w:r>
              <w:rPr/>
              <w:t>Nasdaq Capital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(the “Closing Date”), Obsidian Therapeutics, Inc., a Delaware corporation (formerly known as Gazelle Parent, Inc.) (the “Parent”), completed the previously announced Mergers (as defined below) pursuant to the Agreement and Plan of Merger (the “Merger Agreement”) dated April 14, 2026, by and among Parent, Obsidian Therapeutics Sub, Inc. (formerly known as Obsidian Therapeutics, Inc.), a Delaware corporation (“Legacy Obsidian”), Onyx MergerSub, Inc., a Delaware corporation and a direct, wholly owned subsidiary of Parent (“Obsidian Merger Sub”) Galera Therapeutics, Inc. (“Legacy Galera”) and Gazelle Merger Subsidiary, Inc., a Delaware corporation and a direct, wholly owned subsidiary of Parent (“Galera Merger Sub”). On the Closing Date, pursuant to the Merger Agreement and on the terms and conditions set forth therein, (a) Obsidian Merger Sub merged with and into Legacy Obsidian, pursuant to the provisions of the General Corporation Law of the State of Delaware, as amended (the “DGCL”), with Legacy Obsidian as the surviving entity (the “Obsidian Merger”) and (b) immediately following the Obsidian Merger, Galera Merger Sub merged with and into Legacy Galera pursuant to the DGCL, with Legacy Galera as the surviving entity (the “Galera Merger”, and together with the Obsidian Merger,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descriptions below, “Legacy Obsidian” refers to Obsidian Therapeutics, Inc., a Delaware corporation, prior to the consummation of the Obsidian Merger and a current wholly owned subsidiary of Parent; “Parent” refers to Obsidian Therapeutics, Inc., a Delaware corporation, following the consummation of the Obsidian Merger; “Legacy Parent” refers to Gazelle Parent, Inc., a Delaware corporation, prior to the consummation of the Mergers; and “Legacy Galera” refers to Galera Therapeutics, Inc., a Delaware corporation, prior to the consummation of the Galera Merger and a current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All defined terms used in this Current Report on Form 8-K that are not otherwise defined herein have the meanings ascribed to such terms in the Merger Agreement.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result of the consummation of the Mergers (as defined in Item 2.01 of this Current Report on Form 8-K), the following agreements of our wholly owned subsidiaries, Obsidian Therapeutics Sub, Inc. (formerly known as Obsidian Therapeutics, Inc.) and Galera Therapeutics, Inc., a Delaware corporation (formerly known as Gazelle Merger Subsidiary, Inc.), effectively became our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on April 14, 2026, Legacy Parent and Legacy Galera entered into a securities purchase agreement (the “Securities Purchase Agreement”) with certain qualified institutional buyers and/or accredited investors (the “Investors”). Pursuant to the Securities Purchase Agreement, and subject to the terms and conditions therein, the Investors agreed to purchase, and Legacy Galera agreed to issue and sell, immediately prior to the effective time of the Obsidian Merger (the “Obsidian Effective Time”), shares of Legacy Galera’s Series C Non-Voting Convertible Preferred Stock, par value $0.001 per share (“Series C Preferred Stock”), for an aggregate purchase price of $350.0 million (the “Concurrent PIPE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such agreement, a copy of which is filed hereto as Exhibit 10.1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Concurrent PIPE Financing, Legacy Galera, Legacy Parent and the investors in the Concurrent PIPE Financing entered into a registration rights agreement (the “Registration Rights Agreement”), pursuant to which, among other things, Parent agreed to register for resale certain shares of common stock of Parent, par value $0.001 per share (“Parent Common Stock”) held by such Investors from time to time, including shares of Parent Common Stock issued in the Mergers in exchange for the shares of common stock, par value $0.001 per share, of Legacy Galera (“Legacy Galera Common Stock”) issued in the Concurrent PIPE Financing.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Registration Rights Agreement, Parent is obligated to prepare and file a shelf registration statement covering the resale of covered shares of Parent Common Stock within thirty (30) calendar days following the closing of the Mergers, subject to certain exceptions, pursuant to Rule 415 of the Securities Act of 1933, as amended (“Securities Act”). Parent also agreed to use reasonable best efforts to keep such registration statement continuously effective under the Securities Act until the earlier of the date that all registrable securities covered by such registration statement (a) have been declared effective by the SEC or (b) may be sold without volume or manner-of-sale restrictions pursuant to Rule 144 and without the requirement for us to be in compliance with the current public information requirement under Rule 144. The Registration Rights Agreement also provides that we will pay certain expenses of the securityholders and indemnify the applicable securityholders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Registration Rights Agreement does not purport to be complete and is qualified in its entirety by the full text of such agreement, a copy of which is filed hereto as Exhibit 10.2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2026, in connection with the consummation of the Mergers, Legacy Parent and Legacy Obsidian entered into a Contingent Value Rights Agreement (the “CVR Agreement”) with Equiniti Trust Company, LLC (the “Rights Agent”), pursuant to which stockholders of Legacy Galera of record as of July 31, 2026 will receive (1) one contingent value right, (each a “CVR”), for each outstanding share of Legacy Galera Common Stock held by such stockholder on such date, representing the right to receive a pro rata portion of 80% of any potential future net proceeds received by Parent or its affiliates from the development, commercialization, licensing, sale or other disposition of the Legacy Product (as defined in the CVR Agreement), or related intellectual property during the five years following the closing and (2) one CVR for each outstanding share of Legacy Galera Common Stock held by such stockholder on such date, representing the right to receive a pro rata portion of 95% of any potential future net proceeds received by Parent or its affiliates from the Supportive-Care Product Divestiture (as defined in the CVR Agreement) during the ten years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holders of the CVRs. There can be no assurance that any holders of CVRs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will not be transferable, except in the limited circumstances specified in the CVR Agreement. The CVRs will not be evidenced by a certificate or any other instrument and are not registered with the U.S. Securities and Exchange Commission (the “SEC”). The CVRs will not have any voting or dividend rights and will not represent any equity or ownership interest in us or any of our affiliates. No interest will accrue on any amounts payable in respect of the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the full text of the CVR Agreement, a copy of which is filed hereto as Exhibit 10.4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Mergers, Parent entered into lock-up agreements with certain stockholders, directors and executive officers of Legacy Obsidian, including Madan Jagasia, Peter Barrett, Maria Fardis, Julie Feder, Heidi Hagen, Robert Ross, Matthew Norkunas, Parameswaran Hari and Dana Alexander, which restrict transfer of their shares (other than any shares acquired in the Concurrent PIPE Financing) for a period of 180 days following the Closing Date of the Mergers, subject to certain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filed hereto as Exhibit 10.3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Mergers, on August 3, 2026, Parent entered into indemnification agreements with each director and executive officer of Legacy Parent that provide for indemnification of certain expenses (including attorneys’ fees), judgments, fines, settlement amounts and costs reasonably incurred in any action or proceeding arising from each individual’s service as an officer or status as a director of our company, as applicable,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indemnification agreements is qualified in its entirety by the full text of the forms of indemnification agreement, which are filed hereto as Exhibits 10.5 and 10.6 and incorporated herein by reference.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1025"/>
        <w:gridCol w:w="4325"/>
      </w:tblGrid>
      <w:tr>
        <w:trPr/>
        <w:tc>
          <w:tcPr>
            <w:tcW w:w="102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Explanatory Note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Parent is a clinical-stage biopharmaceutical company harnessing novel protein-regulation technology to develop engineered tumor-infiltrating lymphocyte cell therapies. Effective at 8:30 a.m. eastern time on August 3, 2026, the parties to the Merger Agreement consummated the Mergers, and effective at 4:39 p.m. eastern time on July 31, 2026, our company changed its name from “Gazelle Parent, Inc.” to “Obsidian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and subject to the conditions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Obsidian Effective Time, following the conversion into Legacy Obsidian Common Stock (as defined below) of Legacy Obsidian’s preferred stock, as well as certain outstanding Banc of California warrants, each then-outstanding share of common stock of Legacy Obsidian (the “Legacy Obsidian Common Stock”) (excluding Legacy Obsidian Common Stock held by stockholders who have exercised and perfected appraisal rights for such shares) converted into the right to receive a number of shares of Parent Common Stock calculated in accordance with the Merger Agreement, in each case, based on an exchange ratio of 0.1383 (the “Obsidian Exchange Ratio”). Each then-outstanding option to purchase shares of Legacy Obsidian Common Stock was assumed by Parent and converted into an option to acquire shares of Parent Common Stock on the same terms and conditions, with the number of shares and exercise price adjusted to reflect the Obsidian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Obsidian Effective Time, at the effective time of the Galera Merger (the “Galera Effective Time”) and following the conversion into Legacy Galera Common Stock of Legacy Galera’s Series C Preferred Stock issued in connection with the Concurrent PIPE Financing, each then-outstanding share of Legacy Galera Common Stock (excluding any shares of Legacy Galera Common Stock held by stockholders who have exercised and perfected appraisal rights for such shares) converted into the right to receive a number of shares of the Parent Common Stock calculated in accordance with the Merger Agreement, in each case, based on an exchange ratio of 0.7019 (the “Galera Exchange Ratio”). Each then-outstanding option and pre-funded warrant to purchase shares of Legacy Galera Common Stock with an exercise price per share less than the closing trading price of a share of Legacy Galera Common Stock, on the last full trading day on which the Legacy Galera Common Stock was traded prior to the date on which the Galera Effective Time occurred converted into shares of Parent Common Stock, on a “net exercise” basis and subject to adjustment as set forth in the Merger Agreement. Each outstanding option to purchase shares of Galera Common Stock with an exercise price equal to or greater than such closing trading price was cancelled for no consideration;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Galera Effective Time, each outstanding pre-funded warrant to purchase shares of Galera Common Stock was exercised in accordance with its terms and the resulting shares of Galera Common Stock were converted into the right to receive shares of Parent Common Stock based on the Galera Exchange Ratio. Outstanding Galera Terminable Warrants were terminated in accordance with their terms. Outstanding Galera Exchangeable Warrants remained outstanding and became warrants exercisable for shares of Parent Common Stock pursuant to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Mergers are intended to qualify for federal income tax purposes as a tax-free reorganization under the provisions of Section 368(a)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Mergers, we issued an aggregate of approximately (i) 31,831,595 shares of Parent Common Stock to Legacy Obsidian securityholders, (ii) 730,057 shares of Parent Common Stock to Legacy Galera securityholders, and (iii) 29,165,559 shares of Parent Common Stock to investors in the Concurrent PIPE Financing, resulting in approximately 61,727,211 shares of Parent Common Stock being issued and outstanding immediately following the effective time of the Mergers.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Obsidian Exchange Ratio and Galera Exchange Ratio formulas in the Merger Agreement, immediately following the effective time of the Mergers, the (i) Legacy Obsidian securityholders owned approximately 51.6% of the outstanding shares of the combined company’s common stock, (ii) Legacy Galera securityholders owned approximately 1.2% of the outstanding shares of the combined company’s common stock and (iii) investors in the Concurrent PIPE Financing owned approximately 47.2%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closing of the Mergers, we assumed the Legacy Obsidian 2016 Stock Option and Grant Plan (the “Legacy Obsidian Plan”), and each outstanding and unexercised option to purchase Legacy Obsidian shares at such time, each of which converted into an option to purchase shares of Parent Common Stock, with necessary adjustments to the number of shares and exercise price to reflect the Obsidian Exchange Ratio. In addition, upon the closing of the Mergers, we assumed those certain warrants, dated as of February 17, 2023, to purchase Legacy Galera shares at such time, each of which converted into a warrant to purchase shares of Parent Common Stock, with necessary adjustments to the number of shares and exercise price to reflect the Galera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We registered the issuance of Parent Common Stock to Legacy Obsidian securityholders and Legacy Galera securityholders in the Mergers on a registration statement on Form S-4, as amended (SEC File No. 333-295249) (the “Registration Statement”). We intend to register the issuance of Parent Common Stock to investors in the Concurrent PIPE Financing on a registration statement on Form S-1, covering the resale of the Parent Common Stock. For more information, reference the “Registration Rights Agreement” section in Item 1.01 above. </w:t>
      </w:r>
    </w:p>
    <w:p>
      <w:pPr>
        <w:pStyle w:val="TextBody"/>
        <w:bidi w:val="0"/>
        <w:spacing w:before="240" w:after="0"/>
        <w:jc w:val="left"/>
        <w:rPr>
          <w:rFonts w:ascii="Times New Roman" w:hAnsi="Times New Roman"/>
          <w:sz w:val="20"/>
        </w:rPr>
      </w:pPr>
      <w:r>
        <w:rPr>
          <w:rFonts w:ascii="Times New Roman" w:hAnsi="Times New Roman"/>
          <w:sz w:val="20"/>
        </w:rPr>
        <w:t xml:space="preserve">Effective July 30, 2026, Parent Common Stock was approved for trading on the Nasdaq Capital Market (“Nasdaq”) under the ticker symbol “OBX,” represented by the CUSIP number, 67448A106. The Parent Common Stock is expected to commence trading on Nasdaq on August 4,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the full text of such agreement, a copy of which is filed hereto as Exhibit 2.1 and is incorporated herein by reference.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audited financial statements of Legacy Obsidian for the years ended December 31, 2025 and 2024 and the related notes thereto are included in the information statement/prospectus which formed a part of the Registration Statement,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Management’s Discussion and Analysis of Financial Condition and Results of Operations of Legacy Obsidian for the years ended December 31, 2025 and 2024 is filed as Exhibit 99.4 hereto and incorporated herein by reference.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3.02, the information included in Item 1.01 of this Current Report on Form 8-K is incorporated herein by reference.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1025"/>
        <w:gridCol w:w="4490"/>
      </w:tblGrid>
      <w:tr>
        <w:trPr/>
        <w:tc>
          <w:tcPr>
            <w:tcW w:w="102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Explanatory Note and Items 1.01, 2.01, 5.01 and 5.03 of this Current Report on Form 8-K is incorporated by reference into this Item 3.03.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25"/>
        <w:gridCol w:w="4040"/>
      </w:tblGrid>
      <w:tr>
        <w:trPr/>
        <w:tc>
          <w:tcPr>
            <w:tcW w:w="1025" w:type="dxa"/>
            <w:tcBorders/>
            <w:vAlign w:val="center"/>
          </w:tcPr>
          <w:p>
            <w:pPr>
              <w:pStyle w:val="TableContents"/>
              <w:bidi w:val="0"/>
              <w:spacing w:before="0" w:after="283"/>
              <w:jc w:val="left"/>
              <w:rPr>
                <w:b/>
              </w:rPr>
            </w:pPr>
            <w:r>
              <w:rPr>
                <w:b/>
              </w:rPr>
              <w:t>Item 4.01.</w:t>
            </w:r>
          </w:p>
        </w:tc>
        <w:tc>
          <w:tcPr>
            <w:tcW w:w="4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Registrant’s Certifying Accountant.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 Appointment of New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2026, the Audit Committee recommended, and the Board subsequently approved, the engagement of KPMG LLP (“KPMG”) as the independent registered public accounting firm of the Parent to audit the consolidated financial statements of the Parent as of and for the year ended December 31, 2026. KPMG served as the independent registered public accounting firm of Legacy Obsidian since 2024.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1025"/>
        <w:gridCol w:w="2900"/>
      </w:tblGrid>
      <w:tr>
        <w:trPr/>
        <w:tc>
          <w:tcPr>
            <w:tcW w:w="1025" w:type="dxa"/>
            <w:tcBorders/>
            <w:vAlign w:val="center"/>
          </w:tcPr>
          <w:p>
            <w:pPr>
              <w:pStyle w:val="TableContents"/>
              <w:bidi w:val="0"/>
              <w:spacing w:before="0" w:after="283"/>
              <w:jc w:val="left"/>
              <w:rPr>
                <w:b/>
              </w:rPr>
            </w:pPr>
            <w:r>
              <w:rPr>
                <w:b/>
              </w:rPr>
              <w:t>Item 5.01.</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2.01 of this Current Report on Form 8-K regarding the Mergers and the information set forth in Item 5.02 of this Current Report on Form 8-K regarding the board of directors of Parent (the “Board”) and executive officers following the Mergers are incorporated by reference into this Item 5.01.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Merger Agreement, immediately prior to the Mergers, J. Mel Sorensen, M.D. and Julie Feder resigned from the Board and committees of the Board on which they respectively served, which resignations were not the result of any disagreements with our company relating to our operations, policies or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of the Mergers, on August 3, 2026, the Board was reconstituted as follows: Peter Barrett, Ph.D., Matthew Norkunas, M.D., M.B.A., Heidi Hagen, Madan Jagasia, M.D., M.S., Maria Fardis, Ph.D., M.B.A., and Robert Ross, M.D. (each designated by Legacy Obsidian). The classification of the Board was confirmed as follows: </w:t>
      </w:r>
    </w:p>
    <w:p>
      <w:pPr>
        <w:pStyle w:val="TextBody"/>
        <w:bidi w:val="0"/>
        <w:spacing w:before="240" w:after="0"/>
        <w:jc w:val="left"/>
        <w:rPr>
          <w:rFonts w:ascii="Times New Roman" w:hAnsi="Times New Roman"/>
          <w:sz w:val="20"/>
        </w:rPr>
      </w:pPr>
      <w:r>
        <w:rPr>
          <w:rFonts w:ascii="Times New Roman" w:hAnsi="Times New Roman"/>
          <w:sz w:val="20"/>
        </w:rPr>
        <w:t xml:space="preserve">Peter Barrett, Ph.D. was appointed as a Class I director (terms expire at our 2027 annual meeting), Matthew Norkunas, M.D., M.B.A. and Heidi Hagen were appointed as Class II directors (terms expire at our 2028 annual meeting), and Madan Jagasia, M.D., M.S., Maria Fardis, Ph.D, M.B.A, and Robert Ross, M.D. were appointed as Class III directors (terms expire at our 2029 annual meeting). In addition, Maria Fardis, Ph.D. was appointed Chairperson of the Board. Under the listing rules of Nasdaq (the “Nasdaq Listing Rules”), a majority of the members of the Board must qualify as “independent,” as affirmatively determined by the Board.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The Board has determined that each of Dr. Ross, Dr. Fardis and Ms. Hagen qualify as “independent directors” as defined by the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Each of the newly appointed directors’ biographical information is set forth below. </w:t>
      </w:r>
    </w:p>
    <w:p>
      <w:pPr>
        <w:pStyle w:val="TextBody"/>
        <w:bidi w:val="0"/>
        <w:spacing w:before="240" w:after="0"/>
        <w:jc w:val="left"/>
        <w:rPr>
          <w:rFonts w:ascii="Times New Roman" w:hAnsi="Times New Roman"/>
          <w:sz w:val="20"/>
        </w:rPr>
      </w:pPr>
      <w:r>
        <w:rPr>
          <w:rFonts w:ascii="Times New Roman" w:hAnsi="Times New Roman"/>
          <w:b/>
          <w:sz w:val="20"/>
        </w:rPr>
        <w:t>Madan Jagasia, M.D., M.S.</w:t>
      </w:r>
      <w:r>
        <w:rPr>
          <w:rFonts w:ascii="Times New Roman" w:hAnsi="Times New Roman"/>
          <w:sz w:val="20"/>
        </w:rPr>
        <w:t xml:space="preserve">, has served as Legacy Obsidian’s Chief Executive Officer and a member of the Legacy Obsidian Board since January 2023. From August 2020 to January 2023, Dr. Jagasia served in various roles at Iovance Biotherapeutics, Inc. (Nasdaq: IOVA) (“Iovance”), a biopharmaceutical company, and most recently as Executive Vice President, Medical Affairs. Previously, Dr. Jagasia worked at Vanderbilt University Medical Center since 2001 in various roles and most recently as Chief Medical Officer and Executive Medical Director of the Vanderbilt-Ingram Cancer Center (“VICC”), where he co-led the Translational Research and Interventional Oncology Research Program at VICC. Dr. Jagasia holds a M.B.B.S. from the GS Medical College &amp; KEM Hospital and an M.S. and a Master of Management in Health Care Management from Vanderbilt University. We believe Dr. Jagasia is qualified to serve on the Board because of his scientific and professional background and based on his current role as Chief Executive Officer.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Maria Fardis, Ph.D., M.B.A.</w:t>
      </w:r>
      <w:r>
        <w:rPr>
          <w:rFonts w:ascii="Times New Roman" w:hAnsi="Times New Roman"/>
          <w:sz w:val="20"/>
        </w:rPr>
        <w:t xml:space="preserve">, is chairperson of Legacy Obsidian board of directors and has served as a member of the Legacy Obsidian board of directors since October 2021. Dr. Fardis has served as the Chief Executive Officer of AirNexus Therapeutics, a biotechnology company, since January 2026, and as a Venture Partner at Frazier Life Sciences Management, L.P., or Frazier, a healthcare investment firm, since September 2021. Dr. Fardis served as the Chief Executive Officer of Lassen Therapeutics, a biotechnology company, from April 2021 to January 2026. Dr. Fardis previously served as President and Chief Executive Officer of Iovance and as a member of its board of directors from June 2016 through June 2021. Dr. Fardis previously served as the Chief Operating Officer of Acerta Pharma B.V., a biopharmaceutical company, from January 2015 to March 2016. From April 2011 to December 2014, she worked at Pharmacyclics, Inc. (formerly Nasdaq: PCYC; acquired by AbbVie Inc.) in various roles and most recently served as Chief of Oncology Operations and Alliances. Prior to that, from 2001 to 2011, Dr. Fardis held increasingly senior positions in medicinal chemistry and project and portfolio management at Gilead Sciences, Inc. (Nasdaq: GILD). Dr. Fardis has served on the board of directors of CRISPR Therapeutics AG (Nasdaq: CRSP), a biopharmaceutical company, since June 2022. Dr. Fardis holds a B.S. in chemistry from the University of Illinois, Urbana-Champaign, a Ph.D. in Organic Chemistry from the University of California, Berkeley, and an M.B.A. from Golden Gate University. We believe Dr. Fardis is qualified to serve on the Board because of her experience as an executive in the life sciences industry, extensive experience in drug development, and strong scientific background. </w:t>
      </w:r>
    </w:p>
    <w:p>
      <w:pPr>
        <w:pStyle w:val="TextBody"/>
        <w:bidi w:val="0"/>
        <w:spacing w:before="240" w:after="0"/>
        <w:jc w:val="left"/>
        <w:rPr>
          <w:rFonts w:ascii="Times New Roman" w:hAnsi="Times New Roman"/>
          <w:sz w:val="20"/>
        </w:rPr>
      </w:pPr>
      <w:r>
        <w:rPr>
          <w:rFonts w:ascii="Times New Roman" w:hAnsi="Times New Roman"/>
          <w:b/>
          <w:sz w:val="20"/>
        </w:rPr>
        <w:t>Peter Barrett, Ph.D.</w:t>
      </w:r>
      <w:r>
        <w:rPr>
          <w:rFonts w:ascii="Times New Roman" w:hAnsi="Times New Roman"/>
          <w:sz w:val="20"/>
        </w:rPr>
        <w:t xml:space="preserve">, has served as a member of the Legacy Obsidian board of directors since September 2015. Since 2002, Dr. Barrett has worked at Atlas Venture, an early-stage life sciences venture capital fund, and is a partner in the life sciences group, where he has been involved in the creation of several therapeutic and drug discovery platform companies. Previously, he was a co-founder, Executive Vice President and Chief Business Officer of Celera Genomics. Dr. Barrett has served as the Chairman of Synlogic, Inc. (Nasdaq: SYBX), a biotechnology company, since 2017 and on the board of directors of Revvity, Inc. (NYSE: RVTY), a life sciences and diagnostics company, since 2012. Dr. Barrett is also on the Advisory Council of the Blavatnik Fellowship program. Dr. Barrett previously served on the board of Larimar Therapeutics, Inc. (Nasdaq: LRMR), a biotechnology company, until 2023, and previously served on the board of Cadent Therapeutics (acquired by Novartis AG), Vitae Pharmaceuticals, Inc. (formerly Nasdaq: VTAE; acquired by Allergan PLC), Stromedix, Inc. (acquired by Biogen Idec), NovaMed Pharmaceuticals, Inc. (acquired by SciClone Pharmaceuticals, Inc.), Alnylam Pharmaceuticals, Inc. (Nasdaq: ALNY), Harbour Antibodies BV (acquired by Harbour BioMed), Momenta Pharmaceuticals, Inc. (Nasdaq: MNTA), Sirion Therapeutics, Inc. (acquired by Alcon Inc. and Bausch + Lomb Corporation), and Archemix (acquired by Baxter International Inc.). In addition, Dr. Barrett is a board member of Nucleate, a student-run nonprofit organization representing the global community of bio-innovators. Dr. Barrett holds a B.S. in chemistry from Lowell Technological Institute (now known as the University of Massachusetts, Lowell) and a Ph.D. in analytical chemistry from Northeastern University. We believe Dr. Barrett is qualified to serve on the Board because of his extensive experience in the life sciences industry. </w:t>
      </w:r>
    </w:p>
    <w:p>
      <w:pPr>
        <w:pStyle w:val="TextBody"/>
        <w:bidi w:val="0"/>
        <w:spacing w:before="240" w:after="0"/>
        <w:jc w:val="left"/>
        <w:rPr>
          <w:rFonts w:ascii="Times New Roman" w:hAnsi="Times New Roman"/>
          <w:sz w:val="20"/>
        </w:rPr>
      </w:pPr>
      <w:r>
        <w:rPr>
          <w:rFonts w:ascii="Times New Roman" w:hAnsi="Times New Roman"/>
          <w:b/>
          <w:sz w:val="20"/>
        </w:rPr>
        <w:t>Heidi Hagen, M.B.A.</w:t>
      </w:r>
      <w:r>
        <w:rPr>
          <w:rFonts w:ascii="Times New Roman" w:hAnsi="Times New Roman"/>
          <w:sz w:val="20"/>
        </w:rPr>
        <w:t xml:space="preserve">, has served as a member of the Legacy Obsidian board of directors since November 2021. Ms. Hagen has over 30 years of experience in the Biotechnology industry primarily as an operations executive. Ms. Hagen has served as a member of the board of directors of Vericel Corporation (Nasdaq: VCEL; formerly known as Aastrom Biosciences, Inc.), a biopharmaceutical company, since August 2013. Ms. Hagen also serves as a member of the board of directors of Dimension Bio, Applied StemCell, Inc., and A-Alpha Bio, Inc. She previously served as the Chief Technical Officer of Sonoma Biotherapeutics, Inc., a biotechnology company, from November 2021 to June 2023. Prior to that, Ms. Hagen served as the Interim Chief Executive Officer and member of the board of directors of Ziopharm Oncology, Inc. (formerly Nasdaq: ZIOP; now Alaunos Therapeutics, Inc.), a biopharmaceutical company, from 2019 to 2021. Ms. Hagen also co-founded Vineti, Inc., a software platform company for cell and gene therapy supply chain management, where she served as Advisor and Chief Strategy Officer from 2015 to 2021. Prior to those experiences, Ms. Hagen was Senior Vice President of Operations at Dendreon (2002 to 2012) where she oversaw the commercialization of the first active cellular therapy, Provenge. And, she held various operational and project management roles at Immunex Corporation from 1993 to 2002. Ms. Hagen holds a B.S. in cell biology, an M.S. in bioengineering, and an M.B.A. from the University of Washington. We believe Ms. Hagen is qualified to serve on the Board because of her significant leadership experience in the biopharmaceutical industry. </w:t>
      </w:r>
    </w:p>
    <w:p>
      <w:pPr>
        <w:pStyle w:val="TextBody"/>
        <w:bidi w:val="0"/>
        <w:spacing w:before="240" w:after="0"/>
        <w:jc w:val="left"/>
        <w:rPr>
          <w:rFonts w:ascii="Times New Roman" w:hAnsi="Times New Roman"/>
          <w:sz w:val="20"/>
        </w:rPr>
      </w:pPr>
      <w:r>
        <w:rPr>
          <w:rFonts w:ascii="Times New Roman" w:hAnsi="Times New Roman"/>
          <w:b/>
          <w:sz w:val="20"/>
        </w:rPr>
        <w:t>Matthew Norkunas, M.D., M.B.A.</w:t>
      </w:r>
      <w:r>
        <w:rPr>
          <w:rFonts w:ascii="Times New Roman" w:hAnsi="Times New Roman"/>
          <w:sz w:val="20"/>
        </w:rPr>
        <w:t xml:space="preserve">, has served as a member of the Legacy Obsidian board of directors since April 2023. Since January 2025, Dr. Norkunas has served as the Chief Financial Officer and President of Tubulis, Inc., a biotechnology company. From July 2020 to January 2025, Dr. Norkunas served as the Chief Financial Officer of Generation Bio Co. (formerly Nasdaq: GBIO; acquired by XOMA Royalty Corporation), a genetics medicine company. Previously, Dr. Norkunas served as the Chief Financial Officer and Head of Corporate and Business Development at SomaLogic, Inc. (acquired by Illumina, Inc.), a protein biomarker discovery and clinical diagnostics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from February 2016 to June 2020. From July 2012 to January 2016, Dr. Norkunas served as a senior equity analyst at Marsico Capital Management, LLC, an investment company, where he served as the firm’s primary health care investment specialist. Dr. Norkunas began his career as a practicing anesthesiologist. Dr. Norkunas holds a B.A. from St. Mary’s College of Maryland, an M.D. from University of Maryland School of Medicine, and an M.B.A. from Columbia Business School. We believe Dr. Norkunas is qualified to serve on the Board because of his significant financial experience with biotechnology companies and clinical background. </w:t>
      </w:r>
    </w:p>
    <w:p>
      <w:pPr>
        <w:pStyle w:val="TextBody"/>
        <w:bidi w:val="0"/>
        <w:spacing w:before="240" w:after="0"/>
        <w:jc w:val="left"/>
        <w:rPr>
          <w:rFonts w:ascii="Times New Roman" w:hAnsi="Times New Roman"/>
          <w:sz w:val="20"/>
        </w:rPr>
      </w:pPr>
      <w:r>
        <w:rPr>
          <w:rFonts w:ascii="Times New Roman" w:hAnsi="Times New Roman"/>
          <w:b/>
          <w:sz w:val="20"/>
        </w:rPr>
        <w:t>Robert Ross, M.D.</w:t>
      </w:r>
      <w:r>
        <w:rPr>
          <w:rFonts w:ascii="Times New Roman" w:hAnsi="Times New Roman"/>
          <w:sz w:val="20"/>
        </w:rPr>
        <w:t xml:space="preserve">, has served as a member of the Legacy Obsidian board of directors since September 2020. Since November 2023, Dr. Ross has served as the Chief Executive Officer of Clasp Therapeutics, Inc., a pharmaceutical company. Prior to that, Dr. Ross served as the Chief Executive Officer and a member of board of directors of Surface Oncology, Inc. (formerly Nasdaq: SURF; acquired by Coherus BioSciences, Inc.), an immuno-oncology company, from April 2021 until July 2023 and had previously served as the Chief Medical Officer from October 2016 to March 2021. Dr. Ross served as Head of Oncology at bluebird bio, Inc. (formerly Nasdaq: BLUE; now Genetix Biotherapeutics, Inc.) from October 2015 to October 2016, Senior Vice President of Clinical Development and Pharmacovigilance from January 2015 to October 2016, and Vice President of Clinical Development from October 2012 to January 2015. Prior to that, he worked at Infinity Pharmaceuticals, Inc. from October 2007 to October 2012. Dr. Ross was a Fellow in Medical Oncology and a faculty member at the Dana Farber Cancer Institute from July 2003 to August 2007, and then maintained a clinical practice at Dana Farber Cancer Institute from August 2007 to October 2015. Dr. Ross has served on the board of directors of Xilio Therapeutics, Inc. (Nasdaq: XLO), a biotechnology company, since June 2022. Dr. Ross holds a B.S. in Biological Sciences and a B.A. in Philosophy from Stanford University, an M.S. in Medical Science as part of the Clinical Investigator Training Program from Harvard Medical School, and an M.D. from Columbia University College of Physicians and Surgeons. He completed his residency training in Internal Medicine at the University of California, San Francisco. We believe that Dr. Ross is qualified to serve on the Board because of his extensive executive experience in the life science industry and clinical background.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closing of the Mergers, on August 3, 2026, the Board reconstituted its various standing committees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Matthew Norkunas, M.D., M.B.A., Peter Barrett, Ph.D., and Maria Fardis, Ph.D. were appointed to the Audit Committee of the Board. Dr. Norkunas was appointed chair of the Audit Committee and designated as the “audit committee financial expert.”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Robert Ross, M.D., Maria Fardis, Ph.D., and Heidi Hagen were appointed to the Compensation Committee of the Board. Ms. Hagen was appointed chair of the Compensation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Heidi Hagen, Peter Barrett, Ph.D., and Robert Ross, M.D. were appointed to the Nominating and Corporate Governance Committee of the Board. Ms. Hagen was appointed chair of the Nominating and Corporate Governance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Mergers, each non-employee director will receive compensation for his or her service on the Board in accordance with our non-employee director compensation policy, which became effective upon the completion of the Mergers and provides for the following cash and equity retainers: </w:t>
      </w:r>
    </w:p>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annual cash retainer of $40,000 for members of the Board (or $70,000 for the non-executive chair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additional annual cash retainer of $10,000 for service on the Audit Committee (or $20,000 for service as chair of the Audit Committee);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additional annual cash retainer of $7,500 for service on the Compensation Committee (or $15,000 for service as chair of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additional annual cash retainer of $5,000 for service on the Nominating and Corporate Governance Committee (or $10,000 for service as chair of the Nominating and Corporate Governance Committee);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non-employee director compensation policy provides that, upon initial election to the Parent Board, each non-employee director will be granted an initial stock option award to purchase a number of shares of Parent Common Stock equal to 0.122% of the total number of outstanding shares of Parent Common Stock on the date of grant (the “Initial Grant”). The Initial Grant will vest in equal monthly installments over three years following the date of grant, subject to continued service through the applicable vesting date. Furthermore, upon the closing of the Mergers and on the date of each annual meeting of stockholders following the completion of the Mergers, each non-employee director who is serving as a non-employee director as of the closing of the Mergers or who continues as a non-employee director following such meeting, as applicable, will be granted an annual stock option award to purchase a number of shares of Parent Common Stock equal to 0.061% of the total number of outstanding shares of Parent Common Stock on the date of grant (the “Annual Grant”). The Annual Grant will vest in full on the earlier of the first anniversary of the date of grant and Parent’s next annual meeting of stockholders, subject to continued service through the applicable vesting date. All outstanding awards granted to non-employee directors will become fully vested and exercisable upon a sale event, as defined in the Obsidian Therapeutics, Inc. 2026 Equity Incentive Plan (the “2026 Plan”). </w:t>
      </w:r>
    </w:p>
    <w:p>
      <w:pPr>
        <w:pStyle w:val="TextBody"/>
        <w:bidi w:val="0"/>
        <w:spacing w:before="240" w:after="0"/>
        <w:jc w:val="left"/>
        <w:rPr>
          <w:rFonts w:ascii="Times New Roman" w:hAnsi="Times New Roman"/>
          <w:sz w:val="20"/>
        </w:rPr>
      </w:pPr>
      <w:r>
        <w:rPr>
          <w:rFonts w:ascii="Times New Roman" w:hAnsi="Times New Roman"/>
          <w:sz w:val="20"/>
        </w:rPr>
        <w:t xml:space="preserve">The grant date fair value of all awards and all other cash compensation paid by Parent to any non-employee director during any one calendar year for services as a non-employee director may not exceed $750,000; provided, however, that such amount shall be $1,000,000 for the calendar year in which the applicable non-employee director is initially elected or appointed to the Parent Board. We will also reimburse all reasonable out-of-pocket expenses incurred by non-employee directors in attending meetings of the Parent Board and committees thereof. </w:t>
      </w:r>
    </w:p>
    <w:p>
      <w:pPr>
        <w:pStyle w:val="TextBody"/>
        <w:bidi w:val="0"/>
        <w:spacing w:before="240" w:after="0"/>
        <w:jc w:val="left"/>
        <w:rPr>
          <w:rFonts w:ascii="Times New Roman" w:hAnsi="Times New Roman"/>
          <w:sz w:val="20"/>
        </w:rPr>
      </w:pPr>
      <w:r>
        <w:rPr>
          <w:rFonts w:ascii="Times New Roman" w:hAnsi="Times New Roman"/>
          <w:sz w:val="20"/>
        </w:rPr>
        <w:t>In connection with the closing of the Mergers, our directors received certain option grants as described below under “</w:t>
      </w:r>
      <w:r>
        <w:rPr>
          <w:rFonts w:ascii="Times New Roman" w:hAnsi="Times New Roman"/>
          <w:i/>
          <w:sz w:val="20"/>
        </w:rPr>
        <w:t>Closing Option Grants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Departure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closing of the Mergers, J. Mel. Sorensen resigned as the President and Principal Executive Officer and Joel Sussman resigned as the Treasurer and Principal Financial and Accounting Officer of Legacy Galera.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On July 31, 2026, the Board appointed Madan Jagasia as our Chief Executive Officer and principal executive officer, Julie Feder as our Chief Financial Officer and Principal Financial Officer and Principal Accounting Officer, Parameswaran Hari as our Chief Medical Officer, and Dana Alexander as our Chief Technical Officer.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our newly appointed executive officers. None of our newly appointed executive officers has a direct or indirect material interest in any transaction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Each of the newly appointed executive officers’ biographical information is set forth below. </w:t>
      </w:r>
    </w:p>
    <w:p>
      <w:pPr>
        <w:pStyle w:val="TextBody"/>
        <w:bidi w:val="0"/>
        <w:spacing w:before="240" w:after="0"/>
        <w:jc w:val="left"/>
        <w:rPr>
          <w:rFonts w:ascii="Times New Roman" w:hAnsi="Times New Roman"/>
          <w:sz w:val="20"/>
        </w:rPr>
      </w:pPr>
      <w:r>
        <w:rPr>
          <w:rFonts w:ascii="Times New Roman" w:hAnsi="Times New Roman"/>
          <w:b/>
          <w:sz w:val="20"/>
        </w:rPr>
        <w:t>Madan Jagasia, M.D., M.S.</w:t>
      </w:r>
      <w:r>
        <w:rPr>
          <w:rFonts w:ascii="Times New Roman" w:hAnsi="Times New Roman"/>
          <w:sz w:val="20"/>
        </w:rPr>
        <w:t xml:space="preserve"> has served as Legacy Obsidian’s Chief Executive Officer and a member of the Board since January 2023. From August 2020 to January 2023, Dr. Jagasia served in various roles at Iovance Biotherapeutics, Inc. (Nasdaq: IOVA), or Iovance, a biopharmaceutical company, and most recently as Executive Vice President, Medical Affairs. Previously, Dr. Jagasia worked at Vanderbilt University Medical Center since 2001 in various roles and most recently as Chief Medical Officer and Executive Medical Director of the Vanderbilt-Ingram Cancer Center, or VICC, where he co-led the Translational Research and Interventional Oncology Research Program at VICC. Dr. Jagasia holds a M.B.B.S. from the GS Medical College &amp; KEM Hospital and an M.S. and a Master of Management in Health Care Management from Vanderbilt University. We believe Dr. Jagasia is qualified to serve on the Board because of his scientific and professional background, and his familiarity with our company as Chief Executive Officer.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Julie Feder</w:t>
      </w:r>
      <w:r>
        <w:rPr>
          <w:rFonts w:ascii="Times New Roman" w:hAnsi="Times New Roman"/>
          <w:sz w:val="20"/>
        </w:rPr>
        <w:t xml:space="preserve"> has served as Legacy Obsidian’s Chief Financial Officer since January 2026. Previously, from August 2018 to October 2024, she served as Chief Financial Officer of Aura Biosciences, Inc. (Nasdaq: AURA), a biopharmaceutical company. Previously, Ms. Feder served as Chief Financial Officer at Verastem, Inc. (Nasdaq: VSTM), a biopharmaceutical company, from July 2017 to June 2018. Prior to joining Verastem, Ms. Feder served as the Chief Financial Officer at the Clinton Health Access Initiative, Inc. from September 2011 to July 2017. Ms. Feder began her career at Deloitte &amp; Touche LLP, where she was senior manager of Audit, Consulting and Enterprise Risk Services. Ms. Feder holds a B.S. in Accounting from Yeshiva University’s Sy Syms School of Business. </w:t>
      </w:r>
    </w:p>
    <w:p>
      <w:pPr>
        <w:pStyle w:val="TextBody"/>
        <w:bidi w:val="0"/>
        <w:spacing w:before="240" w:after="0"/>
        <w:jc w:val="left"/>
        <w:rPr>
          <w:rFonts w:ascii="Times New Roman" w:hAnsi="Times New Roman"/>
          <w:sz w:val="20"/>
        </w:rPr>
      </w:pPr>
      <w:r>
        <w:rPr>
          <w:rFonts w:ascii="Times New Roman" w:hAnsi="Times New Roman"/>
          <w:b/>
          <w:sz w:val="20"/>
        </w:rPr>
        <w:t>Parameswaran Hari, M.D., M.S.</w:t>
      </w:r>
      <w:r>
        <w:rPr>
          <w:rFonts w:ascii="Times New Roman" w:hAnsi="Times New Roman"/>
          <w:sz w:val="20"/>
        </w:rPr>
        <w:t xml:space="preserve"> has served as Legacy Obsidian’s Chief Medical Officer since January 2023. Previously, Dr. Hari served as Senior Vice President, Clinical Science at Iovance from November 2021 to January 2023. Prior to Iovance, Dr. Hari was the Chief of Hematology and Oncology at the Medical College of Wisconsin from March 2017 to November 2021. Dr. Hari also served the American Society of Transplantation and Cellular Therapy as its Secretary. Dr. Hari holds a M.B.B.S. from Kerala University, an M.D. from Central University of Pondicherry, and an M.S. from the Medical College of Wisconsin. </w:t>
      </w:r>
    </w:p>
    <w:p>
      <w:pPr>
        <w:pStyle w:val="TextBody"/>
        <w:bidi w:val="0"/>
        <w:spacing w:before="240" w:after="0"/>
        <w:jc w:val="left"/>
        <w:rPr>
          <w:rFonts w:ascii="Times New Roman" w:hAnsi="Times New Roman"/>
          <w:sz w:val="20"/>
        </w:rPr>
      </w:pPr>
      <w:r>
        <w:rPr>
          <w:rFonts w:ascii="Times New Roman" w:hAnsi="Times New Roman"/>
          <w:b/>
          <w:sz w:val="20"/>
        </w:rPr>
        <w:t>Dana Alexander, M.B.A.</w:t>
      </w:r>
      <w:r>
        <w:rPr>
          <w:rFonts w:ascii="Times New Roman" w:hAnsi="Times New Roman"/>
          <w:sz w:val="20"/>
        </w:rPr>
        <w:t xml:space="preserve"> has served as Legacy Obsidian’s Chief Technical Officer since April 2024. Previously, Mr. Alexander served as Senior Vice President of Technical Operations at AlloVir, Inc. (formerly Nasdaq: ALVR), a late-stage T cell therapy company, from September 2020 to April 2024. Prior to that, Mr. Alexander served as Vice President of Operations including Head of Business Operations, from January 2020 to September 2020 and Site General Manager, from January 2018 to January 2020 at Brammer Bio, now part of Thermo Fisher Scientific Inc. (NYSE: TMO). He also previously served as Chief Operations Officer at Anika Therapeutics, Inc. (Nasdaq: ANIK), a joint preservation company, and Senior Director of Manufacturing Operations at Genzyme, now part of Sanofi SA (Nasdaq: SNY), a global pharmaceutical company. Mr. Alexander holds a B.S. in Chemical Engineering from Northeastern University and an M.B.A. from Boston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left"/>
        <w:rPr>
          <w:rFonts w:ascii="Times New Roman" w:hAnsi="Times New Roman"/>
          <w:i/>
          <w:sz w:val="20"/>
        </w:rPr>
      </w:pPr>
      <w:r>
        <w:rPr>
          <w:rFonts w:ascii="Times New Roman" w:hAnsi="Times New Roman"/>
          <w:i/>
          <w:sz w:val="20"/>
        </w:rPr>
        <w:t xml:space="preserve">Madan Jagasia, M.D., M.S.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Mergers, Parent entered into an executive employment agreement with Dr. Jagasia for the position of Chief Executive Officer (the “Jagasia Employment Agreement”). Pursuant to the Jagasia Employment Agreement, Dr. Jagasia is eligible to receive an annual base salary of $638,200, subject to annual review and adjustment at our discretion and an annual cash incentive bonus, as determined by Parent’s Board, which bonus has a target of 55% of Dr. Jagasia’s base salary. Dr. Jagasia is eligible to participate in the employee benefit plans generally available to Parent’s employees, subject to the terms of those plans, and Severance Plan (as defined in the Severance Plan) as a Tier 1 Executive, as defined in the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Dana Alexander, M.B.A.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Mergers, Parent entered into an executive employment agreement with Mr. Alexander for the position of Chief Technical Officer (the “Alexander Employment Agreement”). Pursuant to the Alexander Employment Agreement, Mr. Alexander is eligible to receive an annual base salary of $461,480, subject to annual review and adjustment at our discretion and an annual cash incentive bonus, as determined by Parent’s Board, which bonus has a target of 40% of Mr. Alexander’s base salary. Mr. Alexander is eligible to participate in the employee benefit plans generally available to Parent’s employees, subject to the terms of those plans, and the Severance Plan as a Tier 2 Executive, as defined in the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Parameswaran Hari, M.D., M.S. 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Mergers, Parent entered into an executive employment agreement with Dr. Hari for the position of Chief Medical Officer (the “Hari Employment Agreement”). Pursuant to the Hari Employment Agreement, Dr. Hari is eligible to receive an annual base salary of $538,167, subject to annual review and adjustment at our discretion and an annual cash incentive bonus, as determined by Parent’s Board, which bonus has a target of 40% of Dr. Hari’s base salary. Dr. Hari is eligible to participate in the employee benefit plans generally available to Parent’s employees, subject to the terms of those plans, and the Severance Plan as a Tier 2 Executive, as defined in the Severance Plan.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Executive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Mergers, Parent has adopted an Executive Severance Plan (the “Severance Plan”), effective as of the Closing Date, in which the named executive officers and certain other employees will be eligible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provides that upon a (i) termination of a named executive officer’s employment by Parent for any reason other than due to “cause,” death or “disability” or (ii) a named executive officer’s resignation for “good reason” (each as defined in the Severance Plan), in each case outside of the period beginning three months prior to and ending on the one-year anniversary of a “change in control” (as defined in the Severance Plan) (such period, the “Change in Control Period”), each named executive officer will be entitled to receive, subject to the execution and delivery of an effective and irrevocable separation agreement containing, among other things, a general release of claims in Parent’s favor and continued compliance with all applicable continuing obligations: (A) continued payment of the named executive officer’s base salary for 12 months following termination (such period, the “Severance Period”) and, for the Chief Executive Officer, a pro-rated target bonus and any earned but unpaid annual incentive compensation for the prior year; and (B) an amount equal to the employer portion of the monthly COBRA premium until the earliest of (x) the end of the Severance Period, (y) the date the named executive officer becomes eligible for group medical plan benefits under any other employer’s group medical plan or (z) the cessation of the named executive officer’s health continuation rights under COBRA.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Plan also provides that upon a (i) termination of a named executive officer’s employment by Parent other than for cause or due to death or disability or (ii) resignation by a named executive officer for good reason, in each case within the Change in Control Period, each named executive officer will be entitled to receive, in lieu of the payments and benefits above and subject to the execution and delivery of an effective and irrevocable separation agreement containing, among other things, a general release of claims in Parent’s favor and continued compliance with all applicable continuing obligations: (A) a lump sum amount equal to one times (or, in the case of the Chief Executive Officer, one and a half times) the sum of the named executive officer’s base salary and target annual bonus in effect immediately prior to the date of termination or immediately prior to the change in control, if higher; (B) any earned but unpaid annual incentive compensation for the prior year; (C) an amount equal to the employer portion of the monthly COBRA premium until the earliest of (x) 12 months (or, in the case of the Chief Executive Officer, 18 months) following termination of employment, (y) the date the named executive officer becomes eligible for group medical plan benefits under any other employer’s group medical plan or (z) the cessation of the named executive officer’s health continuation rights under COBRA; and (D) accelerated vesting of all outstanding and unvested equity awards held by the named executive officer that are subject solely to time-based vesting and, for the Chief Executive Officer, all vested stock options will remain exercisable until the earlier of six months following the date of termination and the original expiration date of the stock option.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280G of the Code, Parent may not be eligible for a U.S. federal income tax deduction on the payments and benefits provided under the Severance Plan in connection with a change in control.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eligible participant. </w:t>
      </w:r>
    </w:p>
    <w:p>
      <w:pPr>
        <w:pStyle w:val="TextBody"/>
        <w:bidi w:val="0"/>
        <w:spacing w:before="240" w:after="0"/>
        <w:jc w:val="left"/>
        <w:rPr>
          <w:rFonts w:ascii="Times New Roman" w:hAnsi="Times New Roman"/>
          <w:sz w:val="20"/>
        </w:rPr>
      </w:pPr>
      <w:r>
        <w:rPr>
          <w:rFonts w:ascii="Times New Roman" w:hAnsi="Times New Roman"/>
          <w:sz w:val="20"/>
        </w:rPr>
        <w:t>A more complete summary of the terms of the Severance Plan is included in the Registration Statement in the section titled “</w:t>
      </w:r>
      <w:r>
        <w:rPr>
          <w:rFonts w:ascii="Times New Roman" w:hAnsi="Times New Roman"/>
          <w:i/>
          <w:sz w:val="20"/>
        </w:rPr>
        <w:t>Executive Severance Plan</w:t>
      </w:r>
      <w:r>
        <w:rPr>
          <w:rFonts w:ascii="Times New Roman" w:hAnsi="Times New Roman"/>
          <w:sz w:val="20"/>
        </w:rPr>
        <w:t xml:space="preserve">.” That summary and the foregoing description of the Severance Plan are qualified in their entirety by reference to the full text of the Severance Plan, a copy of which is filed as Exhibit 10.11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30, 2026, the Board of Directors of Legacy Parent adopted and Legacy Parent’s sole stockholder approved the 2026 Plan, which became effective on the day immediately preceding the closing of the Mergers. The 2026 Plan allows Parent to make equity-based and cash-based incentive awards to officers, employees, non-employee directors and consultants. Parent’s Board of Directors (the “Parent Board”) anticipates that providing such persons with a direct stake in Parent will assure a closer alignment of the interests of such individuals with those of Parent and its stockholders, thereby stimulating their efforts on Parent’s behalf and strengthening their desire to remain with Parent.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2026 Plan will be administered by the compensation committee of the Parent Board or such other similar committee pursuant to the terms of the 2026 Plan. The plan administrator will have full power to select, from among the individuals eligible for awards, the individuals to whom awards will be granted, to make any combination of awards to participants, and to determine the specific terms and conditions of each award, subject to the provisions of the 2026 Plan. The plan administrator may delegate to a subcommittee consisting of one or more members of the Parent Board, or a committee consisting of one or more officers of Parent, the authority to grant stock options and other awards to employees who are not subject to the reporting and other provisions of Section 16 of the Securities Exchange Act of 1934, as amended (the “Exchange Act”), and not members of the delegated committee, subject to certain limitations and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Parent Common Stock initially reserved for issuance under the 2026 Plan is 7,494,541 shares (the “Initial Limit”). The 2026 Plan provides that the number of shares reserved and available for issuance under the 2026 Plan will automatically increase on January 1, 2027 and each January thereafter during the term of the 2026 Plan, by (i) 5% of the sum of (A) the number of shares of Parent Common Stock issued and outstanding on the immediately preceding December 31, (B) the number of shares of Parent preferred stock issued and outstanding on the immediately preceding December 31 and (C) the number of shares of Parent stock issuable pursuant to the exercise of any outstanding warrants to acquire such Parent Common Stock or Parent preferred stock on the immediately preceding December 31 (the “Outstanding Shares”), or (ii) such lesser number of shares as determined by Parent’s compensation committee (the “Annual Increase”). The number of shares of Parent Common Stock reserved for issuance under the 2026 Plan is subject to adjustment in the event of a stock split, stock dividend or other change in Parent’s capitalization. </w:t>
      </w:r>
    </w:p>
    <w:p>
      <w:pPr>
        <w:pStyle w:val="TextBody"/>
        <w:bidi w:val="0"/>
        <w:spacing w:before="240" w:after="0"/>
        <w:jc w:val="left"/>
        <w:rPr>
          <w:rFonts w:ascii="Times New Roman" w:hAnsi="Times New Roman"/>
          <w:sz w:val="20"/>
        </w:rPr>
      </w:pPr>
      <w:r>
        <w:rPr>
          <w:rFonts w:ascii="Times New Roman" w:hAnsi="Times New Roman"/>
          <w:sz w:val="20"/>
        </w:rPr>
        <w:t>A more complete summary of the terms of the 2026 Plan is included in the Registration Statement in the section titled “</w:t>
      </w:r>
      <w:r>
        <w:rPr>
          <w:rFonts w:ascii="Times New Roman" w:hAnsi="Times New Roman"/>
          <w:i/>
          <w:sz w:val="20"/>
        </w:rPr>
        <w:t>2026 Equity Incentive Plan</w:t>
      </w:r>
      <w:r>
        <w:rPr>
          <w:rFonts w:ascii="Times New Roman" w:hAnsi="Times New Roman"/>
          <w:sz w:val="20"/>
        </w:rPr>
        <w:t xml:space="preserve">.” That summary and the foregoing description of the 2026 Plan are qualified in their entirety by reference to the 2026 Plan, which is filed as an Exhibit 10.7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Obsidian Therapeutics, Inc. 2026 Employee Stock Purchase Plan (the “2026 ESPP”) was adopted by the Board of Directors of Legacy Parent and approved by Legacy Parent’s sole stockholder on June 30, 2026, and became effective on the date immediately preceding the closing of the Mergers. The 2026 ESPP will be administered by the person or persons appointed by the Parent Board and the administrator of the 2026 ESPP will have full authority to make, administer and interpret such rules and regulations regarding the 2026 ESPP as it deems advisable. It is intended that a component of the 2026 ESPP qualify as an “employee stock purchase plan” under Section 423 of the Internal Revenue Code of 1986, as amended (the “Code”). All individuals classified as employees on the payroll records of Parent or a “designated company,” as defined in the 2026 ESPP, will be eligible to participate in the 2026 ESPP, provided that the administrator may determine, in advance of any offering, that such employees are eligible only if, as of the first day of the applicable offering (the “Offering Date”), (a) they are customarily employed by Parent or a designated company for more than (i) 20 hours a week or (ii) five months per calendar year, (b) they have completed a minimum period of service prior to the Offering Date (provided such service requirement does not exceed two years of employment) and/or (c) they are not highly compensated employees (within the meaning of Section 414(q) of the Code). No person who owns or holds, or as a result of participation in the 2026 ESPP would own or hold, Parent Common Stock or options to purchase Parent Common Stock, that together equal 5% or more of total combined voting power or value of all classes of stock of Parent or any parent or subsidiary of Parent is entitled to participate in the 2026 ESPP. No employee may exercise an option granted under the 2026 ESPP that permits the employee to purchase Parent Common Stock having a value of more than $25,000 (determined using the fair market value of the stock at the time such option is granted)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Parent Common Stock initially reserved for issuance under the 2026 ESPP is 749,464 shares of Parent Common Stock (the “Initial ESPP Limit”). The 2026 ESPP provides that the number of shares reserved and available for issuance under the 2026 ESPP will automatically increase each January 1, beginning on January 1, 2027 and ending on January 1, 2036, by the least of (i) the Initial ESPP Limit, (ii) 1% of the Outstanding Shares on the immediately preceding December 31 and (iii) such number of shares of Parent Common Stock as determined by the 2026 ESPP administrator. If Parent’s capital structure changes because of a stock dividend, stock split or similar event, the number of shares that can be issued under the 2026 ESPP will be appropriately adjusted. </w:t>
      </w:r>
    </w:p>
    <w:p>
      <w:pPr>
        <w:pStyle w:val="TextBody"/>
        <w:bidi w:val="0"/>
        <w:spacing w:before="240" w:after="0"/>
        <w:jc w:val="left"/>
        <w:rPr>
          <w:rFonts w:ascii="Times New Roman" w:hAnsi="Times New Roman"/>
          <w:sz w:val="20"/>
        </w:rPr>
      </w:pPr>
      <w:r>
        <w:rPr>
          <w:rFonts w:ascii="Times New Roman" w:hAnsi="Times New Roman"/>
          <w:sz w:val="20"/>
        </w:rPr>
        <w:t>A more complete summary of the terms of the 2026 ESPP is included in the Registration Statement in the section titled “</w:t>
      </w:r>
      <w:r>
        <w:rPr>
          <w:rFonts w:ascii="Times New Roman" w:hAnsi="Times New Roman"/>
          <w:i/>
          <w:sz w:val="20"/>
        </w:rPr>
        <w:t>2026 Employee Stock Purchase Plan</w:t>
      </w:r>
      <w:r>
        <w:rPr>
          <w:rFonts w:ascii="Times New Roman" w:hAnsi="Times New Roman"/>
          <w:sz w:val="20"/>
        </w:rPr>
        <w:t xml:space="preserve">.” That summary and the foregoing description of the 2026 ESPP are qualified in their entirety by reference to the full text of the 2026 ESPP, a copy of which is filed as Exhibit 10.8 to this Current Report on Form 8-K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Senior Executive Cash Incentive Bonus Plan </w:t>
      </w:r>
    </w:p>
    <w:p>
      <w:pPr>
        <w:pStyle w:val="TextBody"/>
        <w:bidi w:val="0"/>
        <w:spacing w:before="120" w:after="0"/>
        <w:jc w:val="left"/>
        <w:rPr>
          <w:rFonts w:ascii="Times New Roman" w:hAnsi="Times New Roman"/>
          <w:sz w:val="20"/>
        </w:rPr>
      </w:pPr>
      <w:r>
        <w:rPr>
          <w:rFonts w:ascii="Times New Roman" w:hAnsi="Times New Roman"/>
          <w:sz w:val="20"/>
        </w:rPr>
        <w:t xml:space="preserve">On June 22, 2026, the board of directors of Legacy Parent (the “Legacy Parent Board”) adopted the Senior Executive Cash Incentive Bonus Plan (the “Bonus Plan”). The Bonus Plan provides for cash bonus payments based upon Parent and individual performance targets established by Parent’s compensation committee. The performance targets will be related to financial or operational measures or objectives with respect to Parent (“Corporate Performance Goals”), as well as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Parent’s compensation committee may select Corporate Performance Goals from among the following: research and development, publication, clinical, and/or regulatory milestones; revenue; corporate revenue; earnings before interest, taxes, depreciation, and amortization; net income (loss) (either before or after interest, taxes, depreciation, and/or amortization); changes in the market price of Parent Common Stock; economic value-added; acquisitions or strategic transactions, including licenses, collaborations, joint ventures, or promotion arrangements;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Parent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or as compared to any incremental increase, (B) measured in terms of growth, as compared to results of a peer group, or (C) measured against the market as a whole, compared to applicable market indices, and/or measured on a pre-tax or post-tax basis. </w:t>
      </w:r>
    </w:p>
    <w:p>
      <w:pPr>
        <w:pStyle w:val="TextBody"/>
        <w:bidi w:val="0"/>
        <w:spacing w:before="240" w:after="0"/>
        <w:jc w:val="left"/>
        <w:rPr>
          <w:rFonts w:ascii="Times New Roman" w:hAnsi="Times New Roman"/>
          <w:sz w:val="20"/>
        </w:rPr>
      </w:pPr>
      <w:r>
        <w:rPr>
          <w:rFonts w:ascii="Times New Roman" w:hAnsi="Times New Roman"/>
          <w:sz w:val="20"/>
        </w:rPr>
        <w:t xml:space="preserve">The Bonus Plan also permits Parent’s compensation committee to approve additional bonuses to executive officers in its sole discretion. </w:t>
      </w:r>
    </w:p>
    <w:p>
      <w:pPr>
        <w:pStyle w:val="TextBody"/>
        <w:bidi w:val="0"/>
        <w:spacing w:before="240" w:after="0"/>
        <w:jc w:val="left"/>
        <w:rPr>
          <w:rFonts w:ascii="Times New Roman" w:hAnsi="Times New Roman"/>
          <w:sz w:val="20"/>
        </w:rPr>
      </w:pPr>
      <w:r>
        <w:rPr>
          <w:rFonts w:ascii="Times New Roman" w:hAnsi="Times New Roman"/>
          <w:sz w:val="20"/>
        </w:rPr>
        <w:t>A more complete summary of the terms of the Bonus Plan is included in the Registration Statement in the section titled “</w:t>
      </w:r>
      <w:r>
        <w:rPr>
          <w:rFonts w:ascii="Times New Roman" w:hAnsi="Times New Roman"/>
          <w:i/>
          <w:sz w:val="20"/>
        </w:rPr>
        <w:t>Senior Executive Cash Incentive Bonus Plan</w:t>
      </w:r>
      <w:r>
        <w:rPr>
          <w:rFonts w:ascii="Times New Roman" w:hAnsi="Times New Roman"/>
          <w:sz w:val="20"/>
        </w:rPr>
        <w:t xml:space="preserve">.” That summary and the foregoing description of the Bonus Plan are qualified in their entirety by reference to the full text of the Bonus Plan, a copy of which is filed as Exhibit 10.10 to this Current Report on Form 8-K and incorporated herein by reference.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025"/>
        <w:gridCol w:w="6470"/>
      </w:tblGrid>
      <w:tr>
        <w:trPr/>
        <w:tc>
          <w:tcPr>
            <w:tcW w:w="102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2.01 and Item 3.03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Legacy Parent filed its amended and restated certificate of incorporation (the “Amended and Restated Certificate”) with the Secretary of State of the State of Delaware. Legacy Parent Board and its stockholders previously approved the Amended and Restated Certificate to be filed in connection with, and to be effective immediately prior to, the completion of the Mergers. The Amended and Restated Certificate amended and restated Legacy Parent’s existing certificate of incorporation in its entirety to, among other things: (i) change Legacy Parent’s name to “Obsidian Therapeutics, Inc.”; (ii) authorize 500,000,000 shares of common stock; (iii) eliminate all references to the previously-existing series of preferred stock; and (iv) authorize 10,000,000 shares of undesignated preferred stock that may be issued from time to time by the Board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amended and restated bylaws of Parent (the “Amended and Restated Bylaws”), previously approved by the Legacy Parent Board and stockholders, became effective immediately upon, and contingent upon, the consummation of the Mergers. The Amended and Restated Bylaws amend and restate Legacy Parent’s bylaws in their entirety to, among other things: (i) eliminate the ability of Parent’s stockholders to take action by written consent in lieu of a meeting and call special meetings of stockholders; (ii) establish an advance notice procedure for stockholder proposals to be brought before an annual meeting of our stockholders, including proposed nominations of persons for election to our Board; and (iii) conform to the amended provisions of the Amended and Restated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Amended and Restated Certificate and the Amended and Restated Bylaws of Parent is qualified by reference to the Amended and Restated Certificate and the Amended and Restated Bylaws of Parent, copies of which are attached as Exhibits 3.1 and 3.2, respectively, to this Current Report on Form 8-K and are incorporated herein by reference.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we issued a press release announcing, among other things, the closing of the Mergers. The press release is furnished as Exhibit 99.1 to this Current Report on Form 8-K and incorporated herein by reference, except that the information contained on the websites referenced in the press releases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to this Current Report on Form 8-K,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2"/>
        <w:gridCol w:w="120"/>
        <w:gridCol w:w="9513"/>
      </w:tblGrid>
      <w:tr>
        <w:trPr/>
        <w:tc>
          <w:tcPr>
            <w:tcW w:w="5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3" w:type="dxa"/>
            <w:tcBorders/>
            <w:vAlign w:val="center"/>
          </w:tcPr>
          <w:p>
            <w:pPr>
              <w:pStyle w:val="TableContents"/>
              <w:bidi w:val="0"/>
              <w:spacing w:before="0" w:after="283"/>
              <w:jc w:val="left"/>
              <w:rPr>
                <w:sz w:val="4"/>
                <w:szCs w:val="4"/>
              </w:rPr>
            </w:pPr>
            <w:r>
              <w:rPr>
                <w:sz w:val="4"/>
                <w:szCs w:val="4"/>
              </w:rPr>
            </w:r>
          </w:p>
        </w:tc>
      </w:tr>
      <w:tr>
        <w:trPr/>
        <w:tc>
          <w:tcPr>
            <w:tcW w:w="57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pPr>
            <w:r>
              <w:rPr/>
              <w:t> </w:t>
            </w:r>
            <w:r>
              <w:rPr>
                <w:rFonts w:ascii="Times New Roman" w:hAnsi="Times New Roman"/>
                <w:sz w:val="20"/>
              </w:rPr>
              <w:t>2.1*#</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r:id="rId2">
              <w:r>
                <w:rPr>
                  <w:rStyle w:val="InternetLink"/>
                </w:rPr>
                <w:t xml:space="preserve">Agreement and Plan of Merger, dated as of April 14, 2026, by and among Galera Therapeutics, Inc., Obsidian Therapeutics, Inc., Gazelle Parent, Inc., Onyx MergerSub, Inc. and Gazelle Merger Subsidiary, Inc. (incorporated by reference from Exhibit 2.1 to Gazelle Parent, Inc.’s Registration Statement on Form S-4 (File No. 333-295249) filed with the Securities and Exchange Commission on July 2, 2026).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pPr>
            <w:r>
              <w:rPr/>
              <w:t> </w:t>
            </w:r>
            <w:r>
              <w:rPr>
                <w:rFonts w:ascii="Times New Roman" w:hAnsi="Times New Roman"/>
                <w:sz w:val="20"/>
              </w:rPr>
              <w:t>3.1</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31.htm">
              <w:r>
                <w:rPr>
                  <w:rStyle w:val="InternetLink"/>
                </w:rPr>
                <w:t xml:space="preserve">Amended and Restated Certificate of Incorporation of Obsidian Therapeutics, Inc.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pPr>
            <w:r>
              <w:rPr/>
              <w:t> </w:t>
            </w:r>
            <w:r>
              <w:rPr>
                <w:rFonts w:ascii="Times New Roman" w:hAnsi="Times New Roman"/>
                <w:sz w:val="20"/>
              </w:rPr>
              <w:t>3.2</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32.htm">
              <w:r>
                <w:rPr>
                  <w:rStyle w:val="InternetLink"/>
                </w:rPr>
                <w:t xml:space="preserve">Amended and Restated Bylaws of Obsidian Therapeutics, Inc.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pPr>
            <w:r>
              <w:rPr/>
              <w:t> </w:t>
            </w:r>
            <w:r>
              <w:rPr>
                <w:rFonts w:ascii="Times New Roman" w:hAnsi="Times New Roman"/>
                <w:sz w:val="20"/>
              </w:rPr>
              <w:t>4.1</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41.htm">
              <w:r>
                <w:rPr>
                  <w:rStyle w:val="InternetLink"/>
                </w:rPr>
                <w:t xml:space="preserve">Galera Therapeutics, Inc. Warrant to Purchase Common Stock dated February 17, 2023.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1.htm">
              <w:r>
                <w:rPr>
                  <w:rStyle w:val="InternetLink"/>
                </w:rPr>
                <w:t xml:space="preserve">Securities Purchase Agreement, dated as of April 14, 2026, by and among Gazelle Parent, Inc., Galera Therapeutics, Inc., Obsidian Therapeutics, Inc. and each of the Investors listed on Exhibit A thereto.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2.htm">
              <w:r>
                <w:rPr>
                  <w:rStyle w:val="InternetLink"/>
                </w:rPr>
                <w:t xml:space="preserve">Registration Rights Agreement, dated as of April 14, 2026, by and among Parent, Galera Therapeutics, Inc. and each of the Investors signatory thereto.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3.htm">
              <w:r>
                <w:rPr>
                  <w:rStyle w:val="InternetLink"/>
                </w:rPr>
                <w:t xml:space="preserve">Form of Lock-Up Agreement.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4.htm">
              <w:r>
                <w:rPr>
                  <w:rStyle w:val="InternetLink"/>
                </w:rPr>
                <w:t xml:space="preserve">Contingent Value Rights Agreement dated August 3, 2026, by and among Obsidian Therapeutics, Inc., Gazelle Parent, Inc. and Equiniti Trust Company, LLC.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5.htm">
              <w:r>
                <w:rPr>
                  <w:rStyle w:val="InternetLink"/>
                </w:rPr>
                <w:t xml:space="preserve">Form of Indemnification Agreement for Officers of Obsidian Therapeutics, Inc.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6.htm">
              <w:r>
                <w:rPr>
                  <w:rStyle w:val="InternetLink"/>
                </w:rPr>
                <w:t xml:space="preserve">Form of Indemnification Agreement for Directors of Obsidian Therapeutics, Inc.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7.htm">
              <w:r>
                <w:rPr>
                  <w:rStyle w:val="InternetLink"/>
                </w:rPr>
                <w:t xml:space="preserve">Obsidian Therapeutics, Inc. 2026 Equity Incentive Plan, and form of award agreements thereunder.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8.htm">
              <w:r>
                <w:rPr>
                  <w:rStyle w:val="InternetLink"/>
                </w:rPr>
                <w:t xml:space="preserve">Obsidian Therapeutics, Inc. 2026 Employee Stock Purchase Plan.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9.htm">
              <w:r>
                <w:rPr>
                  <w:rStyle w:val="InternetLink"/>
                </w:rPr>
                <w:t xml:space="preserve">Obsidian Therapeutics, Inc. Non-Employee Director Compensation Policy.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10.htm">
              <w:r>
                <w:rPr>
                  <w:rStyle w:val="InternetLink"/>
                </w:rPr>
                <w:t xml:space="preserve">Obsidian Therapeutics, Inc. Senior Executive Cash Incentive Bonus Plan. </w:t>
              </w:r>
            </w:hyperlink>
          </w:p>
        </w:tc>
      </w:tr>
      <w:tr>
        <w:trPr/>
        <w:tc>
          <w:tcPr>
            <w:tcW w:w="572" w:type="dxa"/>
            <w:tcBorders/>
            <w:vAlign w:val="center"/>
          </w:tcPr>
          <w:p>
            <w:pPr>
              <w:pStyle w:val="TableContents"/>
              <w:bidi w:val="0"/>
              <w:spacing w:before="0" w:after="283"/>
              <w:jc w:val="left"/>
              <w:rPr>
                <w:sz w:val="4"/>
                <w:szCs w:val="4"/>
              </w:rPr>
            </w:pPr>
            <w:r>
              <w:rPr>
                <w:sz w:val="4"/>
                <w:szCs w:val="4"/>
              </w:rPr>
            </w:r>
          </w:p>
        </w:tc>
        <w:tc>
          <w:tcPr>
            <w:tcW w:w="9633"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20" w:type="dxa"/>
            <w:tcBorders/>
            <w:vAlign w:val="center"/>
          </w:tcPr>
          <w:p>
            <w:pPr>
              <w:pStyle w:val="TableContents"/>
              <w:bidi w:val="0"/>
              <w:spacing w:before="0" w:after="283"/>
              <w:jc w:val="left"/>
              <w:rPr/>
            </w:pPr>
            <w:r>
              <w:rPr/>
              <w:t>  </w:t>
            </w:r>
          </w:p>
        </w:tc>
        <w:tc>
          <w:tcPr>
            <w:tcW w:w="9513" w:type="dxa"/>
            <w:tcBorders/>
            <w:vAlign w:val="center"/>
          </w:tcPr>
          <w:p>
            <w:pPr>
              <w:pStyle w:val="TableContents"/>
              <w:bidi w:val="0"/>
              <w:spacing w:before="0" w:after="283"/>
              <w:jc w:val="left"/>
              <w:rPr/>
            </w:pPr>
            <w:hyperlink w:anchor="d309963dex1011.htm">
              <w:r>
                <w:rPr>
                  <w:rStyle w:val="InternetLink"/>
                </w:rPr>
                <w:t xml:space="preserve">Executive Severance Plan.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544"/>
        <w:gridCol w:w="120"/>
        <w:gridCol w:w="9541"/>
      </w:tblGrid>
      <w:tr>
        <w:trPr/>
        <w:tc>
          <w:tcPr>
            <w:tcW w:w="5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1" w:type="dxa"/>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1012.htm">
              <w:r>
                <w:rPr>
                  <w:rStyle w:val="InternetLink"/>
                </w:rPr>
                <w:t xml:space="preserve">Form of Executive Employment Agreement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1013.htm">
              <w:r>
                <w:rPr>
                  <w:rStyle w:val="InternetLink"/>
                </w:rPr>
                <w:t xml:space="preserve">Nonexclusive License Agreement, by and between Obsidian Therapeutics, Inc. and The University of Texas M.D. Anderson Cancer Center, dated October 19, 2021.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1014.htm">
              <w:r>
                <w:rPr>
                  <w:rStyle w:val="InternetLink"/>
                </w:rPr>
                <w:t xml:space="preserve">Lease by and between Obsidian Therapeutics, Inc. and Cambridge 1030 Mass Ave, LLC, dated May 19, 2017, as amended.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1015.htm">
              <w:r>
                <w:rPr>
                  <w:rStyle w:val="InternetLink"/>
                </w:rPr>
                <w:t xml:space="preserve">Lease by and between Obsidian Therapeutics, Inc. and Patriots Park Owner, LLC, dated August 19, 2021.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211.htm">
              <w:r>
                <w:rPr>
                  <w:rStyle w:val="InternetLink"/>
                </w:rPr>
                <w:t xml:space="preserve">Subsidiaries of Obsidian Therapeutics, Inc.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991.htm">
              <w:r>
                <w:rPr>
                  <w:rStyle w:val="InternetLink"/>
                </w:rPr>
                <w:t xml:space="preserve">Press release issued on August 3, 2026.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99.2</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992.htm">
              <w:r>
                <w:rPr>
                  <w:rStyle w:val="InternetLink"/>
                </w:rPr>
                <w:t xml:space="preserve">Risk Factors of Obsidian Therapeutics, Inc.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99.3</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993.htm">
              <w:r>
                <w:rPr>
                  <w:rStyle w:val="InternetLink"/>
                </w:rPr>
                <w:t xml:space="preserve">Business Section of Obsidian Therapeutics, Inc.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99.4</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hyperlink w:anchor="d309963dex994.htm">
              <w:r>
                <w:rPr>
                  <w:rStyle w:val="InternetLink"/>
                </w:rPr>
                <w:t xml:space="preserve">Management’s Discussion and Analysis of Financial Condition and Results of Operations of Obsidian Therapeutics Sub, Inc. (formerly Obsidian Therapeutics, Inc.) for the years ended December 31, 2025 and 2024. </w:t>
              </w:r>
            </w:hyperlink>
          </w:p>
        </w:tc>
      </w:tr>
      <w:tr>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170"/>
        <w:gridCol w:w="4400"/>
      </w:tblGrid>
      <w:tr>
        <w:trPr/>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570" w:type="dxa"/>
        <w:jc w:val="left"/>
        <w:tblInd w:w="0" w:type="dxa"/>
        <w:tblLayout w:type="fixed"/>
        <w:tblCellMar>
          <w:top w:w="0" w:type="dxa"/>
          <w:left w:w="0" w:type="dxa"/>
          <w:bottom w:w="0" w:type="dxa"/>
          <w:right w:w="0" w:type="dxa"/>
        </w:tblCellMar>
      </w:tblPr>
      <w:tblGrid>
        <w:gridCol w:w="155"/>
        <w:gridCol w:w="1415"/>
      </w:tblGrid>
      <w:tr>
        <w:trPr/>
        <w:tc>
          <w:tcPr>
            <w:tcW w:w="15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previously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 exhibits have been omitted pursuant to Item 601(b)(2) or 601(a)(5), as applicable, of Regulation S-K. The Registrant agrees to furnish supplementally a copy of any omitted attachment to the SEC on a confidential basis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28"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320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10" w:type="dxa"/>
            <w:gridSpan w:val="3"/>
            <w:tcBorders/>
            <w:vAlign w:val="center"/>
          </w:tcPr>
          <w:p>
            <w:pPr>
              <w:pStyle w:val="TableContents"/>
              <w:bidi w:val="0"/>
              <w:spacing w:before="0" w:after="283"/>
              <w:jc w:val="left"/>
              <w:rPr>
                <w:b/>
              </w:rPr>
            </w:pPr>
            <w:r>
              <w:rPr>
                <w:b/>
              </w:rPr>
              <w:t>OBSIDIAN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6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Madan Jagasia</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Madan Jagasia</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Chief Executive Officer, Director</w:t>
            </w:r>
          </w:p>
        </w:tc>
      </w:tr>
    </w:tbl>
    <w:p>
      <w:pPr>
        <w:pStyle w:val="TextBody"/>
        <w:bidi w:val="0"/>
        <w:spacing w:before="0" w:after="0"/>
        <w:jc w:val="right"/>
        <w:rPr>
          <w:rFonts w:ascii="Times New Roman" w:hAnsi="Times New Roman"/>
          <w:b/>
          <w:sz w:val="20"/>
        </w:rPr>
      </w:pPr>
      <w:bookmarkStart w:id="4" w:name="d309963dex31.htm"/>
      <w:bookmarkStart w:id="5" w:name="ksd309963dex31"/>
      <w:bookmarkEnd w:id="4"/>
      <w:bookmarkEnd w:id="5"/>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GAZELLE PARENT, INC. </w:t>
      </w:r>
    </w:p>
    <w:p>
      <w:pPr>
        <w:pStyle w:val="TextBody"/>
        <w:bidi w:val="0"/>
        <w:spacing w:before="240" w:after="0"/>
        <w:jc w:val="left"/>
        <w:rPr>
          <w:rFonts w:ascii="Times New Roman" w:hAnsi="Times New Roman"/>
          <w:sz w:val="20"/>
        </w:rPr>
      </w:pPr>
      <w:r>
        <w:rPr>
          <w:rFonts w:ascii="Times New Roman" w:hAnsi="Times New Roman"/>
          <w:sz w:val="20"/>
        </w:rPr>
        <w:t xml:space="preserve">Gazelle Parent,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Gazelle Parent, Inc. The date of the filing of its original Certificate of Incorporation with the Secretary of State of the State of Delaware was April 10, 2026 (the “Original Certificate”). The name under which the Corporation filed the Original Certificate was Gazelle Parent, Inc. </w:t>
      </w:r>
    </w:p>
    <w:p>
      <w:pPr>
        <w:pStyle w:val="TextBody"/>
        <w:bidi w:val="0"/>
        <w:spacing w:before="240" w:after="0"/>
        <w:jc w:val="left"/>
        <w:rPr>
          <w:rFonts w:ascii="Times New Roman" w:hAnsi="Times New Roman"/>
          <w:sz w:val="20"/>
        </w:rPr>
      </w:pPr>
      <w:r>
        <w:rPr>
          <w:rFonts w:ascii="Times New Roman" w:hAnsi="Times New Roman"/>
          <w:sz w:val="20"/>
        </w:rPr>
        <w:t xml:space="preserve">2. This Amended and Restated Certificate of Incorporation (the “Certificate”) amends, restates and integrates the provisions of the Original Certificate, and was duly adopted in accordance with the provisions of Sections 228, 242 and 245 of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Original Certificate is hereby amended and restated in its entirety to provide as herein set forth in full.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Obsidian Therapeutics,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Corporation Trust Center, 1209 Orange Street, in the City of Wilmington, County of New Castle, 19801. The name of its registered agent at such address is The Corporation Trust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General Corporation Law of the State of Delaware (as amended from time to time, the “DGCL”).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capital stock which the Corporation shall have authority to issue is Five Hundred and Ten Million (510,000,000), of which (i) Five Hundred Million (500,000,000) shares shall be a class designated as common stock, par value $0.0001 per share (the “Common Stock”), and (ii) Ten Million (10,000,000) shares shall be a class designated as undesignated preferred stock, par value $0.0001 per share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Certificate of Incorporation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bidi w:val="0"/>
        <w:spacing w:before="240" w:after="0"/>
        <w:jc w:val="center"/>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all the rights, powers and preferences of the Preferred Stock and except as provided by law or in this Certificate (including any certificate of designation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(b) dividends may be declared and paid or set apart for payment upon the shares of Common Stock out of any assets or funds of the Corporation legally available for the payment of dividends, but only when, as and if declared by the Board of Directors of the Corporation (the “Board”) or any authorized committee thereof; and </w:t>
      </w:r>
    </w:p>
    <w:p>
      <w:pPr>
        <w:pStyle w:val="TextBody"/>
        <w:bidi w:val="0"/>
        <w:spacing w:before="240" w:after="0"/>
        <w:jc w:val="left"/>
        <w:rPr>
          <w:rFonts w:ascii="Times New Roman" w:hAnsi="Times New Roman"/>
          <w:sz w:val="20"/>
        </w:rPr>
      </w:pPr>
      <w:r>
        <w:rPr>
          <w:rFonts w:ascii="Times New Roman" w:hAnsi="Times New Roman"/>
          <w:sz w:val="20"/>
        </w:rPr>
        <w:t xml:space="preserve">(c) upon the voluntary or involuntary liquidation, dissolution or winding up of the Corporation, the net assets of the Corporation shall be distributed pro rata to the holders of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 without Meeting</w:t>
      </w:r>
      <w:r>
        <w:rPr>
          <w:rFonts w:ascii="Times New Roman" w:hAnsi="Times New Roman"/>
          <w:sz w:val="20"/>
        </w:rPr>
        <w:t xml:space="preserve">.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Number of Directors; Term of Office</w:t>
      </w:r>
      <w:r>
        <w:rPr>
          <w:rFonts w:ascii="Times New Roman" w:hAnsi="Times New Roman"/>
          <w:sz w:val="20"/>
        </w:rPr>
        <w:t xml:space="preserve">. Except as otherwise provided for or fixed pursuant to the provisions of Article IV (including any certificate of designation with respect to any series of Preferred Stock) and this Article VII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initial effectiveness of this Certificate. The term of office of the initial Class II Directors shall expire at the second annual meeting of stockholders following the initial effectiveness of this Certificate. The term of office of the initial Class III Directors shall expire at the third annual meeting of stockholders following the initial effectiveness of this Certificate.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Vacancies and Newly Created Directorships</w:t>
      </w:r>
      <w:r>
        <w:rPr>
          <w:rFonts w:ascii="Times New Roman" w:hAnsi="Times New Roman"/>
          <w:sz w:val="20"/>
        </w:rPr>
        <w:t xml:space="preserve">.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Removal</w:t>
      </w:r>
      <w:r>
        <w:rPr>
          <w:rFonts w:ascii="Times New Roman" w:hAnsi="Times New Roman"/>
          <w:sz w:val="20"/>
        </w:rPr>
        <w:t xml:space="preserve">.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Directors.</w:t>
      </w:r>
      <w:r>
        <w:rPr>
          <w:rFonts w:ascii="Times New Roman" w:hAnsi="Times New Roman"/>
          <w:sz w:val="20"/>
        </w:rPr>
        <w:t xml:space="preserve"> 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Officers</w:t>
      </w:r>
      <w:r>
        <w:rPr>
          <w:rFonts w:ascii="Times New Roman" w:hAnsi="Times New Roman"/>
          <w:sz w:val="20"/>
        </w:rPr>
        <w:t xml:space="preserve">.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or Modification</w:t>
      </w:r>
      <w:r>
        <w:rPr>
          <w:rFonts w:ascii="Times New Roman" w:hAnsi="Times New Roman"/>
          <w:sz w:val="20"/>
        </w:rPr>
        <w:t xml:space="preserve">.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by Directors</w:t>
      </w:r>
      <w:r>
        <w:rPr>
          <w:rFonts w:ascii="Times New Roman" w:hAnsi="Times New Roman"/>
          <w:sz w:val="20"/>
        </w:rPr>
        <w:t xml:space="preserve">. Except as otherwise provided by law, the Bylaws of the Corporation may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[End of 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AMENDED AND RESTATED CERTIFICATE OF INCORPORATION is executed as of this 31st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GAZELLE PARENT,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Madan Jagasia</w:t>
            </w:r>
          </w:p>
        </w:tc>
      </w:tr>
      <w:tr>
        <w:trPr/>
        <w:tc>
          <w:tcPr>
            <w:tcW w:w="4082" w:type="dxa"/>
            <w:gridSpan w:val="3"/>
            <w:tcBorders/>
          </w:tcPr>
          <w:p>
            <w:pPr>
              <w:pStyle w:val="TableContents"/>
              <w:bidi w:val="0"/>
              <w:spacing w:before="0" w:after="283"/>
              <w:jc w:val="left"/>
              <w:rPr/>
            </w:pPr>
            <w:r>
              <w:rPr/>
              <w:t>Name: Madan Jagasia</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6" w:name="d309963dex32.htm"/>
      <w:bookmarkStart w:id="7" w:name="ksd309963dex32"/>
      <w:bookmarkEnd w:id="6"/>
      <w:bookmarkEnd w:id="7"/>
      <w:r>
        <w:rPr>
          <w:rFonts w:ascii="Times New Roman" w:hAnsi="Times New Roman"/>
          <w:b/>
          <w:sz w:val="20"/>
        </w:rPr>
        <w:t xml:space="preserve">Exhibit 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(the “Corporation”)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Annual Meeting</w:t>
      </w:r>
      <w:r>
        <w:rPr>
          <w:rFonts w:ascii="Times New Roman" w:hAnsi="Times New Roman"/>
          <w:sz w:val="20"/>
        </w:rPr>
        <w:t xml:space="preserve">.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Notice of Stockholder Business and Nominations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 </w:t>
      </w:r>
    </w:p>
    <w:p>
      <w:pPr>
        <w:pStyle w:val="TextBody"/>
        <w:bidi w:val="0"/>
        <w:spacing w:before="120" w:after="0"/>
        <w:jc w:val="left"/>
        <w:rPr>
          <w:rFonts w:ascii="Times New Roman" w:hAnsi="Times New Roman"/>
          <w:sz w:val="20"/>
        </w:rPr>
      </w:pPr>
      <w:r>
        <w:rPr>
          <w:rFonts w:ascii="Times New Roman" w:hAnsi="Times New Roman"/>
          <w:sz w:val="20"/>
        </w:rPr>
        <w:t xml:space="preserve">(A)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120" w:after="0"/>
        <w:jc w:val="left"/>
        <w:rPr>
          <w:rFonts w:ascii="Times New Roman" w:hAnsi="Times New Roman"/>
          <w:sz w:val="20"/>
        </w:rPr>
      </w:pPr>
      <w:r>
        <w:rPr>
          <w:rFonts w:ascii="Times New Roman" w:hAnsi="Times New Roman"/>
          <w:sz w:val="20"/>
        </w:rPr>
        <w:t xml:space="preserve">(B)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 </w:t>
      </w:r>
    </w:p>
    <w:p>
      <w:pPr>
        <w:pStyle w:val="TextBody"/>
        <w:bidi w:val="0"/>
        <w:spacing w:before="120" w:after="0"/>
        <w:jc w:val="left"/>
        <w:rPr>
          <w:rFonts w:ascii="Times New Roman" w:hAnsi="Times New Roman"/>
          <w:sz w:val="20"/>
        </w:rPr>
      </w:pPr>
      <w:r>
        <w:rPr>
          <w:rFonts w:ascii="Times New Roman" w:hAnsi="Times New Roman"/>
          <w:sz w:val="20"/>
        </w:rPr>
        <w:t xml:space="preserve">(E)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 </w:t>
      </w:r>
    </w:p>
    <w:p>
      <w:pPr>
        <w:pStyle w:val="TextBody"/>
        <w:bidi w:val="0"/>
        <w:spacing w:before="120" w:after="0"/>
        <w:jc w:val="left"/>
        <w:rPr>
          <w:rFonts w:ascii="Times New Roman" w:hAnsi="Times New Roman"/>
          <w:sz w:val="20"/>
        </w:rPr>
      </w:pPr>
      <w:r>
        <w:rPr>
          <w:rFonts w:ascii="Times New Roman" w:hAnsi="Times New Roman"/>
          <w:sz w:val="20"/>
        </w:rPr>
        <w:t xml:space="preserve">(4)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Notice of Meetings; Adjournments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 </w:t>
      </w:r>
    </w:p>
    <w:p>
      <w:pPr>
        <w:pStyle w:val="TextBody"/>
        <w:bidi w:val="0"/>
        <w:spacing w:before="120" w:after="0"/>
        <w:jc w:val="left"/>
        <w:rPr>
          <w:rFonts w:ascii="Times New Roman" w:hAnsi="Times New Roman"/>
          <w:sz w:val="20"/>
        </w:rPr>
      </w:pPr>
      <w:r>
        <w:rPr>
          <w:rFonts w:ascii="Times New Roman" w:hAnsi="Times New Roman"/>
          <w:sz w:val="20"/>
        </w:rPr>
        <w:t xml:space="preserve">(b) Notice of all special meetings of stockholders shall be given in the same manner as provided for Annual Meetings, except that the notice of all special meetings shall also state the purpose or purposes for which the meeting has been called. </w:t>
      </w:r>
    </w:p>
    <w:p>
      <w:pPr>
        <w:pStyle w:val="TextBody"/>
        <w:bidi w:val="0"/>
        <w:spacing w:before="120" w:after="0"/>
        <w:jc w:val="left"/>
        <w:rPr>
          <w:rFonts w:ascii="Times New Roman" w:hAnsi="Times New Roman"/>
          <w:sz w:val="20"/>
        </w:rPr>
      </w:pPr>
      <w:r>
        <w:rPr>
          <w:rFonts w:ascii="Times New Roman" w:hAnsi="Times New Roman"/>
          <w:sz w:val="20"/>
        </w:rPr>
        <w:t xml:space="preserve">(c)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 </w:t>
      </w:r>
    </w:p>
    <w:p>
      <w:pPr>
        <w:pStyle w:val="TextBody"/>
        <w:bidi w:val="0"/>
        <w:spacing w:before="120" w:after="0"/>
        <w:jc w:val="left"/>
        <w:rPr>
          <w:rFonts w:ascii="Times New Roman" w:hAnsi="Times New Roman"/>
          <w:sz w:val="20"/>
        </w:rPr>
      </w:pPr>
      <w:r>
        <w:rPr>
          <w:rFonts w:ascii="Times New Roman" w:hAnsi="Times New Roman"/>
          <w:sz w:val="20"/>
        </w:rPr>
        <w:t xml:space="preserve">(e)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w:t>
      </w:r>
      <w:r>
        <w:rPr>
          <w:rFonts w:ascii="Times New Roman" w:hAnsi="Times New Roman"/>
          <w:sz w:val="20"/>
        </w:rPr>
        <w:t xml:space="preserve">.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Voting and Proxies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 </w:t>
      </w:r>
    </w:p>
    <w:p>
      <w:pPr>
        <w:pStyle w:val="TextBody"/>
        <w:bidi w:val="0"/>
        <w:spacing w:before="120" w:after="0"/>
        <w:jc w:val="left"/>
        <w:rPr>
          <w:rFonts w:ascii="Times New Roman" w:hAnsi="Times New Roman"/>
          <w:sz w:val="20"/>
        </w:rPr>
      </w:pPr>
      <w:r>
        <w:rPr>
          <w:rFonts w:ascii="Times New Roman" w:hAnsi="Times New Roman"/>
          <w:sz w:val="20"/>
        </w:rPr>
        <w:t xml:space="preserve">(b) Any stockholder directly or indirectly soliciting proxies from other stockholders must use a proxy card color other than white, which shall be reserved for the exclusive 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Action at Meeting</w:t>
      </w:r>
      <w:r>
        <w:rPr>
          <w:rFonts w:ascii="Times New Roman" w:hAnsi="Times New Roman"/>
          <w:sz w:val="20"/>
        </w:rPr>
        <w:t xml:space="preserve">.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Stockholder Lists</w:t>
      </w:r>
      <w:r>
        <w:rPr>
          <w:rFonts w:ascii="Times New Roman" w:hAnsi="Times New Roman"/>
          <w:sz w:val="20"/>
        </w:rPr>
        <w:t xml:space="preserve">. The Corporation shall prepare, no later than the tenth (10th)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Conduct of Meeting</w:t>
      </w:r>
      <w:r>
        <w:rPr>
          <w:rFonts w:ascii="Times New Roman" w:hAnsi="Times New Roman"/>
          <w:sz w:val="20"/>
        </w:rPr>
        <w:t xml:space="preserve">.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Inspectors of Elections</w:t>
      </w:r>
      <w:r>
        <w:rPr>
          <w:rFonts w:ascii="Times New Roman" w:hAnsi="Times New Roman"/>
          <w:sz w:val="20"/>
        </w:rPr>
        <w:t xml:space="preserve">.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Powers</w:t>
      </w:r>
      <w:r>
        <w:rPr>
          <w:rFonts w:ascii="Times New Roman" w:hAnsi="Times New Roman"/>
          <w:sz w:val="20"/>
        </w:rPr>
        <w:t xml:space="preserve">. The business and affairs of the Corporation shall be managed by or under the direction of the Board of Directors, except as otherwise provided by the Certificate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and Terms</w:t>
      </w:r>
      <w:r>
        <w:rPr>
          <w:rFonts w:ascii="Times New Roman" w:hAnsi="Times New Roman"/>
          <w:sz w:val="20"/>
        </w:rPr>
        <w:t xml:space="preserve">.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director need be a stockholder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Vacancies</w:t>
      </w:r>
      <w:r>
        <w:rPr>
          <w:rFonts w:ascii="Times New Roman" w:hAnsi="Times New Roman"/>
          <w:sz w:val="20"/>
        </w:rPr>
        <w:t xml:space="preserve">. Vacancies in the Board of Directors shall be filled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Removal</w:t>
      </w:r>
      <w:r>
        <w:rPr>
          <w:rFonts w:ascii="Times New Roman" w:hAnsi="Times New Roman"/>
          <w:sz w:val="20"/>
        </w:rPr>
        <w:t xml:space="preserve">. Directors may be removed from office only in the manner provided in the Certificate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Resignation</w:t>
      </w:r>
      <w:r>
        <w:rPr>
          <w:rFonts w:ascii="Times New Roman" w:hAnsi="Times New Roman"/>
          <w:sz w:val="20"/>
        </w:rPr>
        <w:t xml:space="preserve">. A director may resign at any time by electronic transmission or by giving written notice to the Chairperson of the Board, if one is elected, the President or the Secretary. A resignation shall be effective upon receipt, unless the resignation otherwise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Regular Meetings</w:t>
      </w:r>
      <w:r>
        <w:rPr>
          <w:rFonts w:ascii="Times New Roman" w:hAnsi="Times New Roman"/>
          <w:sz w:val="20"/>
        </w:rPr>
        <w:t xml:space="preserve">. Regular meetings of the Board of Directors may be held at such hour, date and place (if any) as the Board of Directors may from time to time determine and publicize by means of reasonable notice given to any director who is not present when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Special Meetings</w:t>
      </w:r>
      <w:r>
        <w:rPr>
          <w:rFonts w:ascii="Times New Roman" w:hAnsi="Times New Roman"/>
          <w:sz w:val="20"/>
        </w:rPr>
        <w:t xml:space="preserve">.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 of Meetings</w:t>
      </w:r>
      <w:r>
        <w:rPr>
          <w:rFonts w:ascii="Times New Roman" w:hAnsi="Times New Roman"/>
          <w:sz w:val="20"/>
        </w:rPr>
        <w:t xml:space="preserve">.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Quorum</w:t>
      </w:r>
      <w:r>
        <w:rPr>
          <w:rFonts w:ascii="Times New Roman" w:hAnsi="Times New Roman"/>
          <w:sz w:val="20"/>
        </w:rPr>
        <w:t xml:space="preserve">.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Action at Meeting</w:t>
      </w:r>
      <w:r>
        <w:rPr>
          <w:rFonts w:ascii="Times New Roman" w:hAnsi="Times New Roman"/>
          <w:sz w:val="20"/>
        </w:rPr>
        <w:t xml:space="preserve">. At any meeting of the Board of Directors at which a quorum is present, the affirmative vote of a majority of the directors present shall constitute action by the Board of Directors, unless otherwise required by law, by the Certificate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Action by Consent</w:t>
      </w:r>
      <w:r>
        <w:rPr>
          <w:rFonts w:ascii="Times New Roman" w:hAnsi="Times New Roman"/>
          <w:sz w:val="20"/>
        </w:rPr>
        <w:t xml:space="preserve">.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Manner of Participation</w:t>
      </w:r>
      <w:r>
        <w:rPr>
          <w:rFonts w:ascii="Times New Roman" w:hAnsi="Times New Roman"/>
          <w:sz w:val="20"/>
        </w:rPr>
        <w:t xml:space="preserve">.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Presiding Director</w:t>
      </w:r>
      <w:r>
        <w:rPr>
          <w:rFonts w:ascii="Times New Roman" w:hAnsi="Times New Roman"/>
          <w:sz w:val="20"/>
        </w:rPr>
        <w:t xml:space="preserve">.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Committees</w:t>
      </w:r>
      <w:r>
        <w:rPr>
          <w:rFonts w:ascii="Times New Roman" w:hAnsi="Times New Roman"/>
          <w:sz w:val="20"/>
        </w:rPr>
        <w:t xml:space="preserve">.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Compensation of Directors</w:t>
      </w:r>
      <w:r>
        <w:rPr>
          <w:rFonts w:ascii="Times New Roman" w:hAnsi="Times New Roman"/>
          <w:sz w:val="20"/>
        </w:rPr>
        <w:t xml:space="preserve">.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Emergency By-laws</w:t>
      </w:r>
      <w:r>
        <w:rPr>
          <w:rFonts w:ascii="Times New Roman" w:hAnsi="Times New Roman"/>
          <w:sz w:val="20"/>
        </w:rPr>
        <w:t xml:space="preserve">. In the event of any emergency, disaster, catastrophe or other similar emergency condition of a type described in Section 110(a) of the DGCL (an “Emergency”), notwithstanding any different or conflicting provisions in the DGCL, the Certificate or these By-laws, during such Emergency: </w:t>
      </w:r>
    </w:p>
    <w:p>
      <w:pPr>
        <w:pStyle w:val="TextBody"/>
        <w:bidi w:val="0"/>
        <w:spacing w:before="120" w:after="0"/>
        <w:jc w:val="left"/>
        <w:rPr>
          <w:rFonts w:ascii="Times New Roman" w:hAnsi="Times New Roman"/>
          <w:sz w:val="20"/>
        </w:rPr>
      </w:pPr>
      <w:r>
        <w:rPr>
          <w:rFonts w:ascii="Times New Roman" w:hAnsi="Times New Roman"/>
          <w:sz w:val="20"/>
        </w:rPr>
        <w:t xml:space="preserve">(a)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 </w:t>
      </w:r>
    </w:p>
    <w:p>
      <w:pPr>
        <w:pStyle w:val="TextBody"/>
        <w:bidi w:val="0"/>
        <w:spacing w:before="120" w:after="0"/>
        <w:jc w:val="left"/>
        <w:rPr>
          <w:rFonts w:ascii="Times New Roman" w:hAnsi="Times New Roman"/>
          <w:sz w:val="20"/>
        </w:rPr>
      </w:pPr>
      <w:r>
        <w:rPr>
          <w:rFonts w:ascii="Times New Roman" w:hAnsi="Times New Roman"/>
          <w:sz w:val="20"/>
        </w:rPr>
        <w:t xml:space="preserve">(b) The director or directors in attendance at a meeting called in accordance with Section 17(a) of this Article II shall constitute a quorum. </w:t>
      </w:r>
    </w:p>
    <w:p>
      <w:pPr>
        <w:pStyle w:val="TextBody"/>
        <w:bidi w:val="0"/>
        <w:spacing w:before="120" w:after="0"/>
        <w:jc w:val="left"/>
        <w:rPr>
          <w:rFonts w:ascii="Times New Roman" w:hAnsi="Times New Roman"/>
          <w:sz w:val="20"/>
        </w:rPr>
      </w:pPr>
      <w:r>
        <w:rPr>
          <w:rFonts w:ascii="Times New Roman" w:hAnsi="Times New Roman"/>
          <w:sz w:val="20"/>
        </w:rPr>
        <w:t xml:space="preserve">(c)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Enumeration</w:t>
      </w:r>
      <w:r>
        <w:rPr>
          <w:rFonts w:ascii="Times New Roman" w:hAnsi="Times New Roman"/>
          <w:sz w:val="20"/>
        </w:rPr>
        <w:t xml:space="preserve">.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Election</w:t>
      </w:r>
      <w:r>
        <w:rPr>
          <w:rFonts w:ascii="Times New Roman" w:hAnsi="Times New Roman"/>
          <w:sz w:val="20"/>
        </w:rPr>
        <w:t xml:space="preserve">. The Board of Directors shall elect the President, the Treasurer and the Secretary. Other officers may be elected by the Board of Directors or by such officers delegated such authority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officer need be a stockholder or a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Tenure</w:t>
      </w:r>
      <w:r>
        <w:rPr>
          <w:rFonts w:ascii="Times New Roman" w:hAnsi="Times New Roman"/>
          <w:sz w:val="20"/>
        </w:rPr>
        <w:t xml:space="preserve">. Except as otherwise provided by the Certificate or by these Bylaws, each of the officers of the Corporation shall hold office until his or her successor is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Resignation and Removal</w:t>
      </w:r>
      <w:r>
        <w:rPr>
          <w:rFonts w:ascii="Times New Roman" w:hAnsi="Times New Roman"/>
          <w:sz w:val="20"/>
        </w:rPr>
        <w:t xml:space="preserve">.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Absence or Disability</w:t>
      </w:r>
      <w:r>
        <w:rPr>
          <w:rFonts w:ascii="Times New Roman" w:hAnsi="Times New Roman"/>
          <w:sz w:val="20"/>
        </w:rPr>
        <w:t xml:space="preserve">. In the event of the absence or disability of any officer, the Board of Directors may designate another officer to act temporarily in place of such absent or disabled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Vacancies</w:t>
      </w:r>
      <w:r>
        <w:rPr>
          <w:rFonts w:ascii="Times New Roman" w:hAnsi="Times New Roman"/>
          <w:sz w:val="20"/>
        </w:rPr>
        <w:t xml:space="preserve">.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President</w:t>
      </w:r>
      <w:r>
        <w:rPr>
          <w:rFonts w:ascii="Times New Roman" w:hAnsi="Times New Roman"/>
          <w:sz w:val="20"/>
        </w:rPr>
        <w:t xml:space="preserve">. The President shall, subject to the direction of the Board of Directors, have such powers and shall perform such duties as the Board of Directors may from time to time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Chairperson of the Board</w:t>
      </w:r>
      <w:r>
        <w:rPr>
          <w:rFonts w:ascii="Times New Roman" w:hAnsi="Times New Roman"/>
          <w:sz w:val="20"/>
        </w:rPr>
        <w:t xml:space="preserve">. The Chairperson of the Board,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Chief Executive Officer</w:t>
      </w:r>
      <w:r>
        <w:rPr>
          <w:rFonts w:ascii="Times New Roman" w:hAnsi="Times New Roman"/>
          <w:sz w:val="20"/>
        </w:rPr>
        <w:t xml:space="preserve">. The Chief Executive Officer,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Vice Presidents and Assistant Vice Presidents</w:t>
      </w:r>
      <w:r>
        <w:rPr>
          <w:rFonts w:ascii="Times New Roman" w:hAnsi="Times New Roman"/>
          <w:sz w:val="20"/>
        </w:rPr>
        <w:t xml:space="preserve">. Any Vice President (including any Executive Vice President or Senior Vice President) and any Assistant Vice President shall have such powers and shall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Treasurer and Assistant Treasurers</w:t>
      </w:r>
      <w:r>
        <w:rPr>
          <w:rFonts w:ascii="Times New Roman" w:hAnsi="Times New Roman"/>
          <w:sz w:val="20"/>
        </w:rPr>
        <w:t xml:space="preserve">.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Secretary and Assistant Secretaries</w:t>
      </w:r>
      <w:r>
        <w:rPr>
          <w:rFonts w:ascii="Times New Roman" w:hAnsi="Times New Roman"/>
          <w:sz w:val="20"/>
        </w:rPr>
        <w:t xml:space="preserve">.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Other Powers and Duties</w:t>
      </w:r>
      <w:r>
        <w:rPr>
          <w:rFonts w:ascii="Times New Roman" w:hAnsi="Times New Roman"/>
          <w:sz w:val="20"/>
        </w:rPr>
        <w:t xml:space="preserve">.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Representation of Shares of Other Corporations</w:t>
      </w:r>
      <w:r>
        <w:rPr>
          <w:rFonts w:ascii="Times New Roman" w:hAnsi="Times New Roman"/>
          <w:sz w:val="20"/>
        </w:rPr>
        <w:t xml:space="preserve">.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Bonded Officers</w:t>
      </w:r>
      <w:r>
        <w:rPr>
          <w:rFonts w:ascii="Times New Roman" w:hAnsi="Times New Roman"/>
          <w:sz w:val="20"/>
        </w:rPr>
        <w:t xml:space="preserve">.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 of Stock</w:t>
      </w:r>
      <w:r>
        <w:rPr>
          <w:rFonts w:ascii="Times New Roman" w:hAnsi="Times New Roman"/>
          <w:sz w:val="20"/>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Transfers</w:t>
      </w:r>
      <w:r>
        <w:rPr>
          <w:rFonts w:ascii="Times New Roman" w:hAnsi="Times New Roman"/>
          <w:sz w:val="20"/>
        </w:rPr>
        <w:t xml:space="preserve">.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Transfer Agreements</w:t>
      </w:r>
      <w:r>
        <w:rPr>
          <w:rFonts w:ascii="Times New Roman" w:hAnsi="Times New Roman"/>
          <w:sz w:val="20"/>
        </w:rPr>
        <w:t xml:space="preserve">.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Record Holders</w:t>
      </w:r>
      <w:r>
        <w:rPr>
          <w:rFonts w:ascii="Times New Roman" w:hAnsi="Times New Roman"/>
          <w:sz w:val="20"/>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Replacement of Certificates</w:t>
      </w:r>
      <w:r>
        <w:rPr>
          <w:rFonts w:ascii="Times New Roman" w:hAnsi="Times New Roman"/>
          <w:sz w:val="20"/>
        </w:rPr>
        <w:t xml:space="preserve">. In case of the alleged loss, destruction or mutilation of a certificate of stock of the Corporation, a duplicate certificate may be issued in place thereof, upon such terms as the Board of Directors may prescribe.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purposes of this Article V: </w:t>
      </w:r>
    </w:p>
    <w:p>
      <w:pPr>
        <w:pStyle w:val="TextBody"/>
        <w:bidi w:val="0"/>
        <w:spacing w:before="12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120" w:after="0"/>
        <w:jc w:val="left"/>
        <w:rPr>
          <w:rFonts w:ascii="Times New Roman" w:hAnsi="Times New Roman"/>
          <w:sz w:val="20"/>
        </w:rPr>
      </w:pPr>
      <w:r>
        <w:rPr>
          <w:rFonts w:ascii="Times New Roman" w:hAnsi="Times New Roman"/>
          <w:sz w:val="20"/>
        </w:rPr>
        <w:t xml:space="preserve">(e) “Liabilities” means judgments, damages, liabilities, losses, penalties, excise taxes, fines and amounts paid in settlement; </w:t>
      </w:r>
    </w:p>
    <w:p>
      <w:pPr>
        <w:pStyle w:val="TextBody"/>
        <w:bidi w:val="0"/>
        <w:spacing w:before="120" w:after="0"/>
        <w:jc w:val="left"/>
        <w:rPr>
          <w:rFonts w:ascii="Times New Roman" w:hAnsi="Times New Roman"/>
          <w:sz w:val="20"/>
        </w:rPr>
      </w:pPr>
      <w:r>
        <w:rPr>
          <w:rFonts w:ascii="Times New Roman" w:hAnsi="Times New Roman"/>
          <w:sz w:val="20"/>
        </w:rPr>
        <w:t xml:space="preserve">(f) “Non-Officer Employee” means any person who serves or has served as an employee or agent of the Corporation, but who is not or was not a Director or Officer; </w:t>
      </w:r>
    </w:p>
    <w:p>
      <w:pPr>
        <w:pStyle w:val="TextBody"/>
        <w:bidi w:val="0"/>
        <w:spacing w:before="120" w:after="0"/>
        <w:jc w:val="left"/>
        <w:rPr>
          <w:rFonts w:ascii="Times New Roman" w:hAnsi="Times New Roman"/>
          <w:sz w:val="20"/>
        </w:rPr>
      </w:pPr>
      <w:r>
        <w:rPr>
          <w:rFonts w:ascii="Times New Roman" w:hAnsi="Times New Roman"/>
          <w:sz w:val="20"/>
        </w:rPr>
        <w:t xml:space="preserve">(g) “Officer” means any person who serves or has served the Corporation as an officer of the Corporation appointed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(h)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120" w:after="0"/>
        <w:jc w:val="left"/>
        <w:rPr>
          <w:rFonts w:ascii="Times New Roman" w:hAnsi="Times New Roman"/>
          <w:sz w:val="20"/>
        </w:rPr>
      </w:pPr>
      <w:r>
        <w:rPr>
          <w:rFonts w:ascii="Times New Roman" w:hAnsi="Times New Roman"/>
          <w:sz w:val="20"/>
        </w:rPr>
        <w:t xml:space="preserve">(i)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Actions, Suits and Proceedings Other than By or In the Right of the Corporation</w:t>
      </w:r>
      <w:r>
        <w:rPr>
          <w:rFonts w:ascii="Times New Roman" w:hAnsi="Times New Roman"/>
          <w:sz w:val="20"/>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Actions, Suits and Proceedings By or In the Right of the Corporation</w:t>
      </w:r>
      <w:r>
        <w:rPr>
          <w:rFonts w:ascii="Times New Roman" w:hAnsi="Times New Roman"/>
          <w:sz w:val="20"/>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Survival of Rights</w:t>
      </w:r>
      <w:r>
        <w:rPr>
          <w:rFonts w:ascii="Times New Roman" w:hAnsi="Times New Roman"/>
          <w:sz w:val="20"/>
        </w:rPr>
        <w:t xml:space="preserve">. The rights of indemnification provided by this Section 2 shall continue as to a Director or Officer after he or she has ceased to be a Director or Officer and shall inure to the benefit of his or her heirs, executors, administrators and personal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Actions by Directors or Officers</w:t>
      </w:r>
      <w:r>
        <w:rPr>
          <w:rFonts w:ascii="Times New Roman" w:hAnsi="Times New Roman"/>
          <w:sz w:val="20"/>
        </w:rPr>
        <w:t xml:space="preserve">.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 I</w:t>
      </w:r>
      <w:r>
        <w:rPr>
          <w:rFonts w:ascii="Times New Roman" w:hAnsi="Times New Roman"/>
          <w:sz w:val="20"/>
          <w:u w:val="single"/>
        </w:rPr>
        <w:t>ndemnification of Non-Officer Employees</w:t>
      </w:r>
      <w:r>
        <w:rPr>
          <w:rFonts w:ascii="Times New Roman" w:hAnsi="Times New Roman"/>
          <w:sz w:val="20"/>
        </w:rPr>
        <w:t xml:space="preserve">.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Determination</w:t>
      </w:r>
      <w:r>
        <w:rPr>
          <w:rFonts w:ascii="Times New Roman" w:hAnsi="Times New Roman"/>
          <w:sz w:val="20"/>
        </w:rPr>
        <w:t xml:space="preserve">.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Advancement of Expenses to Directors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Advancement of Expenses to Officers and Non-Officer Employees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 </w:t>
      </w:r>
    </w:p>
    <w:p>
      <w:pPr>
        <w:pStyle w:val="TextBody"/>
        <w:bidi w:val="0"/>
        <w:spacing w:before="12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Contractual Nature of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Non-Exclusivity of Rights</w:t>
      </w:r>
      <w:r>
        <w:rPr>
          <w:rFonts w:ascii="Times New Roman" w:hAnsi="Times New Roman"/>
          <w:sz w:val="20"/>
        </w:rPr>
        <w:t xml:space="preserve">.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Other Indemnification</w:t>
      </w:r>
      <w:r>
        <w:rPr>
          <w:rFonts w:ascii="Times New Roman" w:hAnsi="Times New Roman"/>
          <w:sz w:val="20"/>
        </w:rPr>
        <w:t xml:space="preserve">.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Savings Clause</w:t>
      </w:r>
      <w:r>
        <w:rPr>
          <w:rFonts w:ascii="Times New Roman" w:hAnsi="Times New Roman"/>
          <w:sz w:val="20"/>
        </w:rPr>
        <w:t xml:space="preserve">.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Fiscal Year</w:t>
      </w:r>
      <w:r>
        <w:rPr>
          <w:rFonts w:ascii="Times New Roman" w:hAnsi="Times New Roman"/>
          <w:sz w:val="20"/>
        </w:rPr>
        <w:t xml:space="preserve">. The fiscal year of the Corporation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Seal</w:t>
      </w:r>
      <w:r>
        <w:rPr>
          <w:rFonts w:ascii="Times New Roman" w:hAnsi="Times New Roman"/>
          <w:sz w:val="20"/>
        </w:rPr>
        <w:t xml:space="preserve">.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Execution of Instruments</w:t>
      </w:r>
      <w:r>
        <w:rPr>
          <w:rFonts w:ascii="Times New Roman" w:hAnsi="Times New Roman"/>
          <w:sz w:val="20"/>
        </w:rPr>
        <w:t xml:space="preserve">.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Voting of Securities</w:t>
      </w:r>
      <w:r>
        <w:rPr>
          <w:rFonts w:ascii="Times New Roman" w:hAnsi="Times New Roman"/>
          <w:sz w:val="20"/>
        </w:rPr>
        <w:t xml:space="preserve">.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Resident Agent</w:t>
      </w:r>
      <w:r>
        <w:rPr>
          <w:rFonts w:ascii="Times New Roman" w:hAnsi="Times New Roman"/>
          <w:sz w:val="20"/>
        </w:rPr>
        <w:t xml:space="preserve">.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Corporate Records</w:t>
      </w:r>
      <w:r>
        <w:rPr>
          <w:rFonts w:ascii="Times New Roman" w:hAnsi="Times New Roman"/>
          <w:sz w:val="20"/>
        </w:rPr>
        <w:t xml:space="preserve">.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Certificate</w:t>
      </w:r>
      <w:r>
        <w:rPr>
          <w:rFonts w:ascii="Times New Roman" w:hAnsi="Times New Roman"/>
          <w:sz w:val="20"/>
        </w:rPr>
        <w:t xml:space="preserve">. All references in these Bylaws to the Certificate shall be deemed to refer to the Certificate, as amended and/or restated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Exclusive Jurisdiction of Delaware Courts or the United States Federal District Courts</w:t>
      </w:r>
      <w:r>
        <w:rPr>
          <w:rFonts w:ascii="Times New Roman" w:hAnsi="Times New Roman"/>
          <w:sz w:val="20"/>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Amendment of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by Directors</w:t>
      </w:r>
      <w:r>
        <w:rPr>
          <w:rFonts w:ascii="Times New Roman" w:hAnsi="Times New Roman"/>
          <w:sz w:val="20"/>
        </w:rPr>
        <w:t xml:space="preserve">. Except as otherwise required by law, these Bylaws may be amended or repealed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 by Stockholders</w:t>
      </w:r>
      <w:r>
        <w:rPr>
          <w:rFonts w:ascii="Times New Roman" w:hAnsi="Times New Roman"/>
          <w:sz w:val="20"/>
        </w:rPr>
        <w:t xml:space="preserve">.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xml:space="preserve">.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Waivers</w:t>
      </w:r>
      <w:r>
        <w:rPr>
          <w:rFonts w:ascii="Times New Roman" w:hAnsi="Times New Roman"/>
          <w:sz w:val="20"/>
        </w:rPr>
        <w:t xml:space="preserve">.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 </w:t>
      </w:r>
    </w:p>
    <w:p>
      <w:pPr>
        <w:pStyle w:val="TextBody"/>
        <w:bidi w:val="0"/>
        <w:spacing w:before="240" w:after="0"/>
        <w:jc w:val="left"/>
        <w:rPr>
          <w:rFonts w:ascii="Times New Roman" w:hAnsi="Times New Roman"/>
          <w:sz w:val="20"/>
        </w:rPr>
      </w:pPr>
      <w:r>
        <w:rPr>
          <w:rFonts w:ascii="Times New Roman" w:hAnsi="Times New Roman"/>
          <w:sz w:val="20"/>
        </w:rPr>
        <w:t xml:space="preserve">Adopted July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right"/>
        <w:rPr>
          <w:rFonts w:ascii="Times New Roman" w:hAnsi="Times New Roman"/>
          <w:b/>
          <w:sz w:val="20"/>
        </w:rPr>
      </w:pPr>
      <w:bookmarkStart w:id="8" w:name="d309963dex41.htm"/>
      <w:bookmarkStart w:id="9" w:name="ksd309963dex41"/>
      <w:bookmarkEnd w:id="8"/>
      <w:bookmarkEnd w:id="9"/>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GALERA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TO PURCHASE COMMON STOCK </w:t>
      </w:r>
    </w:p>
    <w:p>
      <w:pPr>
        <w:pStyle w:val="TextBody"/>
        <w:bidi w:val="0"/>
        <w:spacing w:before="240" w:after="0"/>
        <w:jc w:val="left"/>
        <w:rPr>
          <w:rFonts w:ascii="Times New Roman" w:hAnsi="Times New Roman"/>
          <w:sz w:val="20"/>
        </w:rPr>
      </w:pPr>
      <w:r>
        <w:rPr>
          <w:rFonts w:ascii="Times New Roman" w:hAnsi="Times New Roman"/>
          <w:sz w:val="20"/>
        </w:rPr>
        <w:t xml:space="preserve">Warrant No.: [ ●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43"/>
        <w:gridCol w:w="123"/>
        <w:gridCol w:w="1939"/>
      </w:tblGrid>
      <w:tr>
        <w:trPr/>
        <w:tc>
          <w:tcPr>
            <w:tcW w:w="81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8143" w:type="dxa"/>
            <w:tcBorders/>
          </w:tcPr>
          <w:p>
            <w:pPr>
              <w:pStyle w:val="TableContents"/>
              <w:bidi w:val="0"/>
              <w:spacing w:before="0" w:after="0"/>
              <w:jc w:val="left"/>
              <w:rPr>
                <w:rFonts w:ascii="Times New Roman" w:hAnsi="Times New Roman"/>
                <w:sz w:val="20"/>
              </w:rPr>
            </w:pPr>
            <w:r>
              <w:rPr>
                <w:rFonts w:ascii="Times New Roman" w:hAnsi="Times New Roman"/>
                <w:sz w:val="20"/>
              </w:rPr>
              <w:t>Warrant Shares:</w:t>
            </w:r>
          </w:p>
          <w:p>
            <w:pPr>
              <w:pStyle w:val="TableContents"/>
              <w:bidi w:val="0"/>
              <w:spacing w:before="0" w:after="20"/>
              <w:jc w:val="left"/>
              <w:rPr>
                <w:rFonts w:ascii="Times New Roman" w:hAnsi="Times New Roman"/>
                <w:sz w:val="20"/>
              </w:rPr>
            </w:pPr>
            <w:r>
              <w:rPr>
                <w:rFonts w:ascii="Times New Roman" w:hAnsi="Times New Roman"/>
                <w:sz w:val="20"/>
              </w:rPr>
              <w:t>February 17, 2023</w:t>
            </w:r>
          </w:p>
        </w:tc>
        <w:tc>
          <w:tcPr>
            <w:tcW w:w="123"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Initial Exercise Date:</w:t>
            </w:r>
          </w:p>
        </w:tc>
      </w:tr>
    </w:tbl>
    <w:p>
      <w:pPr>
        <w:pStyle w:val="TextBody"/>
        <w:bidi w:val="0"/>
        <w:spacing w:before="240" w:after="0"/>
        <w:jc w:val="left"/>
        <w:rPr>
          <w:rFonts w:ascii="Times New Roman" w:hAnsi="Times New Roman"/>
          <w:sz w:val="20"/>
        </w:rPr>
      </w:pPr>
      <w:r>
        <w:rPr>
          <w:rFonts w:ascii="Times New Roman" w:hAnsi="Times New Roman"/>
          <w:sz w:val="20"/>
        </w:rPr>
        <w:t>THIS WARRANT TO PURCHASE COMMON STOCK (this “</w:t>
      </w:r>
      <w:r>
        <w:rPr>
          <w:rFonts w:ascii="Times New Roman" w:hAnsi="Times New Roman"/>
          <w:sz w:val="20"/>
          <w:u w:val="single"/>
        </w:rPr>
        <w:t>Warrant</w:t>
      </w:r>
      <w:r>
        <w:rPr>
          <w:rFonts w:ascii="Times New Roman" w:hAnsi="Times New Roman"/>
          <w:sz w:val="20"/>
        </w:rPr>
        <w:t>”) certifies that, for value received, [ ● ]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date hereof (the “</w:t>
      </w:r>
      <w:r>
        <w:rPr>
          <w:rFonts w:ascii="Times New Roman" w:hAnsi="Times New Roman"/>
          <w:sz w:val="20"/>
          <w:u w:val="single"/>
        </w:rPr>
        <w:t>Initial Exercise Date</w:t>
      </w:r>
      <w:r>
        <w:rPr>
          <w:rFonts w:ascii="Times New Roman" w:hAnsi="Times New Roman"/>
          <w:sz w:val="20"/>
        </w:rPr>
        <w:t>”) and on or prior to 5:00 p.m. (New York City time) on February 17, 2028 (the “</w:t>
      </w:r>
      <w:r>
        <w:rPr>
          <w:rFonts w:ascii="Times New Roman" w:hAnsi="Times New Roman"/>
          <w:sz w:val="20"/>
          <w:u w:val="single"/>
        </w:rPr>
        <w:t>Termination Date</w:t>
      </w:r>
      <w:r>
        <w:rPr>
          <w:rFonts w:ascii="Times New Roman" w:hAnsi="Times New Roman"/>
          <w:sz w:val="20"/>
        </w:rPr>
        <w:t>”) but not thereafter, to subscribe for and purchase from Galera Therapeutics, Inc., a Delaware corporation (the “</w:t>
      </w:r>
      <w:r>
        <w:rPr>
          <w:rFonts w:ascii="Times New Roman" w:hAnsi="Times New Roman"/>
          <w:sz w:val="20"/>
          <w:u w:val="single"/>
        </w:rPr>
        <w:t>Company</w:t>
      </w:r>
      <w:r>
        <w:rPr>
          <w:rFonts w:ascii="Times New Roman" w:hAnsi="Times New Roman"/>
          <w:sz w:val="20"/>
        </w:rPr>
        <w:t>”), up to [ ● ] shares (as subject to adjustment hereunder, the “</w:t>
      </w:r>
      <w:r>
        <w:rPr>
          <w:rFonts w:ascii="Times New Roman" w:hAnsi="Times New Roman"/>
          <w:sz w:val="20"/>
          <w:u w:val="single"/>
        </w:rPr>
        <w:t>Warrant Shares</w:t>
      </w:r>
      <w:r>
        <w:rPr>
          <w:rFonts w:ascii="Times New Roman" w:hAnsi="Times New Roman"/>
          <w:sz w:val="20"/>
        </w:rPr>
        <w:t>”) of Common Stock. The purchase price of one share of Common Stock under this Warrant shall be equal to the Exercise Price (as defined in Section 2(b)). This Warrant shall initially be issued and maintained in the form of a security held in book-entry form and the Depository Trust Company or its nominee (“</w:t>
      </w:r>
      <w:r>
        <w:rPr>
          <w:rFonts w:ascii="Times New Roman" w:hAnsi="Times New Roman"/>
          <w:sz w:val="20"/>
          <w:u w:val="single"/>
        </w:rPr>
        <w:t>DTC</w:t>
      </w:r>
      <w:r>
        <w:rPr>
          <w:rFonts w:ascii="Times New Roman" w:hAnsi="Times New Roman"/>
          <w:sz w:val="20"/>
        </w:rPr>
        <w:t xml:space="preserve">”) shall initially be the sole registered holder of this Warrant, subject to a Holder’s right to elect to receive a Warrant in certificated form pursuant to the terms of the Warrant Agency Agreement, in which case this sentence shall not apply.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Capitalized terms used and not otherwise defined herein shall have the meanings set forth in that certain Securities Purchase Agreement, dated February 15, 2023, by and between the Company and the Investors named therein.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sz w:val="20"/>
          <w:u w:val="single"/>
        </w:rPr>
        <w:t>Notice of Exercise</w:t>
      </w:r>
      <w:r>
        <w:rPr>
          <w:rFonts w:ascii="Times New Roman" w:hAnsi="Times New Roman"/>
          <w:sz w:val="20"/>
        </w:rPr>
        <w:t xml:space="preserve">”). Within the earlier of (i) two (2) Trading Days (as defined in Section 2(d)(i) herein) and (ii) the number of Trading Days comprising the Standard Settlement Period (as defined in Section 2(d)(i) herein) following the date of exercise as aforesaid, the Holder shall deliver the aggregate Exercise Price to the Company for the shares specified in the applicable Notice of Exercise by wire transfer or cashier’s check drawn on a United States bank unless the Cashless Exercise procedure specified in Section 2(c) below is specified in the applicable Notice of Exercise. No ink- 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exercise price per share of Common Stock under this Warrant shall be $1.97,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If, and only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w:t>
      </w:r>
      <w:r>
        <w:rPr>
          <w:rFonts w:ascii="Times New Roman" w:hAnsi="Times New Roman"/>
          <w:sz w:val="20"/>
          <w:u w:val="single"/>
        </w:rPr>
        <w:t>Cashless Exercise</w:t>
      </w:r>
      <w:r>
        <w:rPr>
          <w:rFonts w:ascii="Times New Roman" w:hAnsi="Times New Roman"/>
          <w:sz w:val="20"/>
        </w:rPr>
        <w:t xml:space="preserve">” in which the Holder shall be entitled to receive a number of Warrant Shares equal to the quotient obtained by dividing [(A-B) (X)] by (A), 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
        <w:gridCol w:w="141"/>
        <w:gridCol w:w="155"/>
        <w:gridCol w:w="141"/>
        <w:gridCol w:w="9378"/>
      </w:tblGrid>
      <w:tr>
        <w:trPr/>
        <w:tc>
          <w:tcPr>
            <w:tcW w:w="39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378" w:type="dxa"/>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(A)</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378" w:type="dxa"/>
            <w:tcBorders/>
          </w:tcPr>
          <w:p>
            <w:pPr>
              <w:pStyle w:val="TableContents"/>
              <w:bidi w:val="0"/>
              <w:spacing w:before="0" w:after="283"/>
              <w:jc w:val="left"/>
              <w:rPr/>
            </w:pPr>
            <w:r>
              <w:rPr/>
              <w:t>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(as defined below)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rHeight w:val="120" w:hRule="atLeast"/>
        </w:trPr>
        <w:tc>
          <w:tcPr>
            <w:tcW w:w="390" w:type="dxa"/>
            <w:tcBorders/>
            <w:vAlign w:val="center"/>
          </w:tcPr>
          <w:p>
            <w:pPr>
              <w:pStyle w:val="TableContents"/>
              <w:bidi w:val="0"/>
              <w:spacing w:before="0" w:after="283"/>
              <w:jc w:val="left"/>
              <w:rPr>
                <w:sz w:val="4"/>
                <w:szCs w:val="4"/>
              </w:rPr>
            </w:pPr>
            <w:r>
              <w:rPr>
                <w:sz w:val="4"/>
                <w:szCs w:val="4"/>
              </w:rPr>
            </w:r>
          </w:p>
        </w:tc>
        <w:tc>
          <w:tcPr>
            <w:tcW w:w="296" w:type="dxa"/>
            <w:gridSpan w:val="2"/>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378" w:type="dxa"/>
            <w:tcBorders/>
          </w:tcPr>
          <w:p>
            <w:pPr>
              <w:pStyle w:val="TableContents"/>
              <w:bidi w:val="0"/>
              <w:spacing w:before="0" w:after="283"/>
              <w:jc w:val="left"/>
              <w:rPr/>
            </w:pPr>
            <w:r>
              <w:rPr/>
              <w:t>the Exercise Price of this Warrant, as adjusted hereunder; and</w:t>
            </w:r>
          </w:p>
        </w:tc>
      </w:tr>
      <w:tr>
        <w:trPr>
          <w:trHeight w:val="120" w:hRule="atLeast"/>
        </w:trPr>
        <w:tc>
          <w:tcPr>
            <w:tcW w:w="390" w:type="dxa"/>
            <w:tcBorders/>
            <w:vAlign w:val="center"/>
          </w:tcPr>
          <w:p>
            <w:pPr>
              <w:pStyle w:val="TableContents"/>
              <w:bidi w:val="0"/>
              <w:spacing w:before="0" w:after="283"/>
              <w:jc w:val="left"/>
              <w:rPr>
                <w:sz w:val="4"/>
                <w:szCs w:val="4"/>
              </w:rPr>
            </w:pPr>
            <w:r>
              <w:rPr>
                <w:sz w:val="4"/>
                <w:szCs w:val="4"/>
              </w:rPr>
            </w:r>
          </w:p>
        </w:tc>
        <w:tc>
          <w:tcPr>
            <w:tcW w:w="296" w:type="dxa"/>
            <w:gridSpan w:val="2"/>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(X)</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9378" w:type="dxa"/>
            <w:tcBorders/>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a Notice of Exercise for a Cashless Exercise, the Warrant Agent shall deliver a copy of the Notice of Exercise to the Company and the Company shall promptly calculate and transmit to the Warrant Agent in writing, the number of Warrant Shares issuable in connection with such Cashless Exercise. The Warrant Agent shall have no obligation under this Agreement to calculate, the number of Warrant Shares issuable in connection with a Cashless Exercise, nor shall the Warrant Agent have any duty or obligation to investigate or confirm whether the Company’s determination of the number of Warrant Shares issuable upon such exercise. </w:t>
      </w:r>
    </w:p>
    <w:p>
      <w:pPr>
        <w:pStyle w:val="TextBody"/>
        <w:bidi w:val="0"/>
        <w:spacing w:before="240" w:after="0"/>
        <w:jc w:val="left"/>
        <w:rPr/>
      </w:pPr>
      <w:r>
        <w:rPr/>
        <w:t>“</w:t>
      </w:r>
      <w:r>
        <w:rPr>
          <w:rFonts w:ascii="Times New Roman" w:hAnsi="Times New Roman"/>
          <w:sz w:val="20"/>
          <w:u w:val="single"/>
        </w:rPr>
        <w:t>Bid Price</w:t>
      </w:r>
      <w:r>
        <w:rPr>
          <w:rFonts w:ascii="Times New Roman" w:hAnsi="Times New Roman"/>
          <w:sz w:val="20"/>
        </w:rPr>
        <w:t xml:space="preserve">”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hAnsi="Times New Roman"/>
          <w:sz w:val="20"/>
          <w:u w:val="single"/>
        </w:rPr>
        <w:t xml:space="preserve">provided </w:t>
      </w:r>
      <w:r>
        <w:rPr>
          <w:rFonts w:ascii="Times New Roman" w:hAnsi="Times New Roman"/>
          <w:sz w:val="20"/>
        </w:rPr>
        <w:t>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hAnsi="Times New Roman"/>
          <w:sz w:val="20"/>
          <w:u w:val="single"/>
        </w:rPr>
        <w:t>Trading Day</w:t>
      </w:r>
      <w:r>
        <w:rPr>
          <w:rFonts w:ascii="Times New Roman" w:hAnsi="Times New Roman"/>
          <w:sz w:val="20"/>
        </w:rPr>
        <w:t>” (or if plural, “</w:t>
      </w:r>
      <w:r>
        <w:rPr>
          <w:rFonts w:ascii="Times New Roman" w:hAnsi="Times New Roman"/>
          <w:sz w:val="20"/>
          <w:u w:val="single"/>
        </w:rPr>
        <w:t>Trading Days</w:t>
      </w:r>
      <w:r>
        <w:rPr>
          <w:rFonts w:ascii="Times New Roman" w:hAnsi="Times New Roman"/>
          <w:sz w:val="20"/>
        </w:rPr>
        <w:t>”) means any day (or days) on which the Nasdaq is open for trading.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the 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xml:space="preserve">.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the Company has provided the Holder with wire transfer instructions on Company letterhead signed by an executive officer of the Company, the Holder has paid any required Exercise Price for the portion of this Warrant being exercised on or prior to such Warrant Share Delivery Date (or utilized Cashless Exercise, if available),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customary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three (3)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collectively, “</w:t>
      </w:r>
      <w:r>
        <w:rPr>
          <w:rFonts w:ascii="Times New Roman" w:hAnsi="Times New Roman"/>
          <w:sz w:val="20"/>
          <w:u w:val="single"/>
        </w:rPr>
        <w:t>Attribution 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held by the Holder, its Affiliates and Attribution Parties plus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(the “</w:t>
      </w:r>
      <w:r>
        <w:rPr>
          <w:rFonts w:ascii="Times New Roman" w:hAnsi="Times New Roman"/>
          <w:sz w:val="20"/>
          <w:u w:val="single"/>
        </w:rPr>
        <w:t>Reported Outstanding Share Number</w:t>
      </w:r>
      <w:r>
        <w:rPr>
          <w:rFonts w:ascii="Times New Roman" w:hAnsi="Times New Roman"/>
          <w:sz w:val="20"/>
        </w:rPr>
        <w:t>”). If the Company receives a Notice of Exercise from the Holder at a time when the actual number of outstanding shares of Common Stock is less than the Reported Outstanding Share Number, the Company shall (i) promptly notify the Holder in writing of the number of shares of Common Stock then outstanding and, to the extent that such Notice of Exercise would otherwise cause the Holder’s beneficial ownership, as determined pursuant to this Section 2(e), to exceed the Beneficial Ownership Limitation, the Holder must notify the Company of a reduced number of Warrant Shares to be purchased pursuant to such Notice of Exercise (the number of shares by which such purchase is reduced, the “</w:t>
      </w:r>
      <w:r>
        <w:rPr>
          <w:rFonts w:ascii="Times New Roman" w:hAnsi="Times New Roman"/>
          <w:sz w:val="20"/>
          <w:u w:val="single"/>
        </w:rPr>
        <w:t>Reduction Shares</w:t>
      </w:r>
      <w:r>
        <w:rPr>
          <w:rFonts w:ascii="Times New Roman" w:hAnsi="Times New Roman"/>
          <w:sz w:val="20"/>
        </w:rPr>
        <w:t>”) and (ii) as soon as reasonably practicable, return to the Holder any exercise price paid by the Holder for the Reduction Shares.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w:t>
      </w:r>
      <w:r>
        <w:rPr>
          <w:rFonts w:ascii="Times New Roman" w:hAnsi="Times New Roman"/>
          <w:sz w:val="20"/>
          <w:u w:val="single"/>
        </w:rPr>
        <w:t xml:space="preserve">provided </w:t>
      </w:r>
      <w:r>
        <w:rPr>
          <w:rFonts w:ascii="Times New Roman" w:hAnsi="Times New Roman"/>
          <w:sz w:val="20"/>
        </w:rPr>
        <w:t xml:space="preserve">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(excluding treasury shares, if any)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w:t>
      </w:r>
      <w:r>
        <w:rPr>
          <w:rFonts w:ascii="Times New Roman" w:hAnsi="Times New Roman"/>
          <w:sz w:val="20"/>
        </w:rPr>
        <w:t>gs.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other than as in Section 3(a),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in Section 4(c))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hAnsi="Times New Roman"/>
          <w:sz w:val="20"/>
          <w:u w:val="single"/>
        </w:rPr>
        <w:t xml:space="preserve">provided </w:t>
      </w:r>
      <w:r>
        <w:rPr>
          <w:rFonts w:ascii="Times New Roman" w:hAnsi="Times New Roman"/>
          <w:sz w:val="20"/>
        </w:rPr>
        <w:t xml:space="preserve">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Company hereby acknowledges and agrees that neither the Holder nor any of the Holder’s affiliates, attorneys or representatives, shall have any duty of trust or confidence with respect to, or any obligation not to trade in any securities while aware of, any material nonpublic information possessed by the Holder (or its affiliates, attorneys or representatives) as a result of any breach or violation by the Company of the provisions of the immediately preceding sentence.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Voluntary Adjustment by Company</w:t>
      </w:r>
      <w:r>
        <w:rPr>
          <w:rFonts w:ascii="Times New Roman" w:hAnsi="Times New Roman"/>
          <w:sz w:val="20"/>
        </w:rPr>
        <w:t xml:space="preserve">. Subject to the rules and regulations of the trading market, the Company may at any time during the term of this Warrant reduce the then current Exercise Price to any amount and for any period of time deemed appropriate by the Board of Directors of the Company. The Company may extend the duration of this Warrant by delaying the Termination Date;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Company will provide notice of not less than ten (10) days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w:t>
      </w:r>
      <w:r>
        <w:rPr>
          <w:rFonts w:ascii="Times New Roman" w:hAnsi="Times New Roman"/>
          <w:sz w:val="20"/>
        </w:rPr>
        <w:t xml:space="preserve">y.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Warrant Agent shall register this Warrant, upon records to be maintained by the Warrant Agent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w:t>
      </w:r>
      <w:r>
        <w:rPr>
          <w:rFonts w:ascii="Times New Roman" w:hAnsi="Times New Roman"/>
          <w:sz w:val="20"/>
        </w:rPr>
        <w:t>g</w:t>
      </w:r>
      <w:r>
        <w:rPr>
          <w:rFonts w:ascii="Times New Roman" w:hAnsi="Times New Roman"/>
          <w:sz w:val="20"/>
          <w:u w:val="single"/>
        </w:rPr>
        <w:t>hts as Stockholder Until Exercise; No Settlement in Cash</w:t>
      </w:r>
      <w:r>
        <w:rPr>
          <w:rFonts w:ascii="Times New Roman" w:hAnsi="Times New Roman"/>
          <w:sz w:val="20"/>
        </w:rPr>
        <w:t xml:space="preserve">. Other than as set forth in Section 3 hereof, this Warrant does not entitle the Holder to any voting rights, dividends or other rights as a stockholder of the Company prior to the exercise hereof as set forth in Section 2(d)(i). Without limiting any rights of a Holder to receive Warrant Shares on a “Cashless Exercise” pursuant to Section 2(c) or to receive cash payments pursuant to Section 2(d)(iv) and Section 2(d)(v) herein, in no event shall the Company be required to net cash settle an exercise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during the period this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24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the Holder does not utilize Cashless Exercise, will have restrictions upon resale imposed by state and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and all notices or other communications or deliveries to be provided by the Holders hereunder including, without limitation, any Notice of Exercise, shall be in writing and delivered personally, by e-mail, or sent by mail, addressed to the Company, at P.O. Box 134, Malvern, Pennsylvania 19355, Attention: Chief Financial Officer, email addresses: cdegnan@galeratx.com and legal@galeratx.com, or such other email address or address as the Company may specify for such purposes by notice to the Holders. Any and all notices or other communications or deliveries to be provided by the Company hereunder shall be in writing and delivered personally, by e-mail, or sent by mail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prior to 5:30 p.m. (New York City time) on any date, (ii) the next Trading Day after the date of transmission, if such notice or communication is delivered via e-mail at the e-mail address set forth in this Section on a day that is not a Trading Day or later than 5:30 p.m. (New York City time) on any Trading Day, or (iii) upon actual receipt by the party to whom such notice is required to be given. Notwithstanding any other provision of this Warrant, as to any Warrant not held in certificated form, where this Warrant provides for notice of any event to a Holder, such notice shall be sufficiently given if given to DTC (or any successor depository) pursuant to the procedures of DTC (or such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w:t>
      </w:r>
      <w:r>
        <w:rPr>
          <w:rFonts w:ascii="Times New Roman" w:hAnsi="Times New Roman"/>
          <w:sz w:val="20"/>
        </w:rPr>
        <w:t xml:space="preserve">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w:t>
      </w:r>
      <w:r>
        <w:rPr>
          <w:rFonts w:ascii="Times New Roman" w:hAnsi="Times New Roman"/>
          <w:sz w:val="20"/>
        </w:rPr>
        <w:t xml:space="preserve">gs. The headings used in this Warrant are for the convenience of reference only and shall not, for any purpose, be deemed a part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Warrant A</w:t>
      </w:r>
      <w:r>
        <w:rPr>
          <w:rFonts w:ascii="Times New Roman" w:hAnsi="Times New Roman"/>
          <w:sz w:val="20"/>
        </w:rPr>
        <w:t>g</w:t>
      </w:r>
      <w:r>
        <w:rPr>
          <w:rFonts w:ascii="Times New Roman" w:hAnsi="Times New Roman"/>
          <w:sz w:val="20"/>
          <w:u w:val="single"/>
        </w:rPr>
        <w:t>ency Agreement</w:t>
      </w:r>
      <w:r>
        <w:rPr>
          <w:rFonts w:ascii="Times New Roman" w:hAnsi="Times New Roman"/>
          <w:sz w:val="20"/>
        </w:rPr>
        <w:t xml:space="preserve">.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express terms of the Warrant Agency Agreement shall control and supersede any provision in this Warrant concerning the rights, duties, obligations, protections, immunities and liability of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Withholding</w:t>
      </w:r>
      <w:r>
        <w:rPr>
          <w:rFonts w:ascii="Times New Roman" w:hAnsi="Times New Roman"/>
          <w:sz w:val="20"/>
        </w:rPr>
        <w:t xml:space="preserve">. The Company and its paying agent shall be entitled to deduct and withhold taxes on all payments (or deemed payments) with respect to the Warrants to the extent required by applicable law. Without limiting the foregoing and notwithstanding anything to the contrary, in the event of an adjustment or nonoccurrence of an adjustment to the Exercise Price or the number of shares issuable upon exercise of this Warrant (or any other adjustment or non-adjustment with respect to the Warrant) that is treated for U.S. tax purposes as a distribution with respect to the Warrant, the Company or other applicable withholding agent may, at its option, (i) withhold any applicable withholding taxes (including backup withholding) from (or such withholding taxes may be set off against) any distributions and payments of cash and shares of Common Stock to the Holder (or any payments on the Common Stock held by the Holder) or sales proceeds received by the Holder, or (ii) set off such payments against other funds or assets of the Holder.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GALERA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GALERA THERAPEUTICS, INC. </w:t>
      </w:r>
    </w:p>
    <w:p>
      <w:pPr>
        <w:pStyle w:val="TextBody"/>
        <w:bidi w:val="0"/>
        <w:spacing w:before="240" w:after="0"/>
        <w:jc w:val="left"/>
        <w:rPr>
          <w:rFonts w:ascii="Times New Roman" w:hAnsi="Times New Roman"/>
          <w:sz w:val="20"/>
        </w:rPr>
      </w:pPr>
      <w:r>
        <w:rPr>
          <w:rFonts w:ascii="Times New Roman" w:hAnsi="Times New Roman"/>
          <w:sz w:val="20"/>
          <w:u w:val="single"/>
        </w:rPr>
        <w:t>Form of Exercise</w:t>
      </w:r>
      <w:r>
        <w:rPr>
          <w:rFonts w:ascii="Times New Roman" w:hAnsi="Times New Roman"/>
          <w:sz w:val="20"/>
        </w:rPr>
        <w:t xml:space="preserve">. The Holder intends that payment of the Exercise Price shall be made as: </w:t>
      </w:r>
    </w:p>
    <w:p>
      <w:pPr>
        <w:pStyle w:val="TextBody"/>
        <w:bidi w:val="0"/>
        <w:spacing w:before="240" w:after="0"/>
        <w:jc w:val="left"/>
        <w:rPr>
          <w:rFonts w:ascii="Times New Roman" w:hAnsi="Times New Roman"/>
          <w:sz w:val="20"/>
        </w:rPr>
      </w:pPr>
      <w:r>
        <w:rPr>
          <w:rFonts w:ascii="Times New Roman" w:hAnsi="Times New Roman"/>
          <w:sz w:val="20"/>
        </w:rPr>
        <w:t>[ ] a “</w:t>
      </w:r>
      <w:r>
        <w:rPr>
          <w:rFonts w:ascii="Times New Roman" w:hAnsi="Times New Roman"/>
          <w:sz w:val="20"/>
          <w:u w:val="single"/>
        </w:rPr>
        <w:t>Cash Exercise</w:t>
      </w:r>
      <w:r>
        <w:rPr>
          <w:rFonts w:ascii="Times New Roman" w:hAnsi="Times New Roman"/>
          <w:sz w:val="20"/>
        </w:rPr>
        <w:t xml:space="preserve">” with respect to Warrant Shares; </w:t>
      </w:r>
    </w:p>
    <w:p>
      <w:pPr>
        <w:pStyle w:val="TextBody"/>
        <w:bidi w:val="0"/>
        <w:spacing w:before="240" w:after="0"/>
        <w:jc w:val="left"/>
        <w:rPr>
          <w:rFonts w:ascii="Times New Roman" w:hAnsi="Times New Roman"/>
          <w:sz w:val="20"/>
        </w:rPr>
      </w:pPr>
      <w:r>
        <w:rPr>
          <w:rFonts w:ascii="Times New Roman" w:hAnsi="Times New Roman"/>
          <w:sz w:val="20"/>
        </w:rPr>
        <w:t>[ ] a “</w:t>
      </w:r>
      <w:r>
        <w:rPr>
          <w:rFonts w:ascii="Times New Roman" w:hAnsi="Times New Roman"/>
          <w:sz w:val="20"/>
          <w:u w:val="single"/>
        </w:rPr>
        <w:t>Cashless Exercise</w:t>
      </w:r>
      <w:r>
        <w:rPr>
          <w:rFonts w:ascii="Times New Roman" w:hAnsi="Times New Roman"/>
          <w:sz w:val="20"/>
        </w:rPr>
        <w:t xml:space="preserve">” with respect to Warrant Shares; </w:t>
      </w:r>
    </w:p>
    <w:p>
      <w:pPr>
        <w:pStyle w:val="TextBody"/>
        <w:bidi w:val="0"/>
        <w:spacing w:before="240" w:after="0"/>
        <w:jc w:val="left"/>
        <w:rPr>
          <w:rFonts w:ascii="Times New Roman" w:hAnsi="Times New Roman"/>
          <w:sz w:val="20"/>
        </w:rPr>
      </w:pPr>
      <w:r>
        <w:rPr>
          <w:rFonts w:ascii="Times New Roman" w:hAnsi="Times New Roman"/>
          <w:sz w:val="20"/>
          <w:u w:val="single"/>
        </w:rPr>
        <w:t>Payment of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hereby elects to purchase </w:t>
      </w:r>
      <w:r>
        <w:rPr>
          <w:rFonts w:ascii="Times New Roman" w:hAnsi="Times New Roman"/>
          <w:sz w:val="20"/>
          <w:u w:val="single"/>
        </w:rPr>
        <w:t>    </w:t>
      </w:r>
      <w:r>
        <w:rPr>
          <w:rFonts w:ascii="Times New Roman" w:hAnsi="Times New Roman"/>
          <w:sz w:val="20"/>
        </w:rPr>
        <w:t xml:space="preserve"> Warrant Shares of the Company pursuant to the terms of the attached Warrant, and tenders herewith payment of the exercise price in the sum of $</w:t>
      </w:r>
      <w:r>
        <w:rPr>
          <w:rFonts w:ascii="Times New Roman" w:hAnsi="Times New Roman"/>
          <w:sz w:val="20"/>
          <w:u w:val="single"/>
        </w:rPr>
        <w:t>   </w:t>
      </w:r>
      <w:r>
        <w:rPr>
          <w:rFonts w:ascii="Times New Roman" w:hAnsi="Times New Roman"/>
          <w:sz w:val="20"/>
        </w:rPr>
        <w:t xml:space="preserve"> ,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240" w:after="0"/>
        <w:jc w:val="left"/>
        <w:rPr>
          <w:rFonts w:ascii="Times New Roman" w:hAnsi="Times New Roman"/>
          <w:sz w:val="20"/>
        </w:rPr>
      </w:pPr>
      <w:r>
        <w:rPr>
          <w:rFonts w:ascii="Times New Roman" w:hAnsi="Times New Roman"/>
          <w:sz w:val="20"/>
        </w:rPr>
        <w:t xml:space="preserve">[ ]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Please issue said Warrant Shares in the name of the undersigned or in such other name as is specified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(2) The Warrant Shares shall be delivered to the following DWAC account number: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w:t>
      </w:r>
      <w:r>
        <w:rPr>
          <w:rFonts w:ascii="Times New Roman" w:hAnsi="Times New Roman"/>
          <w:sz w:val="20"/>
          <w:u w:val="single"/>
        </w:rPr>
        <w:t xml:space="preserve">                                          </w:t>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Name of Authorized Signatory: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Title of Authorized Signatory: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purchase shares.) </w:t>
      </w:r>
    </w:p>
    <w:p>
      <w:pPr>
        <w:pStyle w:val="TextBody"/>
        <w:bidi w:val="0"/>
        <w:spacing w:before="12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8"/>
        <w:gridCol w:w="123"/>
        <w:gridCol w:w="4884"/>
      </w:tblGrid>
      <w:tr>
        <w:trPr/>
        <w:tc>
          <w:tcPr>
            <w:tcW w:w="51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pBdr>
                <w:bottom w:val="single" w:sz="2" w:space="1" w:color="000000"/>
              </w:pBdr>
              <w:bidi w:val="0"/>
              <w:spacing w:before="0" w:after="20"/>
              <w:jc w:val="left"/>
              <w:rPr/>
            </w:pPr>
            <w:r>
              <w:rPr/>
              <w:t> </w:t>
            </w:r>
          </w:p>
        </w:tc>
      </w:tr>
      <w:tr>
        <w:trPr/>
        <w:tc>
          <w:tcPr>
            <w:tcW w:w="51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left"/>
              <w:rPr/>
            </w:pPr>
            <w:r>
              <w:rPr/>
              <w:t>(Please Print)</w:t>
            </w:r>
          </w:p>
        </w:tc>
      </w:tr>
      <w:tr>
        <w:trPr>
          <w:trHeight w:val="240" w:hRule="atLeast"/>
        </w:trPr>
        <w:tc>
          <w:tcPr>
            <w:tcW w:w="5198"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Address:</w:t>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pBdr>
                <w:bottom w:val="single" w:sz="2" w:space="1" w:color="000000"/>
              </w:pBdr>
              <w:bidi w:val="0"/>
              <w:spacing w:before="0" w:after="20"/>
              <w:jc w:val="left"/>
              <w:rPr/>
            </w:pPr>
            <w:r>
              <w:rPr/>
              <w:t> </w:t>
            </w:r>
          </w:p>
        </w:tc>
      </w:tr>
      <w:tr>
        <w:trPr/>
        <w:tc>
          <w:tcPr>
            <w:tcW w:w="51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left"/>
              <w:rPr/>
            </w:pPr>
            <w:r>
              <w:rPr/>
              <w:t>(Please Print)</w:t>
            </w:r>
          </w:p>
        </w:tc>
      </w:tr>
      <w:tr>
        <w:trPr>
          <w:trHeight w:val="240" w:hRule="atLeast"/>
        </w:trPr>
        <w:tc>
          <w:tcPr>
            <w:tcW w:w="5198"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Phone Number:</w:t>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pBdr>
                <w:bottom w:val="single" w:sz="2" w:space="1" w:color="000000"/>
              </w:pBdr>
              <w:bidi w:val="0"/>
              <w:spacing w:before="0" w:after="20"/>
              <w:jc w:val="left"/>
              <w:rPr/>
            </w:pPr>
            <w:r>
              <w:rPr/>
              <w:t> </w:t>
            </w:r>
          </w:p>
        </w:tc>
      </w:tr>
      <w:tr>
        <w:trPr>
          <w:trHeight w:val="240" w:hRule="atLeast"/>
        </w:trPr>
        <w:tc>
          <w:tcPr>
            <w:tcW w:w="5198" w:type="dxa"/>
            <w:tcBorders/>
            <w:vAlign w:val="center"/>
          </w:tcPr>
          <w:p>
            <w:pPr>
              <w:pStyle w:val="TableContents"/>
              <w:bidi w:val="0"/>
              <w:spacing w:before="0" w:after="283"/>
              <w:jc w:val="left"/>
              <w:rPr>
                <w:sz w:val="4"/>
                <w:szCs w:val="4"/>
              </w:rPr>
            </w:pPr>
            <w:r>
              <w:rPr>
                <w:sz w:val="4"/>
                <w:szCs w:val="4"/>
              </w:rPr>
            </w:r>
          </w:p>
        </w:tc>
        <w:tc>
          <w:tcPr>
            <w:tcW w:w="5007" w:type="dxa"/>
            <w:gridSpan w:val="2"/>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283"/>
              <w:jc w:val="left"/>
              <w:rPr/>
            </w:pPr>
            <w:r>
              <w:rPr/>
              <w:t>Email Address:</w:t>
            </w:r>
          </w:p>
        </w:tc>
        <w:tc>
          <w:tcPr>
            <w:tcW w:w="123" w:type="dxa"/>
            <w:tcBorders/>
            <w:vAlign w:val="bottom"/>
          </w:tcPr>
          <w:p>
            <w:pPr>
              <w:pStyle w:val="TableContents"/>
              <w:bidi w:val="0"/>
              <w:spacing w:before="0" w:after="283"/>
              <w:jc w:val="left"/>
              <w:rPr/>
            </w:pPr>
            <w:r>
              <w:rPr/>
              <w:t>  </w:t>
            </w:r>
          </w:p>
        </w:tc>
        <w:tc>
          <w:tcPr>
            <w:tcW w:w="4884"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Address: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309963dex101.htm"/>
      <w:bookmarkStart w:id="11" w:name="ksd309963dex101"/>
      <w:bookmarkEnd w:id="10"/>
      <w:bookmarkEnd w:id="11"/>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April 14, 2026, by and among Galera Therapeutics, Inc., a Delaware corporation (the “</w:t>
      </w:r>
      <w:r>
        <w:rPr>
          <w:rFonts w:ascii="Times New Roman" w:hAnsi="Times New Roman"/>
          <w:b/>
          <w:sz w:val="20"/>
        </w:rPr>
        <w:t>Company</w:t>
      </w:r>
      <w:r>
        <w:rPr>
          <w:rFonts w:ascii="Times New Roman" w:hAnsi="Times New Roman"/>
          <w:sz w:val="20"/>
        </w:rPr>
        <w:t>”), Gazelle Parent, Inc., a Delaware corporation (“</w:t>
      </w:r>
      <w:r>
        <w:rPr>
          <w:rFonts w:ascii="Times New Roman" w:hAnsi="Times New Roman"/>
          <w:b/>
          <w:sz w:val="20"/>
        </w:rPr>
        <w:t>Parent</w:t>
      </w:r>
      <w:r>
        <w:rPr>
          <w:rFonts w:ascii="Times New Roman" w:hAnsi="Times New Roman"/>
          <w:sz w:val="20"/>
        </w:rPr>
        <w:t xml:space="preserve">”) (solely with respect to </w:t>
      </w:r>
      <w:r>
        <w:rPr>
          <w:rFonts w:ascii="Times New Roman" w:hAnsi="Times New Roman"/>
          <w:sz w:val="20"/>
          <w:u w:val="single"/>
        </w:rPr>
        <w:t>Sections 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3.33</w:t>
      </w:r>
      <w:r>
        <w:rPr>
          <w:rFonts w:ascii="Times New Roman" w:hAnsi="Times New Roman"/>
          <w:sz w:val="20"/>
        </w:rPr>
        <w:t xml:space="preserve"> and </w:t>
      </w:r>
      <w:r>
        <w:rPr>
          <w:rFonts w:ascii="Times New Roman" w:hAnsi="Times New Roman"/>
          <w:sz w:val="20"/>
          <w:u w:val="single"/>
        </w:rPr>
        <w:t>5.12</w:t>
      </w:r>
      <w:r>
        <w:rPr>
          <w:rFonts w:ascii="Times New Roman" w:hAnsi="Times New Roman"/>
          <w:sz w:val="20"/>
        </w:rPr>
        <w:t xml:space="preserve"> hereof), Obsidian Therapeutics, Inc., a Delaware corporation (“</w:t>
      </w:r>
      <w:r>
        <w:rPr>
          <w:rFonts w:ascii="Times New Roman" w:hAnsi="Times New Roman"/>
          <w:b/>
          <w:sz w:val="20"/>
        </w:rPr>
        <w:t>Obsidian</w:t>
      </w:r>
      <w:r>
        <w:rPr>
          <w:rFonts w:ascii="Times New Roman" w:hAnsi="Times New Roman"/>
          <w:sz w:val="20"/>
        </w:rPr>
        <w:t xml:space="preserve">”) (solely with respect to </w:t>
      </w:r>
      <w:r>
        <w:rPr>
          <w:rFonts w:ascii="Times New Roman" w:hAnsi="Times New Roman"/>
          <w:sz w:val="20"/>
          <w:u w:val="single"/>
        </w:rPr>
        <w:t>Section 5.3</w:t>
      </w:r>
      <w:r>
        <w:rPr>
          <w:rFonts w:ascii="Times New Roman" w:hAnsi="Times New Roman"/>
          <w:sz w:val="20"/>
        </w:rPr>
        <w:t xml:space="preserve"> hereof),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each Investor, severally and not jointly, wishes to purchase, and the Company wishes to issue and sell, upon the terms and conditions stated in this Agreement, an aggregate of approximately $350,000,000 worth of shares (the “</w:t>
      </w:r>
      <w:r>
        <w:rPr>
          <w:rFonts w:ascii="Times New Roman" w:hAnsi="Times New Roman"/>
          <w:b/>
          <w:sz w:val="20"/>
        </w:rPr>
        <w:t>Preferred Shares</w:t>
      </w:r>
      <w:r>
        <w:rPr>
          <w:rFonts w:ascii="Times New Roman" w:hAnsi="Times New Roman"/>
          <w:sz w:val="20"/>
        </w:rPr>
        <w:t>”) of Series C Non-Voting Convertible Preferred Stock, par value $0.001 per share (the “</w:t>
      </w:r>
      <w:r>
        <w:rPr>
          <w:rFonts w:ascii="Times New Roman" w:hAnsi="Times New Roman"/>
          <w:b/>
          <w:sz w:val="20"/>
        </w:rPr>
        <w:t>Series C Preferred Stock</w:t>
      </w:r>
      <w:r>
        <w:rPr>
          <w:rFonts w:ascii="Times New Roman" w:hAnsi="Times New Roman"/>
          <w:sz w:val="20"/>
        </w:rPr>
        <w:t xml:space="preserve">”) of the Company, at a per share purchase price equal to the Share Price (as defined below), having the designation, preferences, conversion or other rights, voting powers, restrictions, limitations as to dividends, qualifications and terms and conditions as specified in the Certificate of Designations, substantially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Certificate of Designations</w:t>
      </w:r>
      <w:r>
        <w:rPr>
          <w:rFonts w:ascii="Times New Roman" w:hAnsi="Times New Roman"/>
          <w:sz w:val="20"/>
        </w:rPr>
        <w:t>”), which will be convertible into shares (the “</w:t>
      </w:r>
      <w:r>
        <w:rPr>
          <w:rFonts w:ascii="Times New Roman" w:hAnsi="Times New Roman"/>
          <w:b/>
          <w:sz w:val="20"/>
        </w:rPr>
        <w:t>Conversion Shares</w:t>
      </w:r>
      <w:r>
        <w:rPr>
          <w:rFonts w:ascii="Times New Roman" w:hAnsi="Times New Roman"/>
          <w:sz w:val="20"/>
        </w:rPr>
        <w:t>”) of the Company’s common stock, par value $0.001 per share (“</w:t>
      </w:r>
      <w:r>
        <w:rPr>
          <w:rFonts w:ascii="Times New Roman" w:hAnsi="Times New Roman"/>
          <w:b/>
          <w:sz w:val="20"/>
        </w:rPr>
        <w:t>Common Stock</w:t>
      </w:r>
      <w:r>
        <w:rPr>
          <w:rFonts w:ascii="Times New Roman" w:hAnsi="Times New Roman"/>
          <w:sz w:val="20"/>
        </w:rPr>
        <w:t xml:space="preserve">”), in accordance with the terms set forth in the Certificate of Designations.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Preferred Shares, the Company and the Investors will execute and deliver a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pursuant to which the Company will agree to provide certain registration rights with respect to the Exchange Shares (as defined in the Registration Rights Agreement)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is party to that certain Agreement and Plan of Merger by and among the Company, Obsidian, Parent, Onyx MergerSub,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Onyx</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and Gazelle Merger Subsidiary,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Gazelle Merger Sub</w:t>
      </w:r>
      <w:r>
        <w:rPr>
          <w:rFonts w:ascii="Times New Roman" w:hAnsi="Times New Roman"/>
          <w:sz w:val="20"/>
        </w:rPr>
        <w:t xml:space="preserve">”), dated April 14, 2026 (as amended from time to time in accordance with the terms thereof and </w:t>
      </w:r>
      <w:r>
        <w:rPr>
          <w:rFonts w:ascii="Times New Roman" w:hAnsi="Times New Roman"/>
          <w:sz w:val="20"/>
          <w:u w:val="single"/>
        </w:rPr>
        <w:t>Section 5.13</w:t>
      </w:r>
      <w:r>
        <w:rPr>
          <w:rFonts w:ascii="Times New Roman" w:hAnsi="Times New Roman"/>
          <w:sz w:val="20"/>
        </w:rPr>
        <w:t xml:space="preserve"> hereof, and as supplemented by any disclosure schedules or letters thereto, the “</w:t>
      </w:r>
      <w:r>
        <w:rPr>
          <w:rFonts w:ascii="Times New Roman" w:hAnsi="Times New Roman"/>
          <w:b/>
          <w:sz w:val="20"/>
        </w:rPr>
        <w:t>Merger Agreement</w:t>
      </w:r>
      <w:r>
        <w:rPr>
          <w:rFonts w:ascii="Times New Roman" w:hAnsi="Times New Roman"/>
          <w:sz w:val="20"/>
        </w:rPr>
        <w:t>”), pursuant to which (i) Onyx Merger Sub will merge with and into Obsidian and Obsidian will become a wholly-owned subsidiary of Parent (the “</w:t>
      </w:r>
      <w:r>
        <w:rPr>
          <w:rFonts w:ascii="Times New Roman" w:hAnsi="Times New Roman"/>
          <w:b/>
          <w:sz w:val="20"/>
        </w:rPr>
        <w:t>Obsidian Merger</w:t>
      </w:r>
      <w:r>
        <w:rPr>
          <w:rFonts w:ascii="Times New Roman" w:hAnsi="Times New Roman"/>
          <w:sz w:val="20"/>
        </w:rPr>
        <w:t>”) and (ii) Gazelle Merger Sub will merge with and into Galera and Galera will become a wholly-owned subsidiary of Parent (the “</w:t>
      </w:r>
      <w:r>
        <w:rPr>
          <w:rFonts w:ascii="Times New Roman" w:hAnsi="Times New Roman"/>
          <w:b/>
          <w:sz w:val="20"/>
        </w:rPr>
        <w:t>Galera Merger</w:t>
      </w:r>
      <w:r>
        <w:rPr>
          <w:rFonts w:ascii="Times New Roman" w:hAnsi="Times New Roman"/>
          <w:sz w:val="20"/>
        </w:rPr>
        <w:t>” and, together with the Obsidian Merger, the “</w:t>
      </w:r>
      <w:r>
        <w:rPr>
          <w:rFonts w:ascii="Times New Roman" w:hAnsi="Times New Roman"/>
          <w:b/>
          <w:sz w:val="20"/>
        </w:rPr>
        <w:t>Mergers</w:t>
      </w:r>
      <w:r>
        <w:rPr>
          <w:rFonts w:ascii="Times New Roman" w:hAnsi="Times New Roman"/>
          <w:sz w:val="20"/>
        </w:rPr>
        <w:t xml:space="preserve">”), with Parent acting as the parent company for the combined businesses of Obsidian and Galera;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upon consummation of the Mergers and pursuant to the terms and conditions in the Merger Agreement, the Conversion Shares shall be exchanged for Exchange Shares on the Closing Date (as defined in the Merger Agreement);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2026 SEC Reports</w:t>
      </w:r>
      <w:r>
        <w:rPr>
          <w:rFonts w:ascii="Times New Roman" w:hAnsi="Times New Roman"/>
          <w:sz w:val="20"/>
        </w:rPr>
        <w:t xml:space="preserve">” means (a) the Company’s Annual Report on Form 10-K for the fiscal year ended December 31, 2025, (b) any Quarterly Reports on Form 10-Q filed in 2026, (c) proxy statements, or (d) any Current Reports on Form 8-K filed or furnished (as applicable) by the Company after January 1, 2026 and prior to the Business Day immediately preceding the date hereof, together in each case with any documents incorporated by reference therein or exhibits thereto.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Amended and Restated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Designation</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Restated Certificate of Incorporation of the Company, as amended,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par value $0.001 per share, of the Company.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Company</w:t>
      </w:r>
      <w:r>
        <w:rPr>
          <w:rFonts w:ascii="Times New Roman" w:hAnsi="Times New Roman"/>
          <w:sz w:val="20"/>
        </w:rPr>
        <w:t xml:space="preserve">” means the Company for all periods prior to the occurrence of each of the Obsidian Effective Time and the Galera Effective Time (each, as defined in the Merger Agreement) and Parent for all periods following the occurrence of each of the Obsidian Effective Time and the Galera Effective Time.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Conversion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as amended or superseded from time to time.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Fundamental Representations</w:t>
      </w:r>
      <w:r>
        <w:rPr>
          <w:rFonts w:ascii="Times New Roman" w:hAnsi="Times New Roman"/>
          <w:sz w:val="20"/>
        </w:rPr>
        <w:t xml:space="preserve">” means the representations and warranties made by the Company in Sections 3.1 (Organization and Power), 3.2 (Capitalization), 3.4 (Authorization), 3.5 (Valid Issuance), 3.6 (No Conflict), 3.7 (Consents), 3.8 (SEC Filings; Financial Statements), 3.18 (OTCQB Stock Market), 3.19 (Sarbanes-Oxley Act), 3.23 (Price Stabilization of Common Stock), 3.24 (Investment Company Act), 3.25 (General Solicitation; No Integration or Aggregation), 3.26 (Brokers and Finders), 3.27 (Reliance by the Investors) and 3.28 (No Additional Agreements). </w:t>
      </w:r>
    </w:p>
    <w:p>
      <w:pPr>
        <w:pStyle w:val="TextBody"/>
        <w:bidi w:val="0"/>
        <w:spacing w:before="240" w:after="0"/>
        <w:jc w:val="left"/>
        <w:rPr/>
      </w:pPr>
      <w:r>
        <w:rPr/>
        <w:t>“</w:t>
      </w:r>
      <w:r>
        <w:rPr>
          <w:rFonts w:ascii="Times New Roman" w:hAnsi="Times New Roman"/>
          <w:b/>
          <w:sz w:val="20"/>
        </w:rPr>
        <w:t>Funding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w:t>
      </w:r>
      <w:r>
        <w:rPr>
          <w:rFonts w:ascii="Times New Roman" w:hAnsi="Times New Roman"/>
          <w:sz w:val="20"/>
          <w:u w:val="single"/>
        </w:rPr>
        <w:t>Section 5.10(a)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the Merger Agreement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or its Subsidiaries are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and its Subsidiaries are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epidemics or similar health emergencies, and other force majeure events in the United States or any other location, provided that the Company and its Subsidiaries are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(vi) material changes in laws after the date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(vii) 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Majority in Interest of the Purchasers</w:t>
      </w:r>
      <w:r>
        <w:rPr>
          <w:rFonts w:ascii="Times New Roman" w:hAnsi="Times New Roman"/>
          <w:sz w:val="20"/>
        </w:rPr>
        <w:t xml:space="preserve">” means Investors holding a majority of the Preferred Shares issued and Conversion Shares issuable.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set forth in the recitals hereof.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Merger 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Merger Registration Statement</w:t>
      </w:r>
      <w:r>
        <w:rPr>
          <w:rFonts w:ascii="Times New Roman" w:hAnsi="Times New Roman"/>
          <w:sz w:val="20"/>
        </w:rPr>
        <w:t xml:space="preserve">” means registration statement on Form S-4 registering Parent Common Stock (as defined in the Merger Agreement) pursuant to the terms of the Merger Agreement.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OTCQB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OTCQB Market</w:t>
      </w:r>
      <w:r>
        <w:rPr>
          <w:rFonts w:ascii="Times New Roman" w:hAnsi="Times New Roman"/>
          <w:sz w:val="20"/>
        </w:rPr>
        <w:t xml:space="preserve">” means the Over-The-Counter Quote Bulletin Board – Venture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w:t>
      </w:r>
      <w:r>
        <w:rPr>
          <w:rFonts w:ascii="Times New Roman" w:hAnsi="Times New Roman"/>
          <w:sz w:val="20"/>
          <w:u w:val="single"/>
        </w:rPr>
        <w:t>the recitals hereof.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Placement Agents</w:t>
      </w:r>
      <w:r>
        <w:rPr>
          <w:rFonts w:ascii="Times New Roman" w:hAnsi="Times New Roman"/>
          <w:sz w:val="20"/>
        </w:rPr>
        <w:t xml:space="preserve">” means Leerink Partners LLC, TD Securities (USA) LLC, Piper Sandler &amp; Co., William Blair &amp; Company, L.L.C., and LifeSci Capital LLC. </w:t>
      </w:r>
    </w:p>
    <w:p>
      <w:pPr>
        <w:pStyle w:val="TextBody"/>
        <w:bidi w:val="0"/>
        <w:spacing w:before="240" w:after="0"/>
        <w:jc w:val="left"/>
        <w:rPr/>
      </w:pPr>
      <w:r>
        <w:rPr/>
        <w:t>“</w:t>
      </w:r>
      <w:r>
        <w:rPr>
          <w:rFonts w:ascii="Times New Roman" w:hAnsi="Times New Roman"/>
          <w:b/>
          <w:sz w:val="20"/>
        </w:rPr>
        <w:t>Preferred Shares</w:t>
      </w:r>
      <w:r>
        <w:rPr>
          <w:rFonts w:ascii="Times New Roman" w:hAnsi="Times New Roman"/>
          <w:sz w:val="20"/>
        </w:rPr>
        <w:t xml:space="preserve">” has the meaning set forth in </w:t>
      </w:r>
      <w:r>
        <w:rPr>
          <w:rFonts w:ascii="Times New Roman" w:hAnsi="Times New Roman"/>
          <w:sz w:val="20"/>
          <w:u w:val="single"/>
        </w:rPr>
        <w:t>the recitals hereof.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6.1(j)</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 xml:space="preserve">Section 3.20 </w:t>
      </w:r>
      <w:r>
        <w:rPr>
          <w:rFonts w:ascii="Times New Roman" w:hAnsi="Times New Roman"/>
          <w:sz w:val="20"/>
        </w:rPr>
        <w:t xml:space="preserve">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Preferred Shares and the Conversion Shares.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Subsidiaries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Certificate of Designation, the Registration Rights Agreement and any other documents or agreements explicitly contemplated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Equiniti Trust Company, LLC, or such other financial institution that provides transfer agent services as the Company may engage from time to time and with respect to Parent Common Stock, such financial institution that as of the Closing provides transfer agent services as Parent may engage from time to time. </w:t>
      </w:r>
    </w:p>
    <w:p>
      <w:pPr>
        <w:pStyle w:val="TextBody"/>
        <w:bidi w:val="0"/>
        <w:spacing w:before="240" w:after="0"/>
        <w:jc w:val="left"/>
        <w:rPr/>
      </w:pPr>
      <w:r>
        <w:rPr/>
        <w:t>“</w:t>
      </w:r>
      <w:r>
        <w:rPr>
          <w:rFonts w:ascii="Times New Roman" w:hAnsi="Times New Roman"/>
          <w:b/>
          <w:sz w:val="20"/>
        </w:rPr>
        <w:t>Transfer Taxes</w:t>
      </w:r>
      <w:r>
        <w:rPr>
          <w:rFonts w:ascii="Times New Roman" w:hAnsi="Times New Roman"/>
          <w:sz w:val="20"/>
        </w:rPr>
        <w:t xml:space="preserve">”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 xml:space="preserve">Purchase and 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xml:space="preserve">. On the Closing Date, upon the terms and subject to the conditions set forth herein, the Company agrees to sell, and the Investors, severally and not jointly, agree to purchase, the number of Preferred Shares set forth opposite such Investor’s name on </w:t>
      </w:r>
      <w:r>
        <w:rPr>
          <w:rFonts w:ascii="Times New Roman" w:hAnsi="Times New Roman"/>
          <w:sz w:val="20"/>
          <w:u w:val="single"/>
        </w:rPr>
        <w:t>Exhibit A</w:t>
      </w:r>
      <w:r>
        <w:rPr>
          <w:rFonts w:ascii="Times New Roman" w:hAnsi="Times New Roman"/>
          <w:sz w:val="20"/>
        </w:rPr>
        <w:t xml:space="preserve"> for the “Aggregate Purchase Price” set forth on </w:t>
      </w:r>
      <w:r>
        <w:rPr>
          <w:rFonts w:ascii="Times New Roman" w:hAnsi="Times New Roman"/>
          <w:sz w:val="20"/>
          <w:u w:val="single"/>
        </w:rPr>
        <w:t>Exhibit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satisfaction or waiver of the conditions set forth in </w:t>
      </w:r>
      <w:r>
        <w:rPr>
          <w:rFonts w:ascii="Times New Roman" w:hAnsi="Times New Roman"/>
          <w:sz w:val="20"/>
          <w:u w:val="single"/>
        </w:rPr>
        <w:t>Section 6</w:t>
      </w:r>
      <w:r>
        <w:rPr>
          <w:rFonts w:ascii="Times New Roman" w:hAnsi="Times New Roman"/>
          <w:sz w:val="20"/>
        </w:rPr>
        <w:t>, the closing of the purchase and sale of the Preferred Shares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executed documents and funds at such time as agreed to by the Company and a Majority in Interest of the Purchasers. At least five (5) business days prior to the anticipated Closing Date, the Company shall provide written notice to the Investors (the “</w:t>
      </w:r>
      <w:r>
        <w:rPr>
          <w:rFonts w:ascii="Times New Roman" w:hAnsi="Times New Roman"/>
          <w:b/>
          <w:sz w:val="20"/>
        </w:rPr>
        <w:t>Funding Notice</w:t>
      </w:r>
      <w:r>
        <w:rPr>
          <w:rFonts w:ascii="Times New Roman" w:hAnsi="Times New Roman"/>
          <w:sz w:val="20"/>
        </w:rPr>
        <w:t>”) of the anticipated Closing Date, the price per share of Series C Preferred Stock, which shall reflect the Company’s good faith estimate of the value of one share of Common Stock of the Company as of immediately prior to the Closing, multiplied by 100 (the “</w:t>
      </w:r>
      <w:r>
        <w:rPr>
          <w:rFonts w:ascii="Times New Roman" w:hAnsi="Times New Roman"/>
          <w:b/>
          <w:sz w:val="20"/>
        </w:rPr>
        <w:t>Share Price</w:t>
      </w:r>
      <w:r>
        <w:rPr>
          <w:rFonts w:ascii="Times New Roman" w:hAnsi="Times New Roman"/>
          <w:sz w:val="20"/>
        </w:rPr>
        <w:t>”), the number of Preferred Shares to be purchased by each Investor, and the wire instructions for delivery of the Aggregate Purchase Amount. Such wires shall be paid into a segregated escrow fund or trust account designated by the Company in writing (the “</w:t>
      </w:r>
      <w:r>
        <w:rPr>
          <w:rFonts w:ascii="Times New Roman" w:hAnsi="Times New Roman"/>
          <w:b/>
          <w:sz w:val="20"/>
        </w:rPr>
        <w:t>Escrow Account</w:t>
      </w:r>
      <w:r>
        <w:rPr>
          <w:rFonts w:ascii="Times New Roman" w:hAnsi="Times New Roman"/>
          <w:sz w:val="20"/>
        </w:rPr>
        <w:t xml:space="preserve">”) to be released by the Company only upon satisfaction of each of the closing conditions set forth in this Agreement. In the event the Closing does not occur within two (2) business days of the Closing Date set forth in the Funding Notice, unless otherwise agreed to by the Company and such Investor, the Company shall, or shall cause the escrow agent for the Escrow Account to, promptly (but not later than two (2) business days thereafter) return the Aggregate Purchase Amount to each Investor by wire transfer of U.S. dollars in immediately available funds to the account specified by such Investor. At the Closing, upon release of funds from the Escrow Account, the Preferred Shares shall be issued and registered in the name of such Investor, or in such nominee name(s) as designated by such Investor, representing the number of Preferred Shares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(as the same may be adjusted pursuant to the following sentence, the “</w:t>
      </w:r>
      <w:r>
        <w:rPr>
          <w:rFonts w:ascii="Times New Roman" w:hAnsi="Times New Roman"/>
          <w:b/>
          <w:sz w:val="20"/>
        </w:rPr>
        <w:t>Aggregate Purchase Amount</w:t>
      </w:r>
      <w:r>
        <w:rPr>
          <w:rFonts w:ascii="Times New Roman" w:hAnsi="Times New Roman"/>
          <w:sz w:val="20"/>
        </w:rPr>
        <w:t xml:space="preserve">”) in full, by wire transfer to the Company of immediately available funds, at or prior to the Closing, in accordance with wire instructions provided by the Company to the Investors in the Funding Notice. In the event (i) Obsidian consummates an Interim Permitted Financing (as defined in the Merger Agreement) prior to the Closing, and (ii) an Investor hereunder funds a portion of such Interim Permitted Financing, such Investor’s Aggregate Purchase Amount hereunder shall be reduced dollar for dollar by an amount equal to such Investor’s Interim Permitted Financing funding amount (as confirmed in writing by such Investor and verified in writing by Obsidian no less than three (3) business days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On the Closing Date, the Company will cause the Transfer Agent to issue the Preferred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Transfer Agent as soon as reasonably practical following the Closing Date to each Investor. If the Closing has not occurred within two (2) Business Days after the anticipated Closing Date or the closing of the Galera Merger and the Obsidian Merger have not occurred within three (3) Business Days after the actual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Preferred Shares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Preferred Shares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Preferred Shares as of the Closing Date from the Transfer Agent in form and substance reasonably acceptable to the Investor (and the Company shall use reasonable best efforts to cause the Transfer Agent to deliver such evidence).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Following the Closing Date, the Company shall register the Registrable Securities (as defined in the Registration Rights Agreement) as provided for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Except as set forth in the 2026 SEC Reports (but excluding the Fundamental Representations, which are not so qualified, and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the Company and, solely with regards to Sections </w:t>
      </w:r>
      <w:r>
        <w:rPr>
          <w:rFonts w:ascii="Times New Roman" w:hAnsi="Times New Roman"/>
          <w:sz w:val="20"/>
          <w:u w:val="single"/>
        </w:rPr>
        <w:t>3.2</w:t>
      </w:r>
      <w:r>
        <w:rPr>
          <w:rFonts w:ascii="Times New Roman" w:hAnsi="Times New Roman"/>
          <w:sz w:val="20"/>
        </w:rPr>
        <w:t xml:space="preserve"> (Capitalization), </w:t>
      </w:r>
      <w:r>
        <w:rPr>
          <w:rFonts w:ascii="Times New Roman" w:hAnsi="Times New Roman"/>
          <w:sz w:val="20"/>
          <w:u w:val="single"/>
        </w:rPr>
        <w:t>3.3</w:t>
      </w:r>
      <w:r>
        <w:rPr>
          <w:rFonts w:ascii="Times New Roman" w:hAnsi="Times New Roman"/>
          <w:sz w:val="20"/>
        </w:rPr>
        <w:t xml:space="preserve"> (Registration Rights), </w:t>
      </w:r>
      <w:r>
        <w:rPr>
          <w:rFonts w:ascii="Times New Roman" w:hAnsi="Times New Roman"/>
          <w:sz w:val="20"/>
          <w:u w:val="single"/>
        </w:rPr>
        <w:t>3.4</w:t>
      </w:r>
      <w:r>
        <w:rPr>
          <w:rFonts w:ascii="Times New Roman" w:hAnsi="Times New Roman"/>
          <w:sz w:val="20"/>
        </w:rPr>
        <w:t xml:space="preserve"> (Authorization), </w:t>
      </w:r>
      <w:r>
        <w:rPr>
          <w:rFonts w:ascii="Times New Roman" w:hAnsi="Times New Roman"/>
          <w:sz w:val="20"/>
          <w:u w:val="single"/>
        </w:rPr>
        <w:t>3.5</w:t>
      </w:r>
      <w:r>
        <w:rPr>
          <w:rFonts w:ascii="Times New Roman" w:hAnsi="Times New Roman"/>
          <w:sz w:val="20"/>
        </w:rPr>
        <w:t xml:space="preserve"> (Valid Issuance), </w:t>
      </w:r>
      <w:r>
        <w:rPr>
          <w:rFonts w:ascii="Times New Roman" w:hAnsi="Times New Roman"/>
          <w:sz w:val="20"/>
          <w:u w:val="single"/>
        </w:rPr>
        <w:t>3.6</w:t>
      </w:r>
      <w:r>
        <w:rPr>
          <w:rFonts w:ascii="Times New Roman" w:hAnsi="Times New Roman"/>
          <w:sz w:val="20"/>
        </w:rPr>
        <w:t xml:space="preserve"> (No Conflict), </w:t>
      </w:r>
      <w:r>
        <w:rPr>
          <w:rFonts w:ascii="Times New Roman" w:hAnsi="Times New Roman"/>
          <w:sz w:val="20"/>
          <w:u w:val="single"/>
        </w:rPr>
        <w:t>3.7</w:t>
      </w:r>
      <w:r>
        <w:rPr>
          <w:rFonts w:ascii="Times New Roman" w:hAnsi="Times New Roman"/>
          <w:sz w:val="20"/>
        </w:rPr>
        <w:t xml:space="preserve"> (Consents), </w:t>
      </w:r>
      <w:r>
        <w:rPr>
          <w:rFonts w:ascii="Times New Roman" w:hAnsi="Times New Roman"/>
          <w:sz w:val="20"/>
          <w:u w:val="single"/>
        </w:rPr>
        <w:t>3.33</w:t>
      </w:r>
      <w:r>
        <w:rPr>
          <w:rFonts w:ascii="Times New Roman" w:hAnsi="Times New Roman"/>
          <w:sz w:val="20"/>
        </w:rPr>
        <w:t xml:space="preserve"> (Additional Representations and Warranties), and </w:t>
      </w:r>
      <w:r>
        <w:rPr>
          <w:rFonts w:ascii="Times New Roman" w:hAnsi="Times New Roman"/>
          <w:sz w:val="20"/>
          <w:u w:val="single"/>
        </w:rPr>
        <w:t xml:space="preserve">5.12 </w:t>
      </w:r>
      <w:r>
        <w:rPr>
          <w:rFonts w:ascii="Times New Roman" w:hAnsi="Times New Roman"/>
          <w:sz w:val="20"/>
        </w:rPr>
        <w:t xml:space="preserve">(Reservation of Common Stock), Parent, hereby represents and warrants to each of the Investors and the Placement Agents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The Company is a corporation duly organized, validly existing and in good standing under the laws of the State of Delaware, has the requisite power and authority to own, lease and operate its properties and to carry on its business as now conducted and described in the 2026 SEC Reports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to have a Material Adverse Effect. Each of the Company’s subsidiaries (collectively, the “</w:t>
      </w:r>
      <w:r>
        <w:rPr>
          <w:rFonts w:ascii="Times New Roman" w:hAnsi="Times New Roman"/>
          <w:b/>
          <w:sz w:val="20"/>
        </w:rPr>
        <w:t>Subsidiaries</w:t>
      </w:r>
      <w:r>
        <w:rPr>
          <w:rFonts w:ascii="Times New Roman" w:hAnsi="Times New Roman"/>
          <w:sz w:val="20"/>
        </w:rPr>
        <w:t xml:space="preserve">”) is wholly owned by the Company. Each of the Subsidiaries is duly incorporated or organized, as applicable, and validly existing and in good standing under the laws of the jurisdiction of its incorporation or formation, as applicable, and has the requisite power and authority to carry on their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consists of 200,000,000 shares of Common Stock and 10,000,000 shares of preferred stock, par value $0.001 per share. As of the date hereof, (A) 200,000 shares have been designated Galera Series A Preferred Stock, of which no shares are issued and are outstanding, and (B) 119,318.285 shares have been designated Galera Series B Preferred Stock, of which 42,839.11 shares are issued and are outstanding as of the date hereof. Prior to the Closing and upon receipt of, and subject in all respects to, approval of the Galera stockholders and filing of the necessary amendment to the Certificate of Incorporation with the Secretary of State of the State of Delaware, the authorized capital stock of the Company shall be increased to 400,000,000 shares of Common Stock, with no change to the amount of authorized preferred stock. The Company’s disclosure of its issued and outstanding capital stock in the 2026 SEC Reports containing such disclosure was accurate in all material respects as of the date indicated in such 2026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As of the date of this Agreement, the capital stock of the Company conforms in all material respects to the description thereof contained in the 2026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restriction on voting or transfer or any other claim of any third party. There are no securities or instruments issued by or to which the Company is a party containing anti-dilution, rights of first refusal, rights of participation or similar provisions that will be triggered (which, for the avoidance of doubt, excludes any such anti-dilution, rights of first refusal, rights of participation or similar provision that will be waived in connection with the transactions contemplated by this Agreement and the Merger Agreement) by the issuance of the Preferred Shares or Conversion Shares pursuant to this Agreement. As of the Closing Date, Parent shall have reserved sufficient shares of unissued common stock for the issuance of the Exchange Shares.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and the Merger Agreement or as disclosed in the 2026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and Parent have all requisite corporate power and authority to enter into the Transaction Agreements and to carry out and perform its obligations under the terms of the Transaction Agreements, including the issuance and sale of the Preferred Shares and the issuance of the Conversion Shares, and in the case of Parent, the Exchange Shares. All corporate action on the part of the Company, its officers, directors and stockholders necessary for the authorization of the Shares, and on the part of Parent, its officers, directors and stockholders necessary for the authorization of the Exchange Shares, the authorization, execution, delivery and performance of the Transaction Agreements and the consummation of the transactions contemplated herein, including the issuance and sale of the Shares and the reservation of the Conversion Shares and Exchange Shares, as applicable, has been taken, including, without limitation to the extent applicable, the approval of the Board of Directors (or a committee thereof) in accordance with Section 144(a)(1) or 144(b)(1) of the DGCL. This Agreement has been duly executed and delivered by the Company and Parent and assuming the due authorization, execution and delivery by each Investor and that this Agreement constitutes the legal, valid and binding agreement of each Investor, this Agreement constitutes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Parent and the other parties thereto and assuming that it constitutes legal, valid and binding agreements of the other parties thereto, the Registration Rights Agreement will constitute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Preferred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or as set forth in the Certificate of Designation) and the holder of the Preferred Shares shall be entitled to all rights accorded to a holder of Preferred Shares. The Conversion Shares have been duly and validly authorized and reserved for issuance and, upon issuance in accordance with the Certificate of Designation,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As of the Closing Date,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Shares will have been duly and validly authorized and reserved for issuance and, upon issuance, will be duly and validly issued, fully paid and non-assessable and will be issued free and clear of any liens or other restrictions (other than restrictions on transfer under applicable state and federal securities laws) and the holder of the Exchange Shares shall be entitled to all rights accorded to a holder of common stock of Parent.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Preferred Shares to the Investors is and will be, and the issuance of the Conversion Shares and Exchange Shares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Subject to approval of the Nasdaq Listing Application (as defined in the Merger Agreement), the execution, delivery and performance of the Transaction Agreements by the Company and Parent, the issuance and sale of the Preferred Shares and the Exchange Shares and the consummation of the other transactions contemplated by the Transaction Agreements do not and will not (i) violate any provision of the Certificate of Incorporation or Bylaws of the Company or the certificate of incorporation or bylaws of Parent, (ii) conflict with or result in a violation of or default (with or without notice or lapse of time, or the giving of consent or waiver,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Parent or any respective Subsidiary or their respective properties or assets, (iii) result in a violation of any law, rule, regulation, order, judgment, injunction, decree or other restriction of any court or governmental authority to which the Company, Parent or any respective or any Subsidiary is subject (including federal and state securities laws and regulations) and the rules and regulations of any self-regulatory organization to which the Company or Parent or its securities are or will be subject (including, without limitation, all applicable listing rules of the OTCQB Market in regard to the Company),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and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Preferred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a registration statement required to be filed by the Registration Rights Agreement, (e) the Nasdaq Listing Application or (f) such that the failure of which to obtain has not had and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2026 SEC Reports complied in all material respects with the applicable requirements of the Securities Act and the Exchange Act, and the rules and regulations promulgated thereunder, and, as of the time they were filed or furnished, none of the filed 2026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2026 SEC Reports. To the Company’s knowledge, none of the 2026 SEC Reports are the subject of an ongoing SEC review. The interactive data in eXtensible Business Reporting Language included in the 2026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 </w:t>
      </w:r>
    </w:p>
    <w:p>
      <w:pPr>
        <w:pStyle w:val="TextBody"/>
        <w:bidi w:val="0"/>
        <w:spacing w:before="240" w:after="0"/>
        <w:jc w:val="left"/>
        <w:rPr>
          <w:rFonts w:ascii="Times New Roman" w:hAnsi="Times New Roman"/>
          <w:sz w:val="20"/>
        </w:rPr>
      </w:pPr>
      <w:r>
        <w:rPr>
          <w:rFonts w:ascii="Times New Roman" w:hAnsi="Times New Roman"/>
          <w:sz w:val="20"/>
        </w:rPr>
        <w:t>(b) The consolidated financial statements of the Company included in the 2026 SEC Reports (together with the related schedules and notes thereto,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this Agreement and the discussions, negotiations and transactions related thereto, including the Merger Agreement and transactions related thereto, and except as otherwise disclosed in the 2026 SEC Reports, since December 31, 2025: (a) the Company has conducted its business only in the ordinary course of business and there have been no material transactions entered into by the Company or its Subsidiaries; (b) no material change to any material contract or arrangement by which the Company or its Subsidiaries is bound or to which any of its assets or properties is subject has been entered into that has not been disclosed in writing to the Investors and the Placement Agents;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2026 SEC Reports that is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December 31, 2024,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OTCQB Stock Market</w:t>
      </w:r>
      <w:r>
        <w:rPr>
          <w:rFonts w:ascii="Times New Roman" w:hAnsi="Times New Roman"/>
          <w:sz w:val="20"/>
        </w:rPr>
        <w:t xml:space="preserve">. The issued and outstanding shares of Common Stock are registered pursuant to Section 12(b) of the Exchange Act and are listed for trading on the OTCQB Market under the symbol “GRTX.” The Company is in compliance with all listing requirements of the OTCQB Market applicable to the Company. There is no suit, action, proceeding or investigation pending or, to the knowledge of the Company, threatened against the Company by the OTCQB Market or the SEC, respectively, to prohibit or terminate the listing of the Common Stock on the OTCQB Market or to deregister the Common Stock under the Exchange Act. The Company has taken no action that is designed to terminate the registration of the Common Stock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Sarbanes-Oxley Act</w:t>
      </w:r>
      <w:r>
        <w:rPr>
          <w:rFonts w:ascii="Times New Roman" w:hAnsi="Times New Roman"/>
          <w:sz w:val="20"/>
        </w:rPr>
        <w:t xml:space="preserve">. The Company is, and since December 31, 2025 has been, in compliance in all material respects with all applicable requirements of the Sarbanes-Oxley Act of 2002 and applicable rules and regulations promulgated by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and are inconsistent with, or otherwise call into question, the results described or referred to in the 2026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xml:space="preserve">”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Statute (42 U.S.C. Section 1320a-7b(b)); (iii)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Preferred Shares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Preferred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Preferred Shares pursuant to this Agreement for purposes of the Securities Act or (ii) aggregated with prior offerings by the Company for the purposes of the rules and regulations of the OTCQB Market.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and/or Regulation D promulgated thereunder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Brokers and Finders</w:t>
      </w:r>
      <w:r>
        <w:rPr>
          <w:rFonts w:ascii="Times New Roman" w:hAnsi="Times New Roman"/>
          <w:sz w:val="20"/>
        </w:rPr>
        <w:t xml:space="preserve">. Other than the Placement Agents,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(other than confidentiality, nondisclosure, or similar agreements).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xml:space="preserve">”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The Company has not received any written notice, complaint, or claim from any Person, or any notice from any Regulatory Agency, alleging that the Company or any Subsidiary has violated or is not in compliance with any Privacy Laws (as defined below) or that the Company or any Subsidiary must undertake, or has failed to undertake, any action to comply with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December 31, 2023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has not been so described (or will not be so described, following the Closing) in accordance with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Additional Representations and Warranties</w:t>
      </w:r>
      <w:r>
        <w:rPr>
          <w:rFonts w:ascii="Times New Roman" w:hAnsi="Times New Roman"/>
          <w:sz w:val="20"/>
        </w:rPr>
        <w:t xml:space="preserve">. As of the date hereof and as of the Closing Date, (i) the representations and warranties of the Company contained in Article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(ii) to the Company’s knowledge after conducting reasonable due diligence with respect to Obsidian and its business, the representations and warranties of Obsidian contained in Article 3 of the Merger Agreement (as qualified therein and in the disclosure schedules thereto) and in any certificate or other writing delivered by Obsidian pursuant thereto were, true and correct as though given in accordance with Article 3 of the Merger Agreement (or, if any such representations or warranties are qualified by materiality, material adverse effect or similar language, true and correct in all respects), and (iii) to the Company’s knowledge, the representations and warranties of Parent contained in Article 5 of the Merger Agreement (as qualified therein and in the disclosure schedules thereto) were true and correct in all material respects (or, if any such representations or warranties are qualified by materiality, material adverse effect or similar language, true and correct in all respects). All necessary corporate action has been duly and validly taken by the Company, Parent, Obsidian (to the Company’s knowledge), Obsidian Merger Sub and Galera Merger Sub to authorize the execution, delivery and performance of the Merger Agreement. The Merger Agreement has been duly and validly authorized, executed and delivered by the Company, Parent, Obsidian (to the Company’s knowledge), Obsidian Merger Sub and Galera Merger Sub and, assuming due authorization, execution and delivery by the other parties thereto, constitutes a valid and binding agreement of the Company, Parent, Obsidian (to the Company’s knowledge), Obsidian Merger Sub and Galera Merger Sub, enforceable against the Company, Parent, Obsidian (to the Company’s knowledge), Obsidian Merger Sub and Galera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complete executed copy of the Merger Agreement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Disclosure</w:t>
      </w:r>
      <w:r>
        <w:rPr>
          <w:rFonts w:ascii="Times New Roman" w:hAnsi="Times New Roman"/>
          <w:sz w:val="20"/>
        </w:rPr>
        <w:t xml:space="preserve">.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such Investor, the purchase of the Preferred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Preferred Shares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Preferred Shares. Each Investor further represents and warrants that (x) it is capable of evaluating the merits and risk of such investment, and (y) that it has not been organized for the purpose of acquiring the Preferred Shares and is an “institutional account” as defined by FINRA Rule 4512(c). Such Investor understands and agrees that the offering and sale of the Preferred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Preferred Shares solely for investment purposes, for such Investor’s own account and not for the account of others, and not with a view to the resale or distribution of any part thereof (or any Conversion Shares or Exchange Shares)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Preferred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Preferred Shares (or any Conversion Shares or Exchange Shares) to or through any Person or entity. Each Investor understands that the Preferred Shares (and any Conversion Shares and Exchange Shares) must be held indefinitely unless such securities are resold pursuant to a registration statement under the Securities Act or an exemption from registration is available. Nothing contained herein shall be deemed a representation or warranty by such Investor to hold the Preferred Shares (or any Conversion Shares or Exchange Shares)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Preferred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Preferred Shares. Each Investor acknowledges that such Investor is aware that there are substantial risks incident to the purchase and ownership of the Preferred Shares, including those set forth in the Company’s filings with the SEC. Alone, or together with any professional advisor(s), such Investor has adequately analyzed and fully considered the risks of an investment in the Preferred Shares and determined that the Preferred Shares are a suitable investment for the Investor. Each Investor is, at this time and in the foreseeable future, able to afford the loss of such Investor’s entire investment in the Preferred Shares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or Obsidian to such Investor in connection with the purchase of the Preferred Shares constitutes legal, tax or investment advice. Such Investor has consulted such legal, tax and investment advisors as it, in its sole discretion, has deemed necessary or appropriate in connection with its purchase of the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Preferred Shares are being offered in a transaction not involving any public offering within the meaning of the Securities Act, and such Investor understands that the Preferred Shares have not been registered under the Securities Act, by reason of their issuance by the Company in a transaction exempt from the registration requirements of the Securities Act, and that the Preferred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Preferred Shares. Such Investor acknowledges that no federal or state agency has passed upon or endorsed the merits of the offering of the Preferred Shares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Each Investor understands that any book-entry notations evidencing the Preferred Shares may bear the following legend: </w:t>
      </w:r>
    </w:p>
    <w:p>
      <w:pPr>
        <w:pStyle w:val="TextBody"/>
        <w:bidi w:val="0"/>
        <w:spacing w:before="240" w:after="0"/>
        <w:jc w:val="left"/>
        <w:rPr/>
      </w:pPr>
      <w:r>
        <w:rPr/>
        <w:t>“</w:t>
      </w:r>
      <w:r>
        <w:rPr>
          <w:rFonts w:ascii="Times New Roman" w:hAnsi="Times New Roman"/>
          <w:sz w:val="20"/>
        </w:rPr>
        <w:t xml:space="preserve">THE OFFER AND SALE OF 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NOTWITHSTANDING THE FOREGOING, (I) THE SECURITIES MAY BE TRANSFERRED WITHOUT CONSIDERATION TO AN AFFILIATE OF SUCH HOLDER OR A CUSTODIAL NOMINEE AND (II)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Preferred Shares may contain a legend regarding affiliate status of the Investor, if applicable, provided that the Company will notify the Investor in advance of Closing if such a legend is to be placed on its Shares.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Placement Agents</w:t>
      </w:r>
      <w:r>
        <w:rPr>
          <w:rFonts w:ascii="Times New Roman" w:hAnsi="Times New Roman"/>
          <w:sz w:val="20"/>
        </w:rPr>
        <w:t xml:space="preserve">. Each Investor hereby acknowledges and agrees that (a) the Placement Agents are acting solely as Placement Agents in connection with the execution, delivery and performance of the Transaction Agreements and the issuance of the Preferred Shares to the Investor and neither the Placement Agents nor any of its Affiliates have acted as an underwriter or in any other capacity and are not and shall not be construed as a fiduciary or financial advisor for such Investor, the Company, Obsidian or any other Person or entity in connection with the execution, delivery and performance of the Transaction Agreements and the issuance and purchase of the Preferred Shares, (b) the Placement Agents have not made and do not make any representation or warranty, whether express or implied, of any kind or character, and the Placement Agents have not provided any advice or recommendation in connection with the execution, delivery and performance of the Transaction Agreements or with respect to the Preferred Shares, nor is such information or advice necessary or desired, (c) the Placement Agents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Obsidian, and (d) the Placement Agents will not have any liability or obligation (including without limitation, for or with respect to any losses, claims, damages, obligations, penalties, judgments, awards, liabilities, costs, expenses or disbursements incurred by such Investor, the Company, Obsidian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bad faith. No disclosure or offering document has been prepared by the Placement Agents or any of their respective Affiliates in connection with the offer and sale of the Preferred Shares. Neither the Placement Agents nor any of its Affiliates have made or make any representation as to the quality or value of the Preferred Shares and the Placement Agents and its Affiliates may have acquired non-public information with respect to the Company or Obsidian which the Investor agrees need not be provided to it. On behalf of itself and its Affiliates, the Investor releases the Placement Agents in respect of any and all losses, claims, damages, liabilities, costs (including, without limitation, reasonable attorneys’ fees) or expenses related to the transactions contemplated by this Agreement and the purchase and sale of the Preferred Shares hereunder, except in each case for the Placement Agents’ gross negligence, willful misconduct or bad faith. Each Investor agrees not to commence any litigation or bring any claim against the Placement Agents in any court or any other forum which relates to, may arise out of, or is in connection with, the transactions contemplated by this Agreement and the purchase and sale of the Preferred Shares hereunder, except in each case for the Placement Agents’ gross negligence, willful misconduct or bad faith. This undertaking is given freely and after obtaining independent legal advice.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Preferred Shares directly from the Company. Such Investor became aware of this offering of the Preferred Shares solely by means of direct contact from the Placement Agents or directly from Obsidian or the Company as a result of a pre-existing, substantive relationship with Obsidian,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Preferred Shares were offered to such Investor solely by direct contact between such Investor, on the one hand, and Obsidian, the Company, the Placement Agents and/or their respective representatives, on the other hand. Such Investor did not become aware of this offering of the Preferred Shares, nor were the Preferred Shares offered to such Investor, by any other means, and none of Obsidian, the Company, the Placement Agents and/or their respective representatives acted as investment advisor, broker or dealer to such Investor. Such Investor is not purchasing the Preferred Shares as a result of any advertising or, to its knowledge, general solicitation,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Access to Information</w:t>
      </w:r>
      <w:r>
        <w:rPr>
          <w:rFonts w:ascii="Times New Roman" w:hAnsi="Times New Roman"/>
          <w:sz w:val="20"/>
        </w:rPr>
        <w:t xml:space="preserve">. In making its decision to purchase the Preferred Shares, each Investor has relied solely upon independent investigation made by such Investor, and upon the representations, warranties and covenants of the Company set forth herein. Such Investor acknowledges and agrees that such Investor has received such information as such Investor deems necessary in order to make an investment decision with respect to the Preferred Shares, including, with respect to the Company and Obsidian. Without limiting the generality of the foregoing, each Investor acknowledges that copies of the 2026 SEC Reports are available on Edgar at </w:t>
      </w:r>
      <w:r>
        <w:rPr>
          <w:rFonts w:ascii="Times New Roman" w:hAnsi="Times New Roman"/>
          <w:i/>
          <w:sz w:val="20"/>
        </w:rPr>
        <w:t>www.sec.gov</w:t>
      </w:r>
      <w:r>
        <w:rPr>
          <w:rFonts w:ascii="Times New Roman" w:hAnsi="Times New Roman"/>
          <w:sz w:val="20"/>
        </w:rPr>
        <w:t xml:space="preserve">. Each Investor acknowledges and agrees that such Investors and such Investor’s professional advisor(s), if any, have had the opportunity to ask such questions, receive such answers and obtain such information from Obsidian and the Company regarding Obsidian, the Company, their respective businesses and the terms and conditions of the offering of the Preferred Shares as such Investor and such Investor’s professional advisor(s), if any, have deemed necessary to make an investment decision with respect to the Preferred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Preferred Shares covered by this Agreement and (ii) in the case of an Investor whose investment adviser utilized an information barrier with respect to the information regarding the transactions contemplated hereunder after first being contacted by the Company, Obsidian or such other Person representing the Company or Obsidian,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Regulation M</w:t>
      </w:r>
      <w:r>
        <w:rPr>
          <w:rFonts w:ascii="Times New Roman" w:hAnsi="Times New Roman"/>
          <w:sz w:val="20"/>
        </w:rPr>
        <w:t xml:space="preserve">. Such Investor is aware that the anti-manipulation rules of Regulation M under the Exchange Act may apply to sales of securities and other activities with respect to the Preferred Shares by the Investors.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After the date hereof,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and the Placement Agents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xml:space="preserve">. Prior to the Closing, the Company shall use reasonable best efforts to maintain the listing and trading of the Common Stock on the OTCQB Market and, in accordance therewith, will use reasonable best efforts to comply in all material respects with the Company’s reporting, filing and other obligations under the rules and regulations of the OTCQB Market. Parent shall also use its reasonable best efforts to take all steps necessary to cause the Exchange Shares to be approved for listing on one of the listing markets of the Nasdaq Stock Market LLC as promptly as possible and to comply in all material respects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Parent’s reporting, filing and other obligations under the rules and regulations of the Nasdaq Stock Market LLC. The Company agrees to use, and will cause Parent to use, commercially reasonable efforts to maintain the eligibility of the Exchange Shares for electronic transfer through an established clearing corporation, including, without limitation, by timely payment of fees to such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by 9:00 a.m., New York City time, on the first (1st) Business Day immediately following the date hereof (</w:t>
      </w:r>
      <w:r>
        <w:rPr>
          <w:rFonts w:ascii="Times New Roman" w:hAnsi="Times New Roman"/>
          <w:sz w:val="20"/>
          <w:u w:val="single"/>
        </w:rPr>
        <w:t>provided</w:t>
      </w:r>
      <w:r>
        <w:rPr>
          <w:rFonts w:ascii="Times New Roman" w:hAnsi="Times New Roman"/>
          <w:sz w:val="20"/>
        </w:rPr>
        <w:t xml:space="preserve"> that, if this Agreement is executed between midnight and 9:00 a.m., New York City time on any Business Day, no later than 9:01 a.m. on the date hereof), issue a press release and ensure that the Company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Obsidian,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Obsidian,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Notwithstanding the foregoing, certain Investors may be in possession of additional confidential information, including certain non-public clinical updates, of Obsidian. Obsidian hereby agrees that it shall make public such confidential information by 5:00 p.m. EST on June 2, 2026. The Company and Obsidian understands and confirms that the Investors will rely on the foregoing representations in effecting securities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Merger Agreement or the Registration Rights Agreement) or any regulatory agency, without the prior written consent of such Investor, except (i) as required by the federal securities law in connection with (A) any registration statement contemplated by the Merger Agreement or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OTCQB Market or Nasdaq, provided that the Company shall use commercially reasonable efforts to provide the Investors with prior written notice of and a reasonable opportunity to review such disclosure permitted under foregoing clauses (i) and (ii).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reasonable best efforts to ensure that no Affiliate of the Company shall, sell, offer for sale or solicit offers to buy or otherwise negotiate in respect of any security (as defined in Section 2 of the Securities Act) that will be integrated with the offer or sale of the Preferred Shares in a manner that would require the registration under the Securities Act of the sale of the Preferred Shares to the Investors, or that will be integrated with the offer or sale of the Preferred Shares for purposes of the rules and regulations of any National Exchange such that it would require stockholder approval prior to the closing of such other transaction unless stockholder approval is obtained before the closing of such subsequent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Once the Resale Registration Statement (as defined in the Registration Rights Agreement) covering the resale of the Exchange Shares is declared or becomes effective, the Company shall instruct its Transfer Agent to remove all restrictive legends (other than, if applicable, an “affiliate” legend) within five (5) business days from such date, including the legend set forth in Section 4.10 above (or, in the event that Exchange Shares are issued after the Merger Registration Statement is declared effective, the Exchange Shares shall be issued without restrictive legends). Further, (i) while a registration statement (including the Registration Statement) covering the resale of such security is effective under the Securities Act, (ii) in connection with any sale, assignment, transfer or other disposition of Exchange Shares by an Investor pursuant to Rule 144 or pursuant to any other exemption under the Securities Act such that the purchaser acquires freely tradable shares, (iii) if the Exchange Shares are eligible for sale under Rule 144 without the need to comply with the current information requirement contained in Rule 144(c), or (iv) if such legend is not required under applicable requirements of the Securities Act (including judicial interpretations and pronouncements issued by the staff of the Commission), if requested by the Investor by notice to the Company, the Company shall request its transfer agent to remove any restrictive legends related to the book entry account holding such shares and make a new, unlegended entry for such book entry shares without restrictive legends as soon as reasonably practicable (but no later than five (5) business days) following any such request therefor from the Investor, provided that the Company has timely received from the Investor customary representations and other documentation reasonably acceptable to the Company in connection therewith. The Company shall cause its counsel to issue a legal opinion to its transfer agent or the Investor promptly if required by the transfer Agent to effect the removal of the legend hereunder, or if requested by an Investor, respectively. The Company shall be responsible for the fees of its transfer agent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Reporting Status</w:t>
      </w:r>
      <w:r>
        <w:rPr>
          <w:rFonts w:ascii="Times New Roman" w:hAnsi="Times New Roman"/>
          <w:sz w:val="20"/>
        </w:rPr>
        <w:t xml:space="preserve">.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each Person who controls such Investor (within the meaning of Section 15 of the Securities Act and Section 20 of the Exchange Act), and their respective directors, officers, trustees, members, managers, employees, investment advisers and agents (collectively, the “</w:t>
      </w:r>
      <w:r>
        <w:rPr>
          <w:rFonts w:ascii="Times New Roman" w:hAnsi="Times New Roman"/>
          <w:b/>
          <w:sz w:val="20"/>
        </w:rPr>
        <w:t>Indemnified Persons</w:t>
      </w:r>
      <w:r>
        <w:rPr>
          <w:rFonts w:ascii="Times New Roman" w:hAnsi="Times New Roman"/>
          <w:sz w:val="20"/>
        </w:rPr>
        <w:t xml:space="preserve">”), from and against any and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who is not an Affiliate of the Indemnified Person, whether directly or in a derivative capacity, with respect to the transactions contemplated by the Transaction Agreements (unless such action, claim or proceeding is based upon a breach of such Investor’s representations, warranties or covenants under the Transaction Agreements), and in each case will reimburse any such Indemnified Person for all such amounts as they are incurred by such Indemnified Person. For the avoidance of doubt, the indemnification obligations of the Company set forth in this Section 5.10 shall apply whether or not the transactions contemplated by this Agreement are consummated, provided that the applicable breach or action giving rise to indemnification occurred prior to or in connection with the Closing.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Conversion Shares. Prior to the Closing, Parent shall reserve and shall thereafter keep at all times, free of preemptive rights, a sufficient number of shares of common stock for purposes of enabling Parent to issue the Exchange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a Majority in Interest of the Purchasers, it being agreed that any amendment or modification to the definition of “Exchange Ratio” shall be deemed to materially and adversely affect the benefits that the Investors would reasonably expect to receive under this Agreement. In seeking any such consent, the Company shall not disclose any material nonpublic information pertaining to the Company, Parent, Obsidian or their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Equal Treatment of Investors</w:t>
      </w:r>
      <w:r>
        <w:rPr>
          <w:rFonts w:ascii="Times New Roman" w:hAnsi="Times New Roman"/>
          <w:sz w:val="20"/>
        </w:rPr>
        <w:t xml:space="preserve">. No consideration shall be offered or paid to any Investor to amend or consent to a waiver or modification of any provision of this Agreement unless the same consideration is also offered to all of the Investors. The Company further confirms that there are no side letters or other agreements giving any Investor any additional rights or benefits other than as set forth in the Transaction Agreements (other than confidentiality, nondisclosure, or similar agreements). The Company shall not be entitled to redeem or repurchase any of the Preferred Shares unless such redemption or repurchase is on a pro-rata basis amongst the Investors. For clarification purposes, this provision constitutes a separate right granted to each Investor by the Company and negotiated separately by each Investor and shall not in any way be construed as the Investors acting in concert or as a group with respect to the purchase, disposition or voting of shares of Common Stock or otherwise.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Subsequent Equity Sales</w:t>
      </w:r>
      <w:r>
        <w:rPr>
          <w:rFonts w:ascii="Times New Roman" w:hAnsi="Times New Roman"/>
          <w:sz w:val="20"/>
        </w:rPr>
        <w:t xml:space="preserve">. From the date of this Agreement until the later of (a) ninety (90) days after the Closing Date and (b) the Business Day immediately following the effective date of the Registration Statement filed pursuant to the Registration Rights Agreement , the Company shall not (A) except as contemplated by the Merger Agreement, issue shares of Common Stock, Common Stock Equivalents, Parent Common Stock (as defined in the Merger Agreement), or any securities of Parent that would entitle the holder thereof to acquire at any time Parent Common Stock, including, without limitation, any debt, preferred stock, rights, options, warrants or other instrument that is at any time convertible into or exchangeable for, or otherwise entitles the holder thereof to receive, Parent Common Stock (collectively, the “Parent Common Stock Equivalents”), (B) except as contemplated by the Merger Agreement, effect a reverse stock split, recapitalization, share consolidation, reclassification or similar transaction affecting the outstanding Common Stock or (C) file with the SEC a registration statement under the Securities Act relating to any shares of Common Stock, Common Stock Equivalents, Parent Common Stock or Parent Common Stock Equivalents, except pursuant to the terms of the Registration Rights Agreement or as contemplated by the Merger Agreement. Notwithstanding the foregoing, the provisions of this Section 5.17 shall not apply to (i) the issuance of the Shares hereunder, the Conversion Shares or the Exchange Shares,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 (iv) the filing of a registration statement on Form S-8 under the Securities Act to register the offer and sale of securities on an equity incentive plan or employee stock purchase plan, including as required pursuant to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Blue Sky</w:t>
      </w:r>
      <w:r>
        <w:rPr>
          <w:rFonts w:ascii="Times New Roman" w:hAnsi="Times New Roman"/>
          <w:sz w:val="20"/>
        </w:rPr>
        <w:t xml:space="preserve">. The Company, on or before the Closing Date, shall take such action as the Company shall reasonably determine is necessary in order to obtain an exemption for or to qualify the Preferred Shares, Conversion Shares and Exchange Shares for sale and/or issuance to the Investors under applicable securities or “Blue Sky” laws of the states of the United States (or to obtain an exemption from such qualification) and shall provide evidence of such actions promptly upon the written request of any Investors.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Preferred Shares being purchased by it at the Closing pursuant to this Agreement, are subject to the satisfaction or waiver in writing (by each such investor)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those representations and warranties qualified by materiality or Material Adverse Effect, which shall be true and correct in all respects and except to the extent any such representation or warranty expressly speaks as of an earlier date, in which case such representation or warranty shall be true and correct in all material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Preferred Shares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Preferred Shares,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Preferred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an Obsidian Material Adverse Effect or a Galera Material Adverse Effect (each,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and the Placement Agents the opinion of Sidley Austin LLP, dated as of the Closing Date, in customary form and substance to be reasonably agreed upon with the Placement Agents and a Majority in Interest of the Purchasers and addressing such legal matters as the Placement Agents and a Majority in Interest of the Purchasers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in form and substance reasonably acceptable to a Majority in Interest of the Purchasers,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(Listing Requirements), </w:t>
      </w:r>
      <w:r>
        <w:rPr>
          <w:rFonts w:ascii="Times New Roman" w:hAnsi="Times New Roman"/>
          <w:sz w:val="20"/>
          <w:u w:val="single"/>
        </w:rPr>
        <w:t>6.1(l)</w:t>
      </w:r>
      <w:r>
        <w:rPr>
          <w:rFonts w:ascii="Times New Roman" w:hAnsi="Times New Roman"/>
          <w:sz w:val="20"/>
        </w:rPr>
        <w:t xml:space="preserve"> (Minimum Financing Amount), </w:t>
      </w:r>
      <w:r>
        <w:rPr>
          <w:rFonts w:ascii="Times New Roman" w:hAnsi="Times New Roman"/>
          <w:sz w:val="20"/>
          <w:u w:val="single"/>
        </w:rPr>
        <w:t>6.1(m)</w:t>
      </w:r>
      <w:r>
        <w:rPr>
          <w:rFonts w:ascii="Times New Roman" w:hAnsi="Times New Roman"/>
          <w:sz w:val="20"/>
        </w:rPr>
        <w:t xml:space="preserve"> (Mergers) and </w:t>
      </w:r>
      <w:r>
        <w:rPr>
          <w:rFonts w:ascii="Times New Roman" w:hAnsi="Times New Roman"/>
          <w:sz w:val="20"/>
          <w:u w:val="single"/>
        </w:rPr>
        <w:t>6.1(n)</w:t>
      </w:r>
      <w:r>
        <w:rPr>
          <w:rFonts w:ascii="Times New Roman" w:hAnsi="Times New Roman"/>
          <w:sz w:val="20"/>
        </w:rPr>
        <w:t xml:space="preserve"> (Certificate of Designation) of this Agreement have been fulfilled.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(including the Certificate of Designation), (ii) the Bylaws, and (iii) resolutions of the Company’s Board of Directors (or an authorized committee thereof) approving this Agreement, the other Transaction Agreements, the transactions contemplated by this Agreement and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Each of the Company and Parent shall have executed and delivered the Registration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Requirements</w:t>
      </w:r>
      <w:r>
        <w:rPr>
          <w:rFonts w:ascii="Times New Roman" w:hAnsi="Times New Roman"/>
          <w:sz w:val="20"/>
        </w:rPr>
        <w:t xml:space="preserve">. No stop order or suspension of trading shall have been imposed by the OTCQB Market, the SEC or any other governmental or regulatory body with respect to public trading in the Common Stock. Parent Common Stock shall be listed on one of the listing markets of the Nasdaq Stock Market LLC and the Company shall have filed, or shall have caused Parent to file, with Nasdaq the Nasdaq Listing Application and Nasdaq shall have raised no objection to the transactions contemplated in this Agreement, the other Transaction Agreements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Minimum Financing Amount</w:t>
      </w:r>
      <w:r>
        <w:rPr>
          <w:rFonts w:ascii="Times New Roman" w:hAnsi="Times New Roman"/>
          <w:sz w:val="20"/>
        </w:rPr>
        <w:t xml:space="preserve">. The Company shall receive at Closing aggregate proceeds from the purchase of Preferred Shares pursuant to this Agreement of not less than (i) $350,000,000 less (ii) any proceeds received by Obsidian in connection with the Interim Permitted Financing.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Mergers</w:t>
      </w:r>
      <w:r>
        <w:rPr>
          <w:rFonts w:ascii="Times New Roman" w:hAnsi="Times New Roman"/>
          <w:sz w:val="20"/>
        </w:rPr>
        <w:t xml:space="preserve">. The conditions to the closing of the Mergers shall have been satisfied or waived (other than those conditions which, by their nature, are to be satisfied at the closing of the transactions contemplated by the Merger Agreement), as determined in the Company’s reasonable discretion (which conditions to closing of the Mergers shall not have been amended or waived in any manner that materially and adversely affects the Investors).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Certificate of Designation</w:t>
      </w:r>
      <w:r>
        <w:rPr>
          <w:rFonts w:ascii="Times New Roman" w:hAnsi="Times New Roman"/>
          <w:sz w:val="20"/>
        </w:rPr>
        <w:t xml:space="preserve">. The Company shall have received a certified copy of the Certificate of Designation, as filed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Stock Split and Share Increase</w:t>
      </w:r>
      <w:r>
        <w:rPr>
          <w:rFonts w:ascii="Times New Roman" w:hAnsi="Times New Roman"/>
          <w:sz w:val="20"/>
        </w:rPr>
        <w:t xml:space="preserve">. The Company shall have affected the Galera Reverse Stock Split and the Galera Authorized Common Stock Increase (each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Preferred Shares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Preferred Shares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such Investor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Preferred Shares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Termination.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a Majority in Interest of the Purchasers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By either the Company or an Investor, solely as to itself, if the Closing has not occurred on or before the Outside Date (as defined in the Merger Agreement, as in effect on the date hereof and as may be extended solely with the prior written consent of a Majority in Interest of the Purchasers), </w:t>
      </w:r>
      <w:r>
        <w:rPr>
          <w:rFonts w:ascii="Times New Roman" w:hAnsi="Times New Roman"/>
          <w:i/>
          <w:sz w:val="20"/>
        </w:rPr>
        <w:t>provided, however</w:t>
      </w:r>
      <w:r>
        <w:rPr>
          <w:rFonts w:ascii="Times New Roman" w:hAnsi="Times New Roman"/>
          <w:sz w:val="20"/>
        </w:rPr>
        <w:t xml:space="preserve">, that the Outside Date may not be extended to any date that is more than eighteen (18) months following the date hereof without the Investors’ prior written consent;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and except for an investor call held prior to the Disclosure Time and the material terms of which are disclosed in the Disclosure Document,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of the Exchange Act or as otherwise required by law, rule or regulation,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Galera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Lindenwood Drive, Suite 225 </w:t>
      </w:r>
    </w:p>
    <w:p>
      <w:pPr>
        <w:pStyle w:val="TextBody"/>
        <w:bidi w:val="0"/>
        <w:spacing w:before="0" w:after="0"/>
        <w:jc w:val="left"/>
        <w:rPr>
          <w:rFonts w:ascii="Times New Roman" w:hAnsi="Times New Roman"/>
          <w:sz w:val="20"/>
        </w:rPr>
      </w:pPr>
      <w:r>
        <w:rPr>
          <w:rFonts w:ascii="Times New Roman" w:hAnsi="Times New Roman"/>
          <w:sz w:val="20"/>
        </w:rPr>
        <w:t xml:space="preserve">Malvern, Pennsylvania </w:t>
      </w:r>
    </w:p>
    <w:p>
      <w:pPr>
        <w:pStyle w:val="TextBody"/>
        <w:bidi w:val="0"/>
        <w:spacing w:before="0" w:after="0"/>
        <w:jc w:val="left"/>
        <w:rPr>
          <w:rFonts w:ascii="Times New Roman" w:hAnsi="Times New Roman"/>
          <w:sz w:val="20"/>
        </w:rPr>
      </w:pPr>
      <w:r>
        <w:rPr>
          <w:rFonts w:ascii="Times New Roman" w:hAnsi="Times New Roman"/>
          <w:sz w:val="20"/>
        </w:rPr>
        <w:t xml:space="preserve">Attention: President and Principal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w:t>
      </w:r>
      <w:r>
        <w:rPr>
          <w:rFonts w:ascii="Times New Roman" w:hAnsi="Times New Roman"/>
          <w:sz w:val="20"/>
          <w:u w:val="single"/>
        </w:rPr>
        <w:t>msorensen@galeratx.com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2850 Quarry Lake Drive, Suite 301 </w:t>
      </w:r>
    </w:p>
    <w:p>
      <w:pPr>
        <w:pStyle w:val="TextBody"/>
        <w:bidi w:val="0"/>
        <w:spacing w:before="0" w:after="0"/>
        <w:jc w:val="left"/>
        <w:rPr>
          <w:rFonts w:ascii="Times New Roman" w:hAnsi="Times New Roman"/>
          <w:sz w:val="20"/>
        </w:rPr>
      </w:pPr>
      <w:r>
        <w:rPr>
          <w:rFonts w:ascii="Times New Roman" w:hAnsi="Times New Roman"/>
          <w:sz w:val="20"/>
        </w:rPr>
        <w:t xml:space="preserve">Baltimore, Maryland 21209 </w:t>
      </w:r>
    </w:p>
    <w:p>
      <w:pPr>
        <w:pStyle w:val="TextBody"/>
        <w:bidi w:val="0"/>
        <w:spacing w:before="0" w:after="0"/>
        <w:jc w:val="left"/>
        <w:rPr>
          <w:rFonts w:ascii="Times New Roman" w:hAnsi="Times New Roman"/>
          <w:sz w:val="20"/>
        </w:rPr>
      </w:pPr>
      <w:r>
        <w:rPr>
          <w:rFonts w:ascii="Times New Roman" w:hAnsi="Times New Roman"/>
          <w:sz w:val="20"/>
        </w:rPr>
        <w:t xml:space="preserve">Attention: Asher Rubin; Istvan Hajdu; Kayla West </w:t>
      </w:r>
    </w:p>
    <w:p>
      <w:pPr>
        <w:pStyle w:val="TextBody"/>
        <w:bidi w:val="0"/>
        <w:spacing w:before="0" w:after="0"/>
        <w:jc w:val="left"/>
        <w:rPr>
          <w:rFonts w:ascii="Times New Roman" w:hAnsi="Times New Roman"/>
          <w:sz w:val="20"/>
        </w:rPr>
      </w:pPr>
      <w:r>
        <w:rPr>
          <w:rFonts w:ascii="Times New Roman" w:hAnsi="Times New Roman"/>
          <w:sz w:val="20"/>
        </w:rPr>
        <w:t xml:space="preserve">Email Address: arubin@sidley.com; ihajdu@sidley.com; kwest@sidley.com </w:t>
      </w:r>
    </w:p>
    <w:p>
      <w:pPr>
        <w:pStyle w:val="TextBody"/>
        <w:bidi w:val="0"/>
        <w:spacing w:before="120" w:after="0"/>
        <w:jc w:val="left"/>
        <w:rPr>
          <w:rFonts w:ascii="Times New Roman" w:hAnsi="Times New Roman"/>
          <w:sz w:val="20"/>
        </w:rPr>
      </w:pPr>
      <w:r>
        <w:rPr>
          <w:rFonts w:ascii="Times New Roman" w:hAnsi="Times New Roman"/>
          <w:sz w:val="20"/>
        </w:rPr>
        <w:t xml:space="preserve">(b) If to any Investor, at each of its email addresses set forth on </w:t>
      </w:r>
      <w:r>
        <w:rPr>
          <w:rFonts w:ascii="Times New Roman" w:hAnsi="Times New Roman"/>
          <w:sz w:val="20"/>
          <w:u w:val="single"/>
        </w:rPr>
        <w:t>Exhibit A</w:t>
      </w:r>
      <w:r>
        <w:rPr>
          <w:rFonts w:ascii="Times New Roman" w:hAnsi="Times New Roman"/>
          <w:sz w:val="20"/>
        </w:rPr>
        <w:t xml:space="preserve"> or to such e-mail addresses or addresses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as amended or superseded from time to time, with respect to the Preferred Shares at the e-mail address(es)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in accordance with Section 8.3.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 xml:space="preserve">Governing Law; Submission to Jurisdiction; Venue; Waiver of Trial by Jury.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Exhibit A</w:t>
      </w:r>
      <w:r>
        <w:rPr>
          <w:rFonts w:ascii="Times New Roman" w:hAnsi="Times New Roman"/>
          <w:sz w:val="20"/>
        </w:rPr>
        <w:t xml:space="preserve"> or at such other address of which the other party shall have been notified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12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Preferred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Preferred Shares, Conversion Shares or Exchange Shares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(i) assign its rights to purchase the Preferred Shares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as an Investor hereunder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or (ii) assign its rights hereunder to a permitted transferee of its Preferred Shares or Conversion Shares following the Closing (other than with respect to transfers pursuant to a registration statement or Rule 144)</w:t>
      </w:r>
      <w:r>
        <w:rPr>
          <w:rFonts w:ascii="Times New Roman" w:hAnsi="Times New Roman"/>
          <w:sz w:val="20"/>
          <w:u w:val="single"/>
        </w:rPr>
        <w:t xml:space="preserve"> (provided</w:t>
      </w:r>
      <w:r>
        <w:rPr>
          <w:rFonts w:ascii="Times New Roman" w:hAnsi="Times New Roman"/>
          <w:sz w:val="20"/>
        </w:rPr>
        <w:t xml:space="preserve"> each such assignee agrees to be bound by the terms of this Agreement applicable to the Investor).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 xml:space="preserve">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Each Investor covenants that until the earliest of (i) such time as the transactions contemplated by this Agreement and any material non-public information provided to such Investor are publicly disclosed by the Company in accordance with </w:t>
      </w:r>
      <w:r>
        <w:rPr>
          <w:rFonts w:ascii="Times New Roman" w:hAnsi="Times New Roman"/>
          <w:sz w:val="20"/>
          <w:u w:val="single"/>
        </w:rPr>
        <w:t>Section 5.3</w:t>
      </w:r>
      <w:r>
        <w:rPr>
          <w:rFonts w:ascii="Times New Roman" w:hAnsi="Times New Roman"/>
          <w:sz w:val="20"/>
        </w:rPr>
        <w:t xml:space="preserve"> (ii) such time the foregoing is required to be disclosed under </w:t>
      </w:r>
      <w:r>
        <w:rPr>
          <w:rFonts w:ascii="Times New Roman" w:hAnsi="Times New Roman"/>
          <w:sz w:val="20"/>
          <w:u w:val="single"/>
        </w:rPr>
        <w:t>Section 5.3</w:t>
      </w:r>
      <w:r>
        <w:rPr>
          <w:rFonts w:ascii="Times New Roman" w:hAnsi="Times New Roman"/>
          <w:sz w:val="20"/>
        </w:rPr>
        <w:t xml:space="preserve"> and (iii)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applicable law or regulation or at the request of any governmental or regulatory authority having jurisdiction over such Investor. Each Investor may identify its investment in the Company and the value of such Investor’s security holdings in the Company in accordance with applicable investment reporting and disclosure regulations and respond to examinations, demands, requests or reporting requirements of a regulatory authority without prior notice to or consent from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Preferred Shares,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the OTCQB Market or another National Exchange, in which case, the Company will use commercially reasonable efforts to notify the applicable Investor and provide such Investor the opportunity to review such disclosure. Each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 xml:space="preserve">Reliance by and Exculpation of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(a) Each Investor agrees for the express benefit of the Placement Agents, any of its Affiliates and representatives that (i) neither the Placement Agents nor any of its Affiliates or their representatives have made and will not make any representations or warranties with respect to the Company, Obsidian or the offer and sale of the Preferred Shares, and such Investor will not rely on any statements made by the Placement Agents, orally or in writing, to the contrary, (ii) the Placement Agents are acting solely as the agent of the Company in this placement of the Preferred Shares and is not acting as underwriter or in any other capacity and is not and shall not be construed as fiduciary for the Investor, the Company, Obsidian or any other person or entity in connection with this placement of the Preferred Shares, (iii) such Investor will be responsible for conducting its own due diligence investigation with respect to the Company, Obsidian and the offer and sale of the Preferred Shares, (iv) such Investor will be purchasing Preferred Shares based on the results of its own due diligence investigation of the Company and Obsidian, and the Placement Agents and each of their respective directors, officers, employees, representatives, and controlling persons have made no independent investigation with respect to the Company, Obsidian, the Preferred Shares, or the accuracy, completeness, or adequacy of any information supplied to the Investor by the Company or Obsidian, (vi) such Investor has negotiated the offer and sale of the Preferred Shares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Preferred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hAnsi="Times New Roman"/>
          <w:sz w:val="20"/>
          <w:u w:val="single"/>
        </w:rPr>
        <w:t>Section 8.11</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Placement Agents nor any of their respective Affiliates or representatives (1) shall be liable for any improper payment made in accordance with the information provided by the Company or Obsidian; (2) makes any representation or warranty, or has any responsibilities as to the validity, enforceability, accuracy, value or genuineness of any information, certificates or documentation delivered by or on behalf of the Company or Obsidian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agrees that the Placement Agents and its respective Affiliates and representatives shall be entitled to (1) rely on, and shall be protected in acting upon, any certificate, instrument, notice, letter or any other document or security delivered to any of them by or on behalf of the Company or Obsidian, and (2) be indemnified by the Company for acting as the Placement Agents hereunder pursuant to the indemnification provisions set forth in the applicable letter agreement(s) between the Company and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the Placement Agents are an intended third-party beneficiary of the representations and warranties of the Company set forth in </w:t>
      </w:r>
      <w:r>
        <w:rPr>
          <w:rFonts w:ascii="Times New Roman" w:hAnsi="Times New Roman"/>
          <w:sz w:val="20"/>
          <w:u w:val="single"/>
        </w:rPr>
        <w:t>Section 3</w:t>
      </w:r>
      <w:r>
        <w:rPr>
          <w:rFonts w:ascii="Times New Roman" w:hAnsi="Times New Roman"/>
          <w:sz w:val="20"/>
        </w:rPr>
        <w:t xml:space="preserve">, the representations and warranties of each Investor set forth in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Section 6.1(g)</w:t>
      </w:r>
      <w:r>
        <w:rPr>
          <w:rFonts w:ascii="Times New Roman" w:hAnsi="Times New Roman"/>
          <w:sz w:val="20"/>
        </w:rPr>
        <w:t xml:space="preserve"> and </w:t>
      </w:r>
      <w:r>
        <w:rPr>
          <w:rFonts w:ascii="Times New Roman" w:hAnsi="Times New Roman"/>
          <w:sz w:val="20"/>
          <w:u w:val="single"/>
        </w:rPr>
        <w:t>Section 8.11</w:t>
      </w:r>
      <w:r>
        <w:rPr>
          <w:rFonts w:ascii="Times New Roman" w:hAnsi="Times New Roman"/>
          <w:sz w:val="20"/>
        </w:rPr>
        <w:t xml:space="preserve"> of this Agreement, and (ii) the Indemnified Persons are intended third-party beneficiaries of </w:t>
      </w:r>
      <w:r>
        <w:rPr>
          <w:rFonts w:ascii="Times New Roman" w:hAnsi="Times New Roman"/>
          <w:sz w:val="20"/>
          <w:u w:val="single"/>
        </w:rPr>
        <w:t>Section 5.10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Sidley Austin LLP or Mintz, Levin, Cohn, Glovsky, and Popeo, P.C., or Goodwin Procter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Counterparts</w:t>
      </w:r>
      <w:r>
        <w:rPr>
          <w:rFonts w:ascii="Times New Roman" w:hAnsi="Times New Roman"/>
          <w:sz w:val="20"/>
        </w:rPr>
        <w:t xml:space="preserve">. This Agreement may be executed in three (3)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hAnsi="Times New Roman"/>
          <w:i/>
          <w:sz w:val="20"/>
        </w:rPr>
        <w:t>www.docusign.com</w:t>
      </w:r>
      <w:r>
        <w:rPr>
          <w:rFonts w:ascii="Times New Roman" w:hAnsi="Times New Roman"/>
          <w:sz w:val="20"/>
        </w:rPr>
        <w:t xml:space="preserve"> shall be considered due execution and shall be binding upon the signatory thereto with the same force and effect as if the signature were an original, not a facsimile or pdf (or other electronic reproduction of a) signature.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Entire Agreement; Amendments</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Investors of at least a majority in interest of the Preferred Shares then held by the Investors, provided that if any amendment, modification or waiver disproportionately and adversely impacts an Investor (or group of Investors), the consent of at least seventy five percent (75%) in interest of such disproportionately impacted Investor (or group of Investors) shall also be required. Notwithstanding the foregoing, (i) this Agreement may not be amended or waived with respect to any Investor without the written consent of such Investor unless such amendment or waiver applies to all Investors in the same fashion, and (ii) any amendment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5.10</w:t>
      </w:r>
      <w:r>
        <w:rPr>
          <w:rFonts w:ascii="Times New Roman" w:hAnsi="Times New Roman"/>
          <w:sz w:val="20"/>
        </w:rPr>
        <w:t xml:space="preserve">,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7.1</w:t>
      </w:r>
      <w:r>
        <w:rPr>
          <w:rFonts w:ascii="Times New Roman" w:hAnsi="Times New Roman"/>
          <w:sz w:val="20"/>
        </w:rPr>
        <w:t xml:space="preserve"> or this </w:t>
      </w:r>
      <w:r>
        <w:rPr>
          <w:rFonts w:ascii="Times New Roman" w:hAnsi="Times New Roman"/>
          <w:sz w:val="20"/>
          <w:u w:val="single"/>
        </w:rPr>
        <w:t>Section 8.16</w:t>
      </w:r>
      <w:r>
        <w:rPr>
          <w:rFonts w:ascii="Times New Roman" w:hAnsi="Times New Roman"/>
          <w:sz w:val="20"/>
        </w:rPr>
        <w:t xml:space="preserve"> shall require the consent of each Investor. No consideration (including any modification of this Agreement) shall be offered or paid to any Person to amend or consent to a waiver or modification of any provision of this Agreement unless the same consideration is also offered to all of the parties to this Agreement.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hAnsi="Times New Roman"/>
          <w:sz w:val="20"/>
          <w:u w:val="single"/>
        </w:rPr>
        <w:t>Section 8.16</w:t>
      </w:r>
      <w:r>
        <w:rPr>
          <w:rFonts w:ascii="Times New Roman" w:hAnsi="Times New Roman"/>
          <w:sz w:val="20"/>
        </w:rPr>
        <w:t xml:space="preserve"> that is material and adverse to the Placement Agents shall be valid without the prior written consent of the Placement Agents, which consent may be granted or withheld in the sole discretion of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Preferred Shares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Preferred Shares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8.20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94"/>
        <w:gridCol w:w="93"/>
        <w:gridCol w:w="3395"/>
      </w:tblGrid>
      <w:tr>
        <w:trPr/>
        <w:tc>
          <w:tcPr>
            <w:tcW w:w="594"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GALERA THERAPEUTICS, INC.</w:t>
            </w:r>
          </w:p>
        </w:tc>
      </w:tr>
      <w:tr>
        <w:trPr>
          <w:trHeight w:val="240" w:hRule="atLeast"/>
        </w:trPr>
        <w:tc>
          <w:tcPr>
            <w:tcW w:w="594" w:type="dxa"/>
            <w:tcBorders/>
            <w:vAlign w:val="center"/>
          </w:tcPr>
          <w:p>
            <w:pPr>
              <w:pStyle w:val="TableContents"/>
              <w:bidi w:val="0"/>
              <w:spacing w:before="0" w:after="283"/>
              <w:jc w:val="left"/>
              <w:rPr>
                <w:sz w:val="4"/>
                <w:szCs w:val="4"/>
              </w:rPr>
            </w:pPr>
            <w:r>
              <w:rPr>
                <w:sz w:val="4"/>
                <w:szCs w:val="4"/>
              </w:rPr>
            </w:r>
          </w:p>
        </w:tc>
        <w:tc>
          <w:tcPr>
            <w:tcW w:w="3488"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33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w:t>
            </w:r>
          </w:p>
        </w:tc>
      </w:tr>
      <w:tr>
        <w:trPr/>
        <w:tc>
          <w:tcPr>
            <w:tcW w:w="4082" w:type="dxa"/>
            <w:gridSpan w:val="3"/>
            <w:tcBorders/>
          </w:tcPr>
          <w:p>
            <w:pPr>
              <w:pStyle w:val="TableContents"/>
              <w:bidi w:val="0"/>
              <w:spacing w:before="0" w:after="283"/>
              <w:jc w:val="left"/>
              <w:rPr/>
            </w:pPr>
            <w:r>
              <w:rPr/>
              <w:t>Name: J. Mel Sorensen, M.D.</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GAZELLE PARENT,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w:t>
            </w:r>
          </w:p>
        </w:tc>
      </w:tr>
      <w:tr>
        <w:trPr/>
        <w:tc>
          <w:tcPr>
            <w:tcW w:w="4082" w:type="dxa"/>
            <w:gridSpan w:val="3"/>
            <w:tcBorders/>
          </w:tcPr>
          <w:p>
            <w:pPr>
              <w:pStyle w:val="TableContents"/>
              <w:bidi w:val="0"/>
              <w:spacing w:before="0" w:after="283"/>
              <w:jc w:val="left"/>
              <w:rPr/>
            </w:pPr>
            <w:r>
              <w:rPr/>
              <w:t>Name: J. Mel Sorensen, M.D.</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Sections 3.2, 3.3, 3.4, 3.5, 3.6, 3.7, 3.33 and 5.12 of this Agreement.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88"/>
        <w:gridCol w:w="145"/>
        <w:gridCol w:w="3149"/>
      </w:tblGrid>
      <w:tr>
        <w:trPr/>
        <w:tc>
          <w:tcPr>
            <w:tcW w:w="78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145" w:type="dxa"/>
            <w:tcBorders/>
            <w:vAlign w:val="bottom"/>
          </w:tcPr>
          <w:p>
            <w:pPr>
              <w:pStyle w:val="TableContents"/>
              <w:bidi w:val="0"/>
              <w:spacing w:before="0" w:after="283"/>
              <w:jc w:val="left"/>
              <w:rPr/>
            </w:pPr>
            <w:r>
              <w:rPr/>
              <w:t> </w:t>
            </w:r>
          </w:p>
        </w:tc>
        <w:tc>
          <w:tcPr>
            <w:tcW w:w="31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 Feder</w:t>
            </w:r>
          </w:p>
        </w:tc>
      </w:tr>
      <w:tr>
        <w:trPr/>
        <w:tc>
          <w:tcPr>
            <w:tcW w:w="4082" w:type="dxa"/>
            <w:gridSpan w:val="3"/>
            <w:tcBorders/>
          </w:tcPr>
          <w:p>
            <w:pPr>
              <w:pStyle w:val="TableContents"/>
              <w:bidi w:val="0"/>
              <w:spacing w:before="0" w:after="283"/>
              <w:jc w:val="left"/>
              <w:rPr/>
            </w:pPr>
            <w:r>
              <w:rPr/>
              <w:t>Name: Julie Feder</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w:t>
            </w:r>
            <w:r>
              <w:rPr>
                <w:rFonts w:ascii="Times New Roman" w:hAnsi="Times New Roman"/>
                <w:sz w:val="20"/>
                <w:u w:val="single"/>
              </w:rPr>
              <w:t>Section 5.3</w:t>
            </w:r>
            <w:r>
              <w:rPr>
                <w:rFonts w:ascii="Times New Roman" w:hAnsi="Times New Roman"/>
                <w:sz w:val="20"/>
              </w:rPr>
              <w:t xml:space="preserve"> of this Agreement.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63"/>
        <w:gridCol w:w="230"/>
        <w:gridCol w:w="8612"/>
      </w:tblGrid>
      <w:tr>
        <w:trPr/>
        <w:tc>
          <w:tcPr>
            <w:tcW w:w="136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8612" w:type="dxa"/>
            <w:tcBorders/>
            <w:vAlign w:val="center"/>
          </w:tcPr>
          <w:p>
            <w:pPr>
              <w:pStyle w:val="TableContents"/>
              <w:bidi w:val="0"/>
              <w:spacing w:before="0" w:after="283"/>
              <w:jc w:val="left"/>
              <w:rPr>
                <w:sz w:val="4"/>
                <w:szCs w:val="4"/>
              </w:rPr>
            </w:pPr>
            <w:r>
              <w:rPr>
                <w:sz w:val="4"/>
                <w:szCs w:val="4"/>
              </w:rPr>
            </w:r>
          </w:p>
        </w:tc>
      </w:tr>
      <w:tr>
        <w:trPr/>
        <w:tc>
          <w:tcPr>
            <w:tcW w:w="1363" w:type="dxa"/>
            <w:tcBorders/>
          </w:tcPr>
          <w:p>
            <w:pPr>
              <w:pStyle w:val="TableContents"/>
              <w:bidi w:val="0"/>
              <w:spacing w:before="0" w:after="283"/>
              <w:jc w:val="left"/>
              <w:rPr>
                <w:b/>
              </w:rPr>
            </w:pPr>
            <w:r>
              <w:rPr>
                <w:b/>
              </w:rPr>
              <w:t>INVESTOR:</w:t>
            </w:r>
          </w:p>
        </w:tc>
        <w:tc>
          <w:tcPr>
            <w:tcW w:w="230" w:type="dxa"/>
            <w:tcBorders/>
            <w:vAlign w:val="bottom"/>
          </w:tcPr>
          <w:p>
            <w:pPr>
              <w:pStyle w:val="TableContents"/>
              <w:bidi w:val="0"/>
              <w:spacing w:before="0" w:after="283"/>
              <w:jc w:val="left"/>
              <w:rPr/>
            </w:pPr>
            <w:r>
              <w:rPr/>
              <w:t>  </w:t>
            </w:r>
          </w:p>
        </w:tc>
        <w:tc>
          <w:tcPr>
            <w:tcW w:w="8612" w:type="dxa"/>
            <w:tcBorders/>
          </w:tcPr>
          <w:p>
            <w:pPr>
              <w:pStyle w:val="TableContents"/>
              <w:bidi w:val="0"/>
              <w:spacing w:before="0" w:after="283"/>
              <w:jc w:val="left"/>
              <w:rPr>
                <w:sz w:val="4"/>
                <w:szCs w:val="4"/>
              </w:rPr>
            </w:pPr>
            <w:r>
              <w:rPr>
                <w:sz w:val="4"/>
                <w:szCs w:val="4"/>
              </w:rPr>
            </w:r>
          </w:p>
        </w:tc>
      </w:tr>
      <w:tr>
        <w:trPr>
          <w:trHeight w:val="240" w:hRule="atLeast"/>
        </w:trPr>
        <w:tc>
          <w:tcPr>
            <w:tcW w:w="1363" w:type="dxa"/>
            <w:tcBorders/>
            <w:vAlign w:val="center"/>
          </w:tcPr>
          <w:p>
            <w:pPr>
              <w:pStyle w:val="TableContents"/>
              <w:bidi w:val="0"/>
              <w:spacing w:before="0" w:after="283"/>
              <w:jc w:val="left"/>
              <w:rPr>
                <w:sz w:val="4"/>
                <w:szCs w:val="4"/>
              </w:rPr>
            </w:pPr>
            <w:r>
              <w:rPr>
                <w:sz w:val="4"/>
                <w:szCs w:val="4"/>
              </w:rPr>
            </w:r>
          </w:p>
        </w:tc>
        <w:tc>
          <w:tcPr>
            <w:tcW w:w="8842" w:type="dxa"/>
            <w:gridSpan w:val="2"/>
            <w:tcBorders/>
            <w:vAlign w:val="center"/>
          </w:tcPr>
          <w:p>
            <w:pPr>
              <w:pStyle w:val="TableContents"/>
              <w:bidi w:val="0"/>
              <w:spacing w:before="0" w:after="283"/>
              <w:jc w:val="left"/>
              <w:rPr>
                <w:sz w:val="4"/>
                <w:szCs w:val="4"/>
              </w:rPr>
            </w:pPr>
            <w:r>
              <w:rPr>
                <w:sz w:val="4"/>
                <w:szCs w:val="4"/>
              </w:rPr>
            </w:r>
          </w:p>
        </w:tc>
      </w:tr>
      <w:tr>
        <w:trPr/>
        <w:tc>
          <w:tcPr>
            <w:tcW w:w="1363" w:type="dxa"/>
            <w:tcBorders/>
          </w:tcPr>
          <w:p>
            <w:pPr>
              <w:pStyle w:val="TableContents"/>
              <w:bidi w:val="0"/>
              <w:spacing w:before="0" w:after="283"/>
              <w:jc w:val="left"/>
              <w:rPr>
                <w:b/>
              </w:rPr>
            </w:pPr>
            <w:r>
              <w:rPr>
                <w:b/>
              </w:rPr>
              <w:t>[NAME]</w:t>
            </w:r>
          </w:p>
        </w:tc>
        <w:tc>
          <w:tcPr>
            <w:tcW w:w="230" w:type="dxa"/>
            <w:tcBorders/>
            <w:vAlign w:val="bottom"/>
          </w:tcPr>
          <w:p>
            <w:pPr>
              <w:pStyle w:val="TableContents"/>
              <w:bidi w:val="0"/>
              <w:spacing w:before="0" w:after="283"/>
              <w:jc w:val="left"/>
              <w:rPr/>
            </w:pPr>
            <w:r>
              <w:rPr/>
              <w:t>  </w:t>
            </w:r>
          </w:p>
        </w:tc>
        <w:tc>
          <w:tcPr>
            <w:tcW w:w="8612" w:type="dxa"/>
            <w:tcBorders/>
          </w:tcPr>
          <w:p>
            <w:pPr>
              <w:pStyle w:val="TableContents"/>
              <w:bidi w:val="0"/>
              <w:spacing w:before="0" w:after="283"/>
              <w:jc w:val="left"/>
              <w:rPr>
                <w:sz w:val="4"/>
                <w:szCs w:val="4"/>
              </w:rPr>
            </w:pPr>
            <w:r>
              <w:rPr>
                <w:sz w:val="4"/>
                <w:szCs w:val="4"/>
              </w:rPr>
            </w:r>
          </w:p>
        </w:tc>
      </w:tr>
      <w:tr>
        <w:trPr>
          <w:trHeight w:val="240" w:hRule="atLeast"/>
        </w:trPr>
        <w:tc>
          <w:tcPr>
            <w:tcW w:w="1363" w:type="dxa"/>
            <w:tcBorders/>
            <w:vAlign w:val="center"/>
          </w:tcPr>
          <w:p>
            <w:pPr>
              <w:pStyle w:val="TableContents"/>
              <w:bidi w:val="0"/>
              <w:spacing w:before="0" w:after="283"/>
              <w:jc w:val="left"/>
              <w:rPr>
                <w:sz w:val="4"/>
                <w:szCs w:val="4"/>
              </w:rPr>
            </w:pPr>
            <w:r>
              <w:rPr>
                <w:sz w:val="4"/>
                <w:szCs w:val="4"/>
              </w:rPr>
            </w:r>
          </w:p>
        </w:tc>
        <w:tc>
          <w:tcPr>
            <w:tcW w:w="8842" w:type="dxa"/>
            <w:gridSpan w:val="2"/>
            <w:tcBorders/>
            <w:vAlign w:val="center"/>
          </w:tcPr>
          <w:p>
            <w:pPr>
              <w:pStyle w:val="TableContents"/>
              <w:bidi w:val="0"/>
              <w:spacing w:before="0" w:after="283"/>
              <w:jc w:val="left"/>
              <w:rPr>
                <w:sz w:val="4"/>
                <w:szCs w:val="4"/>
              </w:rPr>
            </w:pPr>
            <w:r>
              <w:rPr>
                <w:sz w:val="4"/>
                <w:szCs w:val="4"/>
              </w:rPr>
            </w:r>
          </w:p>
        </w:tc>
      </w:tr>
      <w:tr>
        <w:trPr/>
        <w:tc>
          <w:tcPr>
            <w:tcW w:w="1363" w:type="dxa"/>
            <w:tcBorders/>
          </w:tcPr>
          <w:p>
            <w:pPr>
              <w:pStyle w:val="TableContents"/>
              <w:bidi w:val="0"/>
              <w:spacing w:before="0" w:after="283"/>
              <w:jc w:val="left"/>
              <w:rPr/>
            </w:pPr>
            <w:r>
              <w:rPr/>
              <w:t>By:</w:t>
            </w:r>
          </w:p>
        </w:tc>
        <w:tc>
          <w:tcPr>
            <w:tcW w:w="230" w:type="dxa"/>
            <w:tcBorders/>
            <w:vAlign w:val="bottom"/>
          </w:tcPr>
          <w:p>
            <w:pPr>
              <w:pStyle w:val="TableContents"/>
              <w:bidi w:val="0"/>
              <w:spacing w:before="0" w:after="283"/>
              <w:jc w:val="left"/>
              <w:rPr/>
            </w:pPr>
            <w:r>
              <w:rPr/>
              <w:t>  </w:t>
            </w:r>
          </w:p>
        </w:tc>
        <w:tc>
          <w:tcPr>
            <w:tcW w:w="8612" w:type="dxa"/>
            <w:tcBorders/>
          </w:tcPr>
          <w:p>
            <w:pPr>
              <w:pStyle w:val="TableContents"/>
              <w:bidi w:val="0"/>
              <w:spacing w:before="0" w:after="283"/>
              <w:jc w:val="left"/>
              <w:rPr>
                <w:u w:val="single"/>
              </w:rPr>
            </w:pPr>
            <w:r>
              <w:rPr>
                <w:u w:val="single"/>
              </w:rPr>
              <w:t>               </w:t>
            </w:r>
          </w:p>
        </w:tc>
      </w:tr>
      <w:tr>
        <w:trPr/>
        <w:tc>
          <w:tcPr>
            <w:tcW w:w="1363" w:type="dxa"/>
            <w:tcBorders/>
          </w:tcPr>
          <w:p>
            <w:pPr>
              <w:pStyle w:val="TableContents"/>
              <w:bidi w:val="0"/>
              <w:spacing w:before="0" w:after="283"/>
              <w:jc w:val="left"/>
              <w:rPr/>
            </w:pPr>
            <w:r>
              <w:rPr/>
              <w:t>Name:</w:t>
            </w:r>
          </w:p>
        </w:tc>
        <w:tc>
          <w:tcPr>
            <w:tcW w:w="230" w:type="dxa"/>
            <w:tcBorders/>
            <w:vAlign w:val="bottom"/>
          </w:tcPr>
          <w:p>
            <w:pPr>
              <w:pStyle w:val="TableContents"/>
              <w:bidi w:val="0"/>
              <w:spacing w:before="0" w:after="283"/>
              <w:jc w:val="left"/>
              <w:rPr/>
            </w:pPr>
            <w:r>
              <w:rPr/>
              <w:t>  </w:t>
            </w:r>
          </w:p>
        </w:tc>
        <w:tc>
          <w:tcPr>
            <w:tcW w:w="8612" w:type="dxa"/>
            <w:tcBorders/>
          </w:tcPr>
          <w:p>
            <w:pPr>
              <w:pStyle w:val="TableContents"/>
              <w:bidi w:val="0"/>
              <w:spacing w:before="0" w:after="283"/>
              <w:jc w:val="left"/>
              <w:rPr>
                <w:u w:val="single"/>
              </w:rPr>
            </w:pPr>
            <w:r>
              <w:rPr>
                <w:u w:val="single"/>
              </w:rPr>
              <w:t>               </w:t>
            </w:r>
          </w:p>
        </w:tc>
      </w:tr>
      <w:tr>
        <w:trPr/>
        <w:tc>
          <w:tcPr>
            <w:tcW w:w="1363" w:type="dxa"/>
            <w:tcBorders/>
          </w:tcPr>
          <w:p>
            <w:pPr>
              <w:pStyle w:val="TableContents"/>
              <w:bidi w:val="0"/>
              <w:spacing w:before="0" w:after="283"/>
              <w:jc w:val="left"/>
              <w:rPr/>
            </w:pPr>
            <w:r>
              <w:rPr/>
              <w:t>Title:</w:t>
            </w:r>
          </w:p>
        </w:tc>
        <w:tc>
          <w:tcPr>
            <w:tcW w:w="230" w:type="dxa"/>
            <w:tcBorders/>
            <w:vAlign w:val="bottom"/>
          </w:tcPr>
          <w:p>
            <w:pPr>
              <w:pStyle w:val="TableContents"/>
              <w:bidi w:val="0"/>
              <w:spacing w:before="0" w:after="283"/>
              <w:jc w:val="left"/>
              <w:rPr/>
            </w:pPr>
            <w:r>
              <w:rPr/>
              <w:t>  </w:t>
            </w:r>
          </w:p>
        </w:tc>
        <w:tc>
          <w:tcPr>
            <w:tcW w:w="8612"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5"/>
        <w:gridCol w:w="121"/>
        <w:gridCol w:w="5838"/>
        <w:gridCol w:w="121"/>
        <w:gridCol w:w="630"/>
      </w:tblGrid>
      <w:tr>
        <w:trPr/>
        <w:tc>
          <w:tcPr>
            <w:tcW w:w="34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8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Aggregate Series C Preferred Shares Purchase Price (Preferred Subscription Amount): $_____________</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Number of Series C Preferred Shares to be Acquired: ______________________</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Tax ID No.: ____________________</w:t>
            </w:r>
          </w:p>
          <w:p>
            <w:pPr>
              <w:pStyle w:val="TableContents"/>
              <w:bidi w:val="0"/>
              <w:spacing w:before="0" w:after="0"/>
              <w:jc w:val="left"/>
              <w:rPr>
                <w:rFonts w:ascii="Times New Roman" w:hAnsi="Times New Roman"/>
                <w:sz w:val="20"/>
              </w:rPr>
            </w:pPr>
            <w:r>
              <w:rPr>
                <w:rFonts w:ascii="Times New Roman" w:hAnsi="Times New Roman"/>
                <w:sz w:val="20"/>
              </w:rPr>
              <w:t>Address for Notice:</w:t>
            </w:r>
          </w:p>
          <w:p>
            <w:pPr>
              <w:pStyle w:val="TableContents"/>
              <w:bidi w:val="0"/>
              <w:spacing w:before="0" w:after="0"/>
              <w:jc w:val="left"/>
              <w:rPr/>
            </w:pPr>
            <w:r>
              <w:rPr/>
              <w:t> </w:t>
            </w:r>
          </w:p>
          <w:p>
            <w:pPr>
              <w:pStyle w:val="TableContents"/>
              <w:bidi w:val="0"/>
              <w:spacing w:before="0" w:after="0"/>
              <w:jc w:val="left"/>
              <w:rPr>
                <w:u w:val="single"/>
              </w:rPr>
            </w:pPr>
            <w:r>
              <w:rPr>
                <w:u w:val="single"/>
              </w:rPr>
              <w:t>                   </w:t>
            </w:r>
          </w:p>
          <w:p>
            <w:pPr>
              <w:pStyle w:val="TableContents"/>
              <w:bidi w:val="0"/>
              <w:spacing w:before="0" w:after="0"/>
              <w:jc w:val="left"/>
              <w:rPr/>
            </w:pPr>
            <w:r>
              <w:rPr/>
              <w:t> </w:t>
            </w:r>
          </w:p>
          <w:p>
            <w:pPr>
              <w:pStyle w:val="TableContents"/>
              <w:bidi w:val="0"/>
              <w:spacing w:before="0" w:after="0"/>
              <w:jc w:val="left"/>
              <w:rPr>
                <w:u w:val="single"/>
              </w:rPr>
            </w:pPr>
            <w:r>
              <w:rPr>
                <w:u w:val="single"/>
              </w:rPr>
              <w:t>                   </w:t>
            </w:r>
          </w:p>
          <w:p>
            <w:pPr>
              <w:pStyle w:val="TableContents"/>
              <w:bidi w:val="0"/>
              <w:spacing w:before="0" w:after="0"/>
              <w:jc w:val="left"/>
              <w:rPr/>
            </w:pPr>
            <w:r>
              <w:rPr/>
              <w:t> </w:t>
            </w:r>
          </w:p>
          <w:p>
            <w:pPr>
              <w:pStyle w:val="TableContents"/>
              <w:bidi w:val="0"/>
              <w:spacing w:before="0" w:after="0"/>
              <w:jc w:val="left"/>
              <w:rPr>
                <w:u w:val="single"/>
              </w:rPr>
            </w:pPr>
            <w:r>
              <w:rPr>
                <w:u w:val="single"/>
              </w:rPr>
              <w:t>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Telephone No.: _______________________</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Facsimile No.: ________________________</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E-mail Address: ________________________</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Attention: _______________________</w:t>
            </w:r>
          </w:p>
        </w:tc>
        <w:tc>
          <w:tcPr>
            <w:tcW w:w="121" w:type="dxa"/>
            <w:tcBorders/>
            <w:vAlign w:val="bottom"/>
          </w:tcPr>
          <w:p>
            <w:pPr>
              <w:pStyle w:val="TableContents"/>
              <w:bidi w:val="0"/>
              <w:spacing w:before="0" w:after="283"/>
              <w:jc w:val="left"/>
              <w:rPr/>
            </w:pPr>
            <w:r>
              <w:rPr/>
              <w:t>  </w:t>
            </w:r>
          </w:p>
        </w:tc>
        <w:tc>
          <w:tcPr>
            <w:tcW w:w="630"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Delivery Instructions: </w:t>
      </w:r>
    </w:p>
    <w:p>
      <w:pPr>
        <w:pStyle w:val="TextBody"/>
        <w:bidi w:val="0"/>
        <w:spacing w:before="0" w:after="0"/>
        <w:jc w:val="left"/>
        <w:rPr>
          <w:rFonts w:ascii="Times New Roman" w:hAnsi="Times New Roman"/>
          <w:sz w:val="20"/>
        </w:rPr>
      </w:pPr>
      <w:r>
        <w:rPr>
          <w:rFonts w:ascii="Times New Roman" w:hAnsi="Times New Roman"/>
          <w:sz w:val="20"/>
        </w:rPr>
        <w:t xml:space="preserve">(if different than above) </w:t>
      </w:r>
    </w:p>
    <w:p>
      <w:pPr>
        <w:pStyle w:val="TextBody"/>
        <w:bidi w:val="0"/>
        <w:spacing w:before="240" w:after="0"/>
        <w:jc w:val="left"/>
        <w:rPr>
          <w:rFonts w:ascii="Times New Roman" w:hAnsi="Times New Roman"/>
          <w:sz w:val="20"/>
        </w:rPr>
      </w:pPr>
      <w:r>
        <w:rPr>
          <w:rFonts w:ascii="Times New Roman" w:hAnsi="Times New Roman"/>
          <w:sz w:val="20"/>
        </w:rPr>
        <w:t xml:space="preserve">c/o 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Street: ____________________________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City/State/Zip: 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Attention: 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Telephone No.: ____________________________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DESIGNATION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right"/>
        <w:rPr>
          <w:rFonts w:ascii="Times New Roman" w:hAnsi="Times New Roman"/>
          <w:b/>
          <w:sz w:val="20"/>
        </w:rPr>
      </w:pPr>
      <w:bookmarkStart w:id="12" w:name="d309963dex102.htm"/>
      <w:bookmarkStart w:id="13" w:name="ksd309963dex102"/>
      <w:bookmarkEnd w:id="12"/>
      <w:bookmarkEnd w:id="13"/>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April 14, 2026, is entered into by and among Galera Therapeutics, Inc., a Delaware corporation, Gazelle Parent, Inc., a Delaware corporation (“</w:t>
      </w:r>
      <w:r>
        <w:rPr>
          <w:rFonts w:ascii="Times New Roman" w:hAnsi="Times New Roman"/>
          <w:b/>
          <w:sz w:val="20"/>
        </w:rPr>
        <w:t>Parent</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Company and the Investors party thereto, dated on or around the date hereof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The Company is party to that certain Agreement and Plan of Merger by and among the Company, Obsidian Therapeutics, Inc., a Delaware corporation (“</w:t>
      </w:r>
      <w:r>
        <w:rPr>
          <w:rFonts w:ascii="Times New Roman" w:hAnsi="Times New Roman"/>
          <w:b/>
          <w:sz w:val="20"/>
        </w:rPr>
        <w:t>Obsidian</w:t>
      </w:r>
      <w:r>
        <w:rPr>
          <w:rFonts w:ascii="Times New Roman" w:hAnsi="Times New Roman"/>
          <w:sz w:val="20"/>
        </w:rPr>
        <w:t xml:space="preserve">”), Parent, Onyx MergerSub,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Onyx</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and Gazelle Merger Subsidiary,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Gazelle</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dated April 14, 2026 (as amended from time to time in accordance with the terms thereof, the “</w:t>
      </w:r>
      <w:r>
        <w:rPr>
          <w:rFonts w:ascii="Times New Roman" w:hAnsi="Times New Roman"/>
          <w:b/>
          <w:sz w:val="20"/>
        </w:rPr>
        <w:t>Merger Agreement</w:t>
      </w:r>
      <w:r>
        <w:rPr>
          <w:rFonts w:ascii="Times New Roman" w:hAnsi="Times New Roman"/>
          <w:sz w:val="20"/>
        </w:rPr>
        <w:t>”), pursuant to which (i) Onyx Merger Sub will merge with and into Obsidian and Obsidian will become a wholly-owned subsidiary of Parent and (ii) Gazelle Merger Sub will merge with and into Galera and Galera will become a wholly-owned subsidiary of Parent, with Parent acting as the parent company for the combined businesses of Obsidian and Galera (the “</w:t>
      </w:r>
      <w:r>
        <w:rPr>
          <w:rFonts w:ascii="Times New Roman" w:hAnsi="Times New Roman"/>
          <w:b/>
          <w:sz w:val="20"/>
        </w:rPr>
        <w:t>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conditions of the Purchase Agreement, the Company has agreed to issue to certain Investors, and such Investors have agreed to purchase, severally and not jointly, an aggregate of approximately $350,000,000 worth of shares (the “</w:t>
      </w:r>
      <w:r>
        <w:rPr>
          <w:rFonts w:ascii="Times New Roman" w:hAnsi="Times New Roman"/>
          <w:b/>
          <w:sz w:val="20"/>
        </w:rPr>
        <w:t>Securities</w:t>
      </w:r>
      <w:r>
        <w:rPr>
          <w:rFonts w:ascii="Times New Roman" w:hAnsi="Times New Roman"/>
          <w:sz w:val="20"/>
        </w:rPr>
        <w:t>”) of Series C Non-Voting Convertible Preferred Stock, par value $0.001 per share (the “</w:t>
      </w:r>
      <w:r>
        <w:rPr>
          <w:rFonts w:ascii="Times New Roman" w:hAnsi="Times New Roman"/>
          <w:b/>
          <w:sz w:val="20"/>
        </w:rPr>
        <w:t>Series C Preferred Stock</w:t>
      </w:r>
      <w:r>
        <w:rPr>
          <w:rFonts w:ascii="Times New Roman" w:hAnsi="Times New Roman"/>
          <w:sz w:val="20"/>
        </w:rPr>
        <w:t>”) of the Company, which will be convertible into shares (the “</w:t>
      </w:r>
      <w:r>
        <w:rPr>
          <w:rFonts w:ascii="Times New Roman" w:hAnsi="Times New Roman"/>
          <w:b/>
          <w:sz w:val="20"/>
        </w:rPr>
        <w:t>Conversion Shares</w:t>
      </w:r>
      <w:r>
        <w:rPr>
          <w:rFonts w:ascii="Times New Roman" w:hAnsi="Times New Roman"/>
          <w:sz w:val="20"/>
        </w:rPr>
        <w:t>”) of the Company’s common stock, par value $0.001 per share (“</w:t>
      </w:r>
      <w:r>
        <w:rPr>
          <w:rFonts w:ascii="Times New Roman" w:hAnsi="Times New Roman"/>
          <w:b/>
          <w:sz w:val="20"/>
        </w:rPr>
        <w:t>Common Stock</w:t>
      </w:r>
      <w:r>
        <w:rPr>
          <w:rFonts w:ascii="Times New Roman" w:hAnsi="Times New Roman"/>
          <w:sz w:val="20"/>
        </w:rPr>
        <w:t xml:space="preserve">”), in accordance with the terms set forth in the Certificate of Designations. </w:t>
      </w:r>
    </w:p>
    <w:p>
      <w:pPr>
        <w:pStyle w:val="TextBody"/>
        <w:bidi w:val="0"/>
        <w:spacing w:before="240" w:after="0"/>
        <w:jc w:val="left"/>
        <w:rPr>
          <w:rFonts w:ascii="Times New Roman" w:hAnsi="Times New Roman"/>
          <w:sz w:val="20"/>
        </w:rPr>
      </w:pPr>
      <w:r>
        <w:rPr>
          <w:rFonts w:ascii="Times New Roman" w:hAnsi="Times New Roman"/>
          <w:sz w:val="20"/>
        </w:rPr>
        <w:t>C. To induce the Investors to enter into the Purchase Agreement, the Company and the Parent have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and applicable state securities laws, with respect to the Parent Common Stock (as defined in the Merger Agreement) issued in exchange for the Conversion Shares (the “</w:t>
      </w:r>
      <w:r>
        <w:rPr>
          <w:rFonts w:ascii="Times New Roman" w:hAnsi="Times New Roman"/>
          <w:b/>
          <w:sz w:val="20"/>
        </w:rPr>
        <w:t>Exchange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the Parent and the Investors hereby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Company</w:t>
      </w:r>
      <w:r>
        <w:rPr>
          <w:rFonts w:ascii="Times New Roman" w:hAnsi="Times New Roman"/>
          <w:sz w:val="20"/>
        </w:rPr>
        <w:t xml:space="preserve">” means Galera Therapeutics, Inc., a Delaware corporation, for all periods prior to the effective time of the transactions contemplated by the Merger Agreement and Parent for all periods following such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Filing Deadline</w:t>
      </w:r>
      <w:r>
        <w:rPr>
          <w:rFonts w:ascii="Times New Roman" w:hAnsi="Times New Roman"/>
          <w:sz w:val="20"/>
        </w:rPr>
        <w:t xml:space="preserve">” means, with respect to the Resale Registration Statement required hereunder, the 30th calendar day following the Closing Date (as defined in the Merger Agreement)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For the purposes of this definition, the ‘necessity’ to file a New Registration Statement shall be deemed to arise at the time the Company determines that the number of shares then registered is insufficient to cover all Registrable Securities required to be covered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other entity or organization, any governmental agency or any governmental or political subdivision thereof.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Registrable Securities</w:t>
      </w:r>
      <w:r>
        <w:rPr>
          <w:rFonts w:ascii="Times New Roman" w:hAnsi="Times New Roman"/>
          <w:sz w:val="20"/>
        </w:rPr>
        <w:t>” means (i) the Exchange Shares (ii) any shares of Common Stock of the Parent held by the Holders that are not otherwise registered under the Merger Registration Statement (as defined in the Purchase Agreement), and (iii) any shares of Common Stock issued or issuable with respect to the foregoing clauses (i), (ii) and (iii)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a Registration Statement, (B) such Registrable Securities have been previously sold by such Investor in accordance with Rule 144, and (C) such securities become eligible for resale by such Investor without volume or manner-of-sale restrictions pursuant to Rule 144 and without the requirement for the Company to be in compliance with the current public information requirement under Rule 144 (each of the foregoing, a “</w:t>
      </w:r>
      <w:r>
        <w:rPr>
          <w:rFonts w:ascii="Times New Roman" w:hAnsi="Times New Roman"/>
          <w:b/>
          <w:sz w:val="20"/>
        </w:rPr>
        <w:t>Termination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Required Investors</w:t>
      </w:r>
      <w:r>
        <w:rPr>
          <w:rFonts w:ascii="Times New Roman" w:hAnsi="Times New Roman"/>
          <w:sz w:val="20"/>
        </w:rPr>
        <w:t xml:space="preserve">” means the Investors holding a majority of the Registrable Securities then outstanding.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SEC Guidance</w:t>
      </w:r>
      <w:r>
        <w:rPr>
          <w:rFonts w:ascii="Times New Roman" w:hAnsi="Times New Roman"/>
          <w:sz w:val="20"/>
        </w:rPr>
        <w:t xml:space="preserve">”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an Investor’s disposition of its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the Filing Deadline, prepare and file with the SEC an initial resale Registration Statement (the “</w:t>
      </w:r>
      <w:r>
        <w:rPr>
          <w:rFonts w:ascii="Times New Roman" w:hAnsi="Times New Roman"/>
          <w:b/>
          <w:sz w:val="20"/>
        </w:rPr>
        <w:t>Resale Registration Statement</w:t>
      </w:r>
      <w:r>
        <w:rPr>
          <w:rFonts w:ascii="Times New Roman" w:hAnsi="Times New Roman"/>
          <w:sz w:val="20"/>
        </w:rPr>
        <w:t xml:space="preserve">”) covering the resale of all Registrable Securities. Before filing any Registration Statement, the Company shall furnish to the Investors a copy of that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Such Registration Statement shall not include any securities other than Registrable Securities without the prior written consent of the Required Investors. Subject to any SEC comments, such Registration Statement shall include the plan of distribution substantially in the form attached hereto as </w:t>
      </w:r>
      <w:r>
        <w:rPr>
          <w:rFonts w:ascii="Times New Roman" w:hAnsi="Times New Roman"/>
          <w:sz w:val="20"/>
          <w:u w:val="single"/>
        </w:rPr>
        <w:t>Exhibit A</w:t>
      </w:r>
      <w:r>
        <w:rPr>
          <w:rFonts w:ascii="Times New Roman" w:hAnsi="Times New Roman"/>
          <w:sz w:val="20"/>
        </w:rPr>
        <w:t xml:space="preserve">. Such Registration Statement also shall cover, to the extent allowable under the Securities Act and the rules promulgated thereunder (including Rule 416), such indeterminate number of additional shares of Exchange Shares resulting from stock splits, stock dividends or similar transactions with respect to the Registrable Securities. The Company shall (a) consider in good faith any comments as any Investor or its counsel reasonably proposed by such Investor to such document prior to being so filed with the SEC, and (b) not file any Registration Statement or related prospectus or any amendment or supplement thereto containing information regarding any Investor to which such Investor reasonably objects 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Company’s outside legal counsel) to comply with any applicable law or regulation or SEC Guidance. Each Investor shall furnish all information with respect to such Investor reasonably requested by the Company as shall be reasonably required in connection with any registration referred to in this Agreement and any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Resale Registration Statement and any amendment thereto declared effective by the SEC at the earliest possible date but no later than the earlier of (a) the sixtieth (60th) calendar day following the earlier of (i) the initial filing date of the Resale Registration Statement and (ii) the Filing Deadline, if the SEC notifies the Company that it will “review” the Resale Registration Statement and (b) the fifth (5th) Business Day after the date the Company is notified (orally or in writing, whichever is earlier) by the SEC that the Resale Registration Statement will not be “reviewed” or will not be subject to further review (such earlier date, the “</w:t>
      </w:r>
      <w:r>
        <w:rPr>
          <w:rFonts w:ascii="Times New Roman" w:hAnsi="Times New Roman"/>
          <w:b/>
          <w:sz w:val="20"/>
        </w:rPr>
        <w:t>Effectiveness Deadline</w:t>
      </w:r>
      <w:r>
        <w:rPr>
          <w:rFonts w:ascii="Times New Roman" w:hAnsi="Times New Roman"/>
          <w:sz w:val="20"/>
        </w:rPr>
        <w:t>”). The Company shall notify the Investors by e-mail as promptly as practicable, and in any event, within twenty-four (24) hours, after the Resale Registration Statement is declared effective or is supplemented and shall provide the Investors with copies of any related prospectus to be used in connection with the sale or other disposition of the securities covered thereby. The Company shall use reasonable best efforts to keep the Resale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Resale Registration Statement or otherwise); and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Resale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Resale Registration Statement at any time is insufficient to cover the Registrable Securities, the Company shall, to the extent necessary and permissible, amend the Resale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so as to cover all of such Registrable Securities as soon as reasonably practicable, but in any event not later than ten (10) Business Days after the necessity therefore arises (the “</w:t>
      </w:r>
      <w:r>
        <w:rPr>
          <w:rFonts w:ascii="Times New Roman" w:hAnsi="Times New Roman"/>
          <w:b/>
          <w:sz w:val="20"/>
        </w:rPr>
        <w:t>New Registration Filing Deadline</w:t>
      </w:r>
      <w:r>
        <w:rPr>
          <w:rFonts w:ascii="Times New Roman" w:hAnsi="Times New Roman"/>
          <w:sz w:val="20"/>
        </w:rPr>
        <w:t xml:space="preserve">”). The Company shall use its commercially reasonable efforts to have such amendment and/or New Registration Statement become effective as soon as reasonably practicable following the filing thereof but no later than the earlier of (a) the sixtieth (60th) calendar day following the earlier of (i) the initial filing date of the New Registration Statement and (ii) the Filing Deadline, if the SEC notifies the Company that it will “review” the New Registration Statement and (b)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sz w:val="20"/>
        </w:rPr>
        <w:t>New Registration</w:t>
      </w:r>
      <w:r>
        <w:rPr>
          <w:rFonts w:ascii="Times New Roman" w:hAnsi="Times New Roman"/>
          <w:sz w:val="20"/>
        </w:rPr>
        <w:t xml:space="preserve"> </w:t>
      </w:r>
      <w:r>
        <w:rPr>
          <w:rFonts w:ascii="Times New Roman" w:hAnsi="Times New Roman"/>
          <w:b/>
          <w:sz w:val="20"/>
        </w:rPr>
        <w:t>Effectiveness Deadline</w:t>
      </w:r>
      <w:r>
        <w:rPr>
          <w:rFonts w:ascii="Times New Roman" w:hAnsi="Times New Roman"/>
          <w:sz w:val="20"/>
        </w:rPr>
        <w:t xml:space="preserve">”). The provisions of </w:t>
      </w:r>
      <w:r>
        <w:rPr>
          <w:rFonts w:ascii="Times New Roman" w:hAnsi="Times New Roman"/>
          <w:sz w:val="20"/>
          <w:u w:val="single"/>
        </w:rPr>
        <w:t>Sections 2(a)</w:t>
      </w:r>
      <w:r>
        <w:rPr>
          <w:rFonts w:ascii="Times New Roman" w:hAnsi="Times New Roman"/>
          <w:sz w:val="20"/>
        </w:rPr>
        <w:t xml:space="preserve"> and </w:t>
      </w:r>
      <w:r>
        <w:rPr>
          <w:rFonts w:ascii="Times New Roman" w:hAnsi="Times New Roman"/>
          <w:sz w:val="20"/>
          <w:u w:val="single"/>
        </w:rPr>
        <w:t>2(b)</w:t>
      </w:r>
      <w:r>
        <w:rPr>
          <w:rFonts w:ascii="Times New Roman" w:hAnsi="Times New Roman"/>
          <w:sz w:val="20"/>
        </w:rPr>
        <w:t xml:space="preserve"> shall apply to the New Registration Statement, except as modified hereby. </w:t>
      </w:r>
    </w:p>
    <w:p>
      <w:pPr>
        <w:pStyle w:val="TextBody"/>
        <w:bidi w:val="0"/>
        <w:spacing w:before="120" w:after="0"/>
        <w:jc w:val="left"/>
        <w:rPr>
          <w:rFonts w:ascii="Times New Roman" w:hAnsi="Times New Roman"/>
          <w:sz w:val="20"/>
        </w:rPr>
      </w:pPr>
      <w:r>
        <w:rPr>
          <w:rFonts w:ascii="Times New Roman" w:hAnsi="Times New Roman"/>
          <w:sz w:val="20"/>
        </w:rPr>
        <w:t>(d) Liquidated Damages. If: (i) the Resale Registration Statement is not filed with the SEC on or prior to the Filing Deadline, (ii) the Resale Registration Statement is not declared effective by the SEC (or otherwise does not become effective) for any reason on or prior to the Effectiveness Deadline, (iii) the New Registration Statement is not filed with the SEC on or prior to the New Registration Effectiveness Deadline, or (iv) the New Registration Statement is not declared effective by the SEC (or otherwise does not become effective) for any reason on or prior to the New Registration Effectiveness Deadline (any such failure or breach in clauses (i) through (iv) above, but excluding any Allowed Delay, being referred to as an “Event,” and the date on which such Event occurs being referred to as an “Event Date”),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liquidated damages and not as a penalty (“</w:t>
      </w:r>
      <w:r>
        <w:rPr>
          <w:rFonts w:ascii="Times New Roman" w:hAnsi="Times New Roman"/>
          <w:b/>
          <w:sz w:val="20"/>
        </w:rPr>
        <w:t>Liquidated Damages</w:t>
      </w:r>
      <w:r>
        <w:rPr>
          <w:rFonts w:ascii="Times New Roman" w:hAnsi="Times New Roman"/>
          <w:sz w:val="20"/>
        </w:rPr>
        <w:t xml:space="preserve">”), equal to 1.0% of the aggregate purchase price paid by such Investor pursuant to the Purchase Agreement for any Registrable Securities held by such Investor on the Event Date; provided that the parties agree that the maximum aggregate Liquidated Damages payable to an Investor of Registrable Securities under this Agreement shall be 5.0% of the aggregate purchase price paid by such Investor pursuant to the Purchase Agreement for the Registrable Securities then held by such Investor. The parties agree that notwithstanding anything to the contrary herein or in the Purchase Agreement, no Liquidated Damages shall be payable (i) if as of the relevant Event Date, the Registrable Securities may be sold by the Investor without volume or manner of sale restrictions under Rule 144, as determined by counsel to the Company pursuant to a written opinion letter to such effect, addressed and reasonably acceptable to the Investor and the Company’s transfer agent, (ii) to an Investor causing an Event that relates to or is caused by any action or inaction taken by such Investor, (iii) to an Investor in the event it is unable to lawfully sell any of its Registrable Securities because of possession of material non-public information or (iv) with respect to any period after the expiration of the Registration Period (it being understood that this clause shall not relieve the Company of any Liquidated Damages accruing prior to the expiration of the Registration Period). If the Company fails to pay any Liquidated Damages pursuant to this Section 2(d) in full within twenty (20) Business Days after the date payable, the Company will pay interest on the amount of Liquidated Damages then owing to the Investor at a rate of 0.5% per month on an annualized basis (or such lesser maximum amount that is permitted to be paid by applicable law) to the Investor, accruing daily from the date such Liquidated Damages are due until such amounts, plus all such interest thereon, are paid in full. The Company shall not be liable for Liquidated Damages under this Agreement as to any Registrable Securities which are not permitted by the SEC to be included in a Registration Statement due solely to SEC Guidance from the time that it is determined that such Registrable Securities are not permitted to be registered until such time as the provisions of this Agreement as to the other Registration Statements required to be filed hereunder are triggered, in which case the provisions of this Section 2(d) shall once again apply, if applicable. In such case, the Liquidated Damages shall be calculated to only apply to the percentage of Registrable Securities which are permitted in accordance with SEC Guidance to be included in such Registration Statement. The Liquidated Damages pursuant to the terms hereof shall apply on a daily pro rata basis for any portion of a month prior to the cure of an Event, except in the case of the first Event Date. With respect to a Holder,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Investor to timely provide the Company with information requested by the Company and necessary to complete the Registration Statement in accordance with the requirements of the Securities Act (in which case the Effectiveness Deadline or New Registration Effectiveness Deadline, as applicable, would be extended with respect to Registrable Securities held by such Investor).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Allowable Delays</w:t>
      </w:r>
      <w:r>
        <w:rPr>
          <w:rFonts w:ascii="Times New Roman" w:hAnsi="Times New Roman"/>
          <w:sz w:val="20"/>
        </w:rPr>
        <w:t xml:space="preserve">. On no more than two (2) occasions in any twelve (12)-month period for not more than thirty (30) consecutive days or for a total of not more than sixty (60) days, the Company may delay the effectiveness of the Resale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such as a proposed merger, reorganization or similar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Company’s Board of Directors, upon advice of legal counsel, to cause a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and such notice shall specify that an Allowed Delay has commenced and that sales pursuant to a Registration Statement must cease, and the Company shall provide a written notice within twenty-four (24) hours after the termination of the Allowed Delay confirming the sales may be resumed;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hAnsi="Times New Roman"/>
          <w:b/>
          <w:sz w:val="20"/>
        </w:rPr>
        <w:t>Opt-Out Notice</w:t>
      </w:r>
      <w:r>
        <w:rPr>
          <w:rFonts w:ascii="Times New Roman" w:hAnsi="Times New Roman"/>
          <w:sz w:val="20"/>
        </w:rPr>
        <w:t xml:space="preserve">”) to the Company requesting that such Investor not receive notices from the Company otherwise required by this </w:t>
      </w: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hAnsi="Times New Roman"/>
          <w:sz w:val="20"/>
          <w:u w:val="single"/>
        </w:rPr>
        <w:t>Section 2(d)</w:t>
      </w:r>
      <w:r>
        <w:rPr>
          <w:rFonts w:ascii="Times New Roman" w:hAnsi="Times New Roman"/>
          <w:sz w:val="20"/>
        </w:rPr>
        <w:t xml:space="preserve"> to such Investor and such Investor shall no longer be entitled to the rights associated with any such notice (for the avoidance of doubt, without limitation to the Company’s obligation to deliver any notice described in Section 3(e)(iii)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Rule 415; Cutback</w:t>
      </w:r>
      <w:r>
        <w:rPr>
          <w:rFonts w:ascii="Times New Roman" w:hAnsi="Times New Roman"/>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to comment on any written submission made to the SEC with respect thereto.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Company shall not name any Investor as an “underwriter” in such Registration Statement without the prior written consent of such Investor (</w:t>
      </w:r>
      <w:r>
        <w:rPr>
          <w:rFonts w:ascii="Times New Roman" w:hAnsi="Times New Roman"/>
          <w:sz w:val="20"/>
          <w:u w:val="single"/>
        </w:rPr>
        <w:t>provided</w:t>
      </w:r>
      <w:r>
        <w:rPr>
          <w:rFonts w:ascii="Times New Roman" w:hAnsi="Times New Roman"/>
          <w:sz w:val="20"/>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 otherwise, or an Investor otherwise agrees. </w:t>
      </w:r>
    </w:p>
    <w:p>
      <w:pPr>
        <w:pStyle w:val="TextBody"/>
        <w:bidi w:val="0"/>
        <w:spacing w:before="120" w:after="0"/>
        <w:jc w:val="left"/>
        <w:rPr>
          <w:rFonts w:ascii="Times New Roman" w:hAnsi="Times New Roman"/>
          <w:sz w:val="20"/>
        </w:rPr>
      </w:pPr>
      <w:r>
        <w:rPr>
          <w:rFonts w:ascii="Times New Roman" w:hAnsi="Times New Roman"/>
          <w:sz w:val="20"/>
        </w:rPr>
        <w:t xml:space="preserve">(g)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hAnsi="Times New Roman"/>
          <w:sz w:val="20"/>
          <w:u w:val="single"/>
        </w:rPr>
        <w:t>Section 2(f</w:t>
      </w:r>
      <w:r>
        <w:rPr>
          <w:rFonts w:ascii="Times New Roman" w:hAnsi="Times New Roman"/>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hAnsi="Times New Roman"/>
          <w:sz w:val="20"/>
          <w:u w:val="single"/>
        </w:rPr>
        <w:t>provided</w:t>
      </w:r>
      <w:r>
        <w:rPr>
          <w:rFonts w:ascii="Times New Roman" w:hAnsi="Times New Roman"/>
          <w:sz w:val="20"/>
        </w:rPr>
        <w:t xml:space="preserve"> that the Company shall maintain the effectiveness of the Registration Statement then in effect until such time as a Registration Statement on Form S-3 covering the Registrable Securities has been declared effective by the SEC.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Company shall not file any registration statement with the SEC (other than the Resale Registration Statement, any New Registration Statement, a registration statement on Form S-8 relating to employee benefit plans in existence on the date hereof, or amendments to registration statements filed prior to the date hereof so long as no new securities are registered on such existing registration statements) until the earlier of (A) the date on which the Resale Registration Statement covering all Registrable Securities has been declared effective by the SEC and (B) the date on which all Registrable Securities may be resold without restriction pursuant to Rule 144 without volume or manner-of-sale limitations and without the current public information requirement. Without the prior written consent of the Required Investors, the Company shall not include any securities other than Registrable Securities in the Resale Registration Statement or any New Registration Statement. The Company shall not grant registration rights to any other Person that would require the inclusion of such Person’s securities in the Resale Registration Statement or any New Registration Statement without the prior written consent of the Required Investors. Notwithstanding anything to the contrary herein, the restrictions in this Section 2(g) shall not apply to (A) any registration statement required to be filed by the Company in connection with the Mergers, (B) any registration statement filed on Form S-8 in connection with employee compensation plans, or (C) any post-effective amendment to a registration statement filed prior to the date hereof. </w:t>
      </w:r>
    </w:p>
    <w:p>
      <w:pPr>
        <w:pStyle w:val="TextBody"/>
        <w:bidi w:val="0"/>
        <w:spacing w:before="24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Resale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Resale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The Company will prepare and file with the SEC any amendments, post-effective amendments or supplements to the Resale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hAnsi="Times New Roman"/>
          <w:b/>
          <w:sz w:val="20"/>
        </w:rPr>
        <w:t>Exchange Act</w:t>
      </w:r>
      <w:r>
        <w:rPr>
          <w:rFonts w:ascii="Times New Roman" w:hAnsi="Times New Roman"/>
          <w:sz w:val="20"/>
        </w:rPr>
        <w:t xml:space="preserve">”) with respect to the distribution of all of the Registrable Securities covered thereby, or (b) in the reasonable opinion of the Investors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Resale Registration Statement, any prospectus thereunder (including all documents incorporated by reference therein), any prospectus supplement thereunder, any New Registration Statement and all amendments to the Resale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covered by such Registration Statement, in each case as soon as reasonably practicable upon such Investor’s request and in such quantities as such Investor may from time to time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furnish any document to such Investor to the extent such document is available on the SEC’s Electronic Data Gathering, Analysis, and Retrieval system.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Resale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Resale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may not suspend the use of all Registration Statements more than twice, or for more than ninety (90) total days, in each case during any twelve (12) -month period. The Company shall not provide any specific information regarding the Suspension Event unless requested by the Investor, which in any event shall not include any material non-public information unless such specific information constitutes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and to maintain such listing on the Nasdaq Capital Market or any other National Exchange upon which the Registrable Securities are listed.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xml:space="preserve">”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Registrable Securities to the public without registration, the Company covenants and agrees to use commercially reasonable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maintain the registration of the Exchange Shares under Section 12(b) or 12(g) of the Exchange Act and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The Company shall use its reasonable best efforts to facilitate and expedite transfers of Registrable Securities pursuant to Rule 144, which efforts shall include timely notice to its transfer agent to expedite such transfers of Registrable Securities and delivery of any opinions requested by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Removal of Restrictive Legends</w:t>
      </w:r>
      <w:r>
        <w:rPr>
          <w:rFonts w:ascii="Times New Roman" w:hAnsi="Times New Roman"/>
          <w:sz w:val="20"/>
        </w:rPr>
        <w:t xml:space="preserve">.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and such other information reasonably requested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 w:hAnsi="Times New Roman"/>
          <w:sz w:val="20"/>
          <w:u w:val="single"/>
        </w:rPr>
        <w:t>Section 2(a)</w:t>
      </w:r>
      <w:r>
        <w:rPr>
          <w:rFonts w:ascii="Times New Roman" w:hAnsi="Times New Roman"/>
          <w:sz w:val="20"/>
        </w:rPr>
        <w:t xml:space="preserve">. If the Company has not received such completed questionnaire from an Investor within five (5) days of the Company’s request, the Company may file the Registration Statement without including such Investor’s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use its reasonable best efforts to cause its transfer agent to deliver unlegended shares of Exchange Shares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(c)</w:t>
      </w:r>
      <w:r>
        <w:rPr>
          <w:rFonts w:ascii="Times New Roman" w:hAnsi="Times New Roman"/>
          <w:sz w:val="20"/>
          <w:u w:val="single"/>
        </w:rPr>
        <w:t> 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and pursuant to any Registration Statement shall be borne by the Company. All Selling Expenses relating to securities registered on behalf of an Investor shall be borne by the Investor incurring the relevant Selling Expenses. </w:t>
      </w:r>
    </w:p>
    <w:p>
      <w:pPr>
        <w:pStyle w:val="TextBody"/>
        <w:bidi w:val="0"/>
        <w:spacing w:before="24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hAnsi="Times New Roman"/>
          <w:b/>
          <w:sz w:val="20"/>
        </w:rPr>
        <w:t>Claims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(the “</w:t>
      </w:r>
      <w:r>
        <w:rPr>
          <w:rFonts w:ascii="Times New Roman" w:hAnsi="Times New Roman"/>
          <w:b/>
          <w:sz w:val="20"/>
        </w:rPr>
        <w:t>Indemnified Damages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thereto,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the registration of the Registrable Securities pursuant to any Registration Statement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expenses are incurred and are due and payable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connection with the Resale Registration Statement, any New Registration Statement or any prospectus thereto, each Investor, severally and not jointly, agrees to indemnify, hold harmless and defend, the Company, each of its directors, and officers who signed the Resale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(i) any untrue statement or alleged untrue statement or omission or alleged omission of any material fact contained in any Registration Statement to the extent, and only to the extent, that such untrue statement or alleged untrue statement or omission or alleged omission occurred in reliance upon and in conformity with information about the relevant Investor furnished and approved in writing by such Investor to the Company expressly for use in connection with the preparation of the Registration Statement, any New Registration Statement, any prospectus thereto or any such amendment thereof or supplement thereto or (ii) any violation or alleged violation by such Investor of its obligations under this Agreement. In no event shall the liability of an Investor under this </w:t>
      </w:r>
      <w:r>
        <w:rPr>
          <w:rFonts w:ascii="Times New Roman" w:hAnsi="Times New Roman"/>
          <w:sz w:val="20"/>
          <w:u w:val="single"/>
        </w:rPr>
        <w:t>Section 6(b)</w:t>
      </w:r>
      <w:r>
        <w:rPr>
          <w:rFonts w:ascii="Times New Roman" w:hAnsi="Times New Roman"/>
          <w:sz w:val="20"/>
        </w:rPr>
        <w:t xml:space="preserve"> be greater in amount than the dollar amount of the proceeds (net of all expense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promptly return such payment (including reimbursement of expenses) to the person making it. </w:t>
      </w:r>
    </w:p>
    <w:p>
      <w:pPr>
        <w:pStyle w:val="TextBody"/>
        <w:bidi w:val="0"/>
        <w:spacing w:before="24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24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24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 in connection with such transaction unless such securities are otherwise freely tradable by such Investor after giving effect to such transaction, and the prior written consent of the Required Investors shall not be required for such transaction. An Investor may transfer or assign its rights hereunder, in whole or in part from time to time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the provisions contained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(a) the Company and (b) the Required Investors, </w:t>
      </w:r>
      <w:r>
        <w:rPr>
          <w:rFonts w:ascii="Times New Roman" w:hAnsi="Times New Roman"/>
          <w:sz w:val="20"/>
          <w:u w:val="single"/>
        </w:rPr>
        <w:t>provided</w:t>
      </w:r>
      <w:r>
        <w:rPr>
          <w:rFonts w:ascii="Times New Roman" w:hAnsi="Times New Roman"/>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shares of Series C Preferred Stock then outstanding have been converted in full without regard to any limitations on the conversion of such shares of Series C Preferred Stock) to which such waiver or consent relates; provided such consenting Investors shall not in any event be paid any separate consideration in connection with any such amendment or waiver. </w:t>
      </w:r>
    </w:p>
    <w:p>
      <w:pPr>
        <w:pStyle w:val="TextBody"/>
        <w:bidi w:val="0"/>
        <w:spacing w:before="24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Galera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Lindenwood Drive, Suite 225 </w:t>
      </w:r>
    </w:p>
    <w:p>
      <w:pPr>
        <w:pStyle w:val="TextBody"/>
        <w:bidi w:val="0"/>
        <w:spacing w:before="0" w:after="0"/>
        <w:jc w:val="left"/>
        <w:rPr>
          <w:rFonts w:ascii="Times New Roman" w:hAnsi="Times New Roman"/>
          <w:sz w:val="20"/>
        </w:rPr>
      </w:pPr>
      <w:r>
        <w:rPr>
          <w:rFonts w:ascii="Times New Roman" w:hAnsi="Times New Roman"/>
          <w:sz w:val="20"/>
        </w:rPr>
        <w:t xml:space="preserve">Malvern, Pennsylvania </w:t>
      </w:r>
    </w:p>
    <w:p>
      <w:pPr>
        <w:pStyle w:val="TextBody"/>
        <w:bidi w:val="0"/>
        <w:spacing w:before="0" w:after="0"/>
        <w:jc w:val="left"/>
        <w:rPr>
          <w:rFonts w:ascii="Times New Roman" w:hAnsi="Times New Roman"/>
          <w:sz w:val="20"/>
        </w:rPr>
      </w:pPr>
      <w:r>
        <w:rPr>
          <w:rFonts w:ascii="Times New Roman" w:hAnsi="Times New Roman"/>
          <w:sz w:val="20"/>
        </w:rPr>
        <w:t xml:space="preserve">Attention: President and Principal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w:t>
      </w:r>
      <w:r>
        <w:rPr>
          <w:rFonts w:ascii="Times New Roman" w:hAnsi="Times New Roman"/>
          <w:sz w:val="20"/>
          <w:u w:val="single"/>
        </w:rPr>
        <w:t>msorensen@galeratx.com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2850 Quarry Lake Drive, Suite 301 </w:t>
      </w:r>
    </w:p>
    <w:p>
      <w:pPr>
        <w:pStyle w:val="TextBody"/>
        <w:bidi w:val="0"/>
        <w:spacing w:before="0" w:after="0"/>
        <w:jc w:val="left"/>
        <w:rPr>
          <w:rFonts w:ascii="Times New Roman" w:hAnsi="Times New Roman"/>
          <w:sz w:val="20"/>
        </w:rPr>
      </w:pPr>
      <w:r>
        <w:rPr>
          <w:rFonts w:ascii="Times New Roman" w:hAnsi="Times New Roman"/>
          <w:sz w:val="20"/>
        </w:rPr>
        <w:t xml:space="preserve">Baltimore, Maryland 21209 </w:t>
      </w:r>
    </w:p>
    <w:p>
      <w:pPr>
        <w:pStyle w:val="TextBody"/>
        <w:bidi w:val="0"/>
        <w:spacing w:before="0" w:after="0"/>
        <w:jc w:val="left"/>
        <w:rPr>
          <w:rFonts w:ascii="Times New Roman" w:hAnsi="Times New Roman"/>
          <w:sz w:val="20"/>
        </w:rPr>
      </w:pPr>
      <w:r>
        <w:rPr>
          <w:rFonts w:ascii="Times New Roman" w:hAnsi="Times New Roman"/>
          <w:sz w:val="20"/>
        </w:rPr>
        <w:t xml:space="preserve">Attention: Asher Rubin; Istvan Hajdu; Kayla West </w:t>
      </w:r>
    </w:p>
    <w:p>
      <w:pPr>
        <w:pStyle w:val="TextBody"/>
        <w:bidi w:val="0"/>
        <w:spacing w:before="0" w:after="0"/>
        <w:jc w:val="left"/>
        <w:rPr>
          <w:rFonts w:ascii="Times New Roman" w:hAnsi="Times New Roman"/>
          <w:sz w:val="20"/>
        </w:rPr>
      </w:pPr>
      <w:r>
        <w:rPr>
          <w:rFonts w:ascii="Times New Roman" w:hAnsi="Times New Roman"/>
          <w:sz w:val="20"/>
        </w:rPr>
        <w:t xml:space="preserve">Email Address: arubin@sidley.com; ihajdu@sidley.com; kwest@sidley.com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each of its e-mail addresses or addresses set forth on </w:t>
      </w:r>
      <w:r>
        <w:rPr>
          <w:rFonts w:ascii="Times New Roman" w:hAnsi="Times New Roman"/>
          <w:sz w:val="20"/>
          <w:u w:val="single"/>
        </w:rPr>
        <w:t>Exhibit B</w:t>
      </w:r>
      <w:r>
        <w:rPr>
          <w:rFonts w:ascii="Times New Roman" w:hAnsi="Times New Roman"/>
          <w:sz w:val="20"/>
        </w:rPr>
        <w:t xml:space="preserve"> to the Purchase Agreement or to such e-mail addresses, or addresses as subsequently modified by written notice given in accordance with this </w:t>
      </w:r>
      <w:r>
        <w:rPr>
          <w:rFonts w:ascii="Times New Roman" w:hAnsi="Times New Roman"/>
          <w:sz w:val="20"/>
          <w:u w:val="single"/>
        </w:rPr>
        <w:t>Section 10</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may change the addresses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Waiver</w:t>
      </w:r>
      <w:r>
        <w:rPr>
          <w:rFonts w:ascii="Times New Roman" w:hAnsi="Times New Roman"/>
          <w:sz w:val="20"/>
        </w:rPr>
        <w:t xml:space="preserve">.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 Submission to Jurisdiction; Venue; Waiver of Trial by Jury</w:t>
      </w:r>
      <w:r>
        <w:rPr>
          <w:rFonts w:ascii="Times New Roman" w:hAnsi="Times New Roman"/>
          <w:sz w:val="20"/>
        </w:rPr>
        <w:t xml:space="preserve">. The provisions of Section 8.6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Integration</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hAnsi="Times New Roman"/>
          <w:i/>
          <w:sz w:val="20"/>
        </w:rPr>
        <w:t>www.docusign.com</w:t>
      </w:r>
      <w:r>
        <w:rPr>
          <w:rFonts w:ascii="Times New Roman" w:hAnsi="Times New Roman"/>
          <w:sz w:val="20"/>
        </w:rPr>
        <w:t xml:space="preserve">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Third-Party Beneficiaries</w:t>
      </w:r>
      <w:r>
        <w:rPr>
          <w:rFonts w:ascii="Times New Roman" w:hAnsi="Times New Roman"/>
          <w:sz w:val="20"/>
        </w:rPr>
        <w:t xml:space="preserve">. Except as set forth in </w:t>
      </w:r>
      <w:r>
        <w:rPr>
          <w:rFonts w:ascii="Times New Roman" w:hAnsi="Times New Roman"/>
          <w:sz w:val="20"/>
          <w:u w:val="single"/>
        </w:rPr>
        <w:t>Sections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nothing in this Agreement is intended for the benefit of any party other than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have caused this Registration Rights Agreement to be duly executed as of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99"/>
        <w:gridCol w:w="107"/>
        <w:gridCol w:w="3376"/>
      </w:tblGrid>
      <w:tr>
        <w:trPr/>
        <w:tc>
          <w:tcPr>
            <w:tcW w:w="5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GALERA THERAPEUTICS, INC.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33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w:t>
            </w:r>
          </w:p>
        </w:tc>
      </w:tr>
      <w:tr>
        <w:trPr/>
        <w:tc>
          <w:tcPr>
            <w:tcW w:w="4082" w:type="dxa"/>
            <w:gridSpan w:val="3"/>
            <w:tcBorders/>
          </w:tcPr>
          <w:p>
            <w:pPr>
              <w:pStyle w:val="TableContents"/>
              <w:bidi w:val="0"/>
              <w:spacing w:before="0" w:after="283"/>
              <w:jc w:val="left"/>
              <w:rPr/>
            </w:pPr>
            <w:r>
              <w:rPr/>
              <w:t>Name: J. Mel Sorensen, M.D.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GAZELLE PARENT, INC.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33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w:t>
            </w:r>
          </w:p>
        </w:tc>
      </w:tr>
      <w:tr>
        <w:trPr/>
        <w:tc>
          <w:tcPr>
            <w:tcW w:w="4082" w:type="dxa"/>
            <w:gridSpan w:val="3"/>
            <w:tcBorders/>
          </w:tcPr>
          <w:p>
            <w:pPr>
              <w:pStyle w:val="TableContents"/>
              <w:bidi w:val="0"/>
              <w:spacing w:before="0" w:after="283"/>
              <w:jc w:val="left"/>
              <w:rPr/>
            </w:pPr>
            <w:r>
              <w:rPr/>
              <w:t>Name: J. Mel Sorensen</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have caused this Registration Rights Agreement to be duly </w:t>
      </w:r>
      <w:r>
        <w:rPr>
          <w:rFonts w:ascii="Times New Roman" w:hAnsi="Times New Roman"/>
          <w:b/>
          <w:sz w:val="20"/>
        </w:rPr>
        <w:t>executed</w:t>
      </w:r>
      <w:r>
        <w:rPr>
          <w:rFonts w:ascii="Times New Roman" w:hAnsi="Times New Roman"/>
          <w:sz w:val="20"/>
        </w:rPr>
        <w:t xml:space="preserve"> as of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INVESTOR: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other method permitted pursuant to applicable law.</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Definitions to be conformed to resale S-3.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Full Legal Name of Investor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(b) Full Legal Name of Registered Holder (if not the same as (a) above) through which Registrable Securities are held: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 Full Legal Name of Natural Control Person (which means a natural person who directly or indirectly alone or with others has power to vote or dispose of the securities covered by this Questionnaire):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for Notices to Investor: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Telephone: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E-Mail:</w:t>
      </w:r>
    </w:p>
    <w:p>
      <w:pPr>
        <w:pStyle w:val="TextBody"/>
        <w:bidi w:val="0"/>
        <w:spacing w:before="240" w:after="0"/>
        <w:jc w:val="left"/>
        <w:rPr>
          <w:rFonts w:ascii="Times New Roman" w:hAnsi="Times New Roman"/>
          <w:sz w:val="20"/>
        </w:rPr>
      </w:pPr>
      <w:r>
        <w:rPr>
          <w:rFonts w:ascii="Times New Roman" w:hAnsi="Times New Roman"/>
          <w:sz w:val="20"/>
        </w:rPr>
        <w:t xml:space="preserve">Contact Person: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Broker-Dealer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3(a), did you receive your Registrable Securities as compensation for investment banking services to the Company?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Note: If “no” to Section 3(b), the SEC’s staff has indicated that you should be identified as an underwriter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w:t>
      </w:r>
    </w:p>
    <w:p>
      <w:pPr>
        <w:pStyle w:val="TextBody"/>
        <w:bidi w:val="0"/>
        <w:spacing w:before="240" w:after="0"/>
        <w:jc w:val="center"/>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Note: If “no” to Section 3(d), the SEC’s staff has indicated that you should be identified as an underwriter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Ownership of Securities of the Company Owned by the Investor.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in this Item 4, the undersigned is not the beneficial or registered owner of any securities of the Company other than the securities issuable pursuant to the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and Amount of other securities beneficially owned by the Investor: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Relationships with the Company: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State any exceptions here: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57"/>
        <w:gridCol w:w="103"/>
        <w:gridCol w:w="371"/>
        <w:gridCol w:w="103"/>
        <w:gridCol w:w="797"/>
        <w:gridCol w:w="103"/>
        <w:gridCol w:w="3971"/>
      </w:tblGrid>
      <w:tr>
        <w:trPr/>
        <w:tc>
          <w:tcPr>
            <w:tcW w:w="47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71" w:type="dxa"/>
            <w:tcBorders/>
            <w:vAlign w:val="center"/>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283"/>
              <w:jc w:val="left"/>
              <w:rPr/>
            </w:pPr>
            <w:r>
              <w:rPr/>
              <w:t>Date: </w:t>
            </w:r>
            <w:r>
              <w:rPr>
                <w:u w:val="single"/>
              </w:rPr>
              <w:t>                 </w:t>
            </w:r>
          </w:p>
        </w:tc>
        <w:tc>
          <w:tcPr>
            <w:tcW w:w="103"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7" w:type="dxa"/>
            <w:tcBorders/>
          </w:tcPr>
          <w:p>
            <w:pPr>
              <w:pStyle w:val="TableContents"/>
              <w:bidi w:val="0"/>
              <w:spacing w:before="0" w:after="283"/>
              <w:jc w:val="left"/>
              <w:rPr/>
            </w:pPr>
            <w:r>
              <w:rPr/>
              <w:t>Investor:</w:t>
            </w:r>
          </w:p>
        </w:tc>
        <w:tc>
          <w:tcPr>
            <w:tcW w:w="103" w:type="dxa"/>
            <w:tcBorders/>
            <w:vAlign w:val="bottom"/>
          </w:tcPr>
          <w:p>
            <w:pPr>
              <w:pStyle w:val="TableContents"/>
              <w:bidi w:val="0"/>
              <w:spacing w:before="0" w:after="283"/>
              <w:jc w:val="left"/>
              <w:rPr/>
            </w:pPr>
            <w:r>
              <w:rPr/>
              <w:t> </w:t>
            </w:r>
          </w:p>
        </w:tc>
        <w:tc>
          <w:tcPr>
            <w:tcW w:w="3971" w:type="dxa"/>
            <w:tcBorders/>
          </w:tcPr>
          <w:p>
            <w:pPr>
              <w:pStyle w:val="TableContents"/>
              <w:pBdr>
                <w:bottom w:val="single" w:sz="2" w:space="1" w:color="000000"/>
              </w:pBdr>
              <w:bidi w:val="0"/>
              <w:spacing w:before="0" w:after="20"/>
              <w:jc w:val="left"/>
              <w:rPr/>
            </w:pPr>
            <w:r>
              <w:rPr/>
              <w:t> </w:t>
            </w:r>
          </w:p>
        </w:tc>
      </w:tr>
      <w:tr>
        <w:trPr>
          <w:trHeight w:val="240" w:hRule="atLeast"/>
        </w:trPr>
        <w:tc>
          <w:tcPr>
            <w:tcW w:w="4757"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before="0" w:after="283"/>
              <w:jc w:val="left"/>
              <w:rPr>
                <w:sz w:val="4"/>
                <w:szCs w:val="4"/>
              </w:rPr>
            </w:pPr>
            <w:r>
              <w:rPr>
                <w:sz w:val="4"/>
                <w:szCs w:val="4"/>
              </w:rPr>
            </w:r>
          </w:p>
        </w:tc>
        <w:tc>
          <w:tcPr>
            <w:tcW w:w="4074" w:type="dxa"/>
            <w:gridSpan w:val="2"/>
            <w:tcBorders/>
            <w:vAlign w:val="center"/>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7"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971" w:type="dxa"/>
            <w:tcBorders/>
          </w:tcPr>
          <w:p>
            <w:pPr>
              <w:pStyle w:val="TableContents"/>
              <w:pBdr>
                <w:bottom w:val="single" w:sz="2" w:space="1" w:color="000000"/>
              </w:pBdr>
              <w:bidi w:val="0"/>
              <w:spacing w:before="0" w:after="20"/>
              <w:jc w:val="left"/>
              <w:rPr/>
            </w:pPr>
            <w:r>
              <w:rPr/>
              <w:t> </w:t>
            </w:r>
          </w:p>
        </w:tc>
      </w:tr>
      <w:tr>
        <w:trPr/>
        <w:tc>
          <w:tcPr>
            <w:tcW w:w="475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7" w:type="dxa"/>
            <w:tcBorders/>
          </w:tcPr>
          <w:p>
            <w:pPr>
              <w:pStyle w:val="TableContents"/>
              <w:bidi w:val="0"/>
              <w:spacing w:before="0" w:after="283"/>
              <w:jc w:val="left"/>
              <w:rPr/>
            </w:pPr>
            <w:r>
              <w:rPr/>
              <w:t>Name:</w:t>
            </w:r>
          </w:p>
        </w:tc>
        <w:tc>
          <w:tcPr>
            <w:tcW w:w="103" w:type="dxa"/>
            <w:tcBorders/>
            <w:vAlign w:val="bottom"/>
          </w:tcPr>
          <w:p>
            <w:pPr>
              <w:pStyle w:val="TableContents"/>
              <w:bidi w:val="0"/>
              <w:spacing w:before="0" w:after="283"/>
              <w:jc w:val="left"/>
              <w:rPr/>
            </w:pPr>
            <w:r>
              <w:rPr/>
              <w:t> </w:t>
            </w:r>
          </w:p>
        </w:tc>
        <w:tc>
          <w:tcPr>
            <w:tcW w:w="3971" w:type="dxa"/>
            <w:tcBorders/>
          </w:tcPr>
          <w:p>
            <w:pPr>
              <w:pStyle w:val="TableContents"/>
              <w:bidi w:val="0"/>
              <w:spacing w:before="0" w:after="283"/>
              <w:jc w:val="left"/>
              <w:rPr>
                <w:sz w:val="4"/>
                <w:szCs w:val="4"/>
              </w:rPr>
            </w:pPr>
            <w:r>
              <w:rPr>
                <w:sz w:val="4"/>
                <w:szCs w:val="4"/>
              </w:rPr>
            </w:r>
          </w:p>
        </w:tc>
      </w:tr>
      <w:tr>
        <w:trPr/>
        <w:tc>
          <w:tcPr>
            <w:tcW w:w="475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7" w:type="dxa"/>
            <w:tcBorders/>
          </w:tcPr>
          <w:p>
            <w:pPr>
              <w:pStyle w:val="TableContents"/>
              <w:bidi w:val="0"/>
              <w:spacing w:before="0" w:after="283"/>
              <w:jc w:val="left"/>
              <w:rPr/>
            </w:pPr>
            <w:r>
              <w:rPr/>
              <w:t>Title:</w:t>
            </w:r>
          </w:p>
        </w:tc>
        <w:tc>
          <w:tcPr>
            <w:tcW w:w="103" w:type="dxa"/>
            <w:tcBorders/>
            <w:vAlign w:val="bottom"/>
          </w:tcPr>
          <w:p>
            <w:pPr>
              <w:pStyle w:val="TableContents"/>
              <w:bidi w:val="0"/>
              <w:spacing w:before="0" w:after="283"/>
              <w:jc w:val="left"/>
              <w:rPr/>
            </w:pPr>
            <w:r>
              <w:rPr/>
              <w:t> </w:t>
            </w:r>
          </w:p>
        </w:tc>
        <w:tc>
          <w:tcPr>
            <w:tcW w:w="397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EMAIL A .PDF COPY OF THE COMPLETED AND EXECUTED QUESTIONNAIRE TO: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Tel: </w:t>
      </w:r>
    </w:p>
    <w:p>
      <w:pPr>
        <w:pStyle w:val="TextBody"/>
        <w:bidi w:val="0"/>
        <w:spacing w:before="0" w:after="0"/>
        <w:jc w:val="left"/>
        <w:rPr>
          <w:rFonts w:ascii="Times New Roman" w:hAnsi="Times New Roman"/>
          <w:sz w:val="20"/>
        </w:rPr>
      </w:pPr>
      <w:r>
        <w:rPr>
          <w:rFonts w:ascii="Times New Roman" w:hAnsi="Times New Roman"/>
          <w:sz w:val="20"/>
        </w:rPr>
        <w:t xml:space="preserve">Fax: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right"/>
        <w:rPr>
          <w:rFonts w:ascii="Times New Roman" w:hAnsi="Times New Roman"/>
          <w:b/>
          <w:sz w:val="20"/>
        </w:rPr>
      </w:pPr>
      <w:bookmarkStart w:id="14" w:name="d309963dex103.htm"/>
      <w:bookmarkStart w:id="15" w:name="ksd309963dex103"/>
      <w:bookmarkEnd w:id="14"/>
      <w:bookmarkEnd w:id="15"/>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sz w:val="20"/>
        </w:rPr>
      </w:pPr>
      <w:r>
        <w:rPr>
          <w:rFonts w:ascii="Times New Roman" w:hAnsi="Times New Roman"/>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April 14, 2026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b/>
          <w:i/>
          <w:sz w:val="20"/>
        </w:rPr>
        <w:t>Lock-Up Agreement</w:t>
      </w:r>
      <w:r>
        <w:rPr>
          <w:rFonts w:ascii="Times New Roman" w:hAnsi="Times New Roman"/>
          <w:sz w:val="20"/>
        </w:rPr>
        <w:t>”) understands that Obsidian Therapeutics, Inc., a Delaware corporation (the “</w:t>
      </w:r>
      <w:r>
        <w:rPr>
          <w:rFonts w:ascii="Times New Roman" w:hAnsi="Times New Roman"/>
          <w:b/>
          <w:i/>
          <w:sz w:val="20"/>
        </w:rPr>
        <w:t>Company</w:t>
      </w:r>
      <w:r>
        <w:rPr>
          <w:rFonts w:ascii="Times New Roman" w:hAnsi="Times New Roman"/>
          <w:sz w:val="20"/>
        </w:rPr>
        <w:t>”), has entered into an Agreement and Plan of Merger, dated as of April 14, 2026 (as the same may be amended from time to time, the “</w:t>
      </w:r>
      <w:r>
        <w:rPr>
          <w:rFonts w:ascii="Times New Roman" w:hAnsi="Times New Roman"/>
          <w:b/>
          <w:i/>
          <w:sz w:val="20"/>
        </w:rPr>
        <w:t>Merger Agreement</w:t>
      </w:r>
      <w:r>
        <w:rPr>
          <w:rFonts w:ascii="Times New Roman" w:hAnsi="Times New Roman"/>
          <w:sz w:val="20"/>
        </w:rPr>
        <w:t>”) with Galera Therapeutics, Inc., a Delaware corporation (“</w:t>
      </w:r>
      <w:r>
        <w:rPr>
          <w:rFonts w:ascii="Times New Roman" w:hAnsi="Times New Roman"/>
          <w:b/>
          <w:i/>
          <w:sz w:val="20"/>
        </w:rPr>
        <w:t>Galera</w:t>
      </w:r>
      <w:r>
        <w:rPr>
          <w:rFonts w:ascii="Times New Roman" w:hAnsi="Times New Roman"/>
          <w:sz w:val="20"/>
        </w:rPr>
        <w:t>”), Gazelle Parent, Inc., a Delaware corporation (“</w:t>
      </w:r>
      <w:r>
        <w:rPr>
          <w:rFonts w:ascii="Times New Roman" w:hAnsi="Times New Roman"/>
          <w:b/>
          <w:i/>
          <w:sz w:val="20"/>
        </w:rPr>
        <w:t>Parent</w:t>
      </w:r>
      <w:r>
        <w:rPr>
          <w:rFonts w:ascii="Times New Roman" w:hAnsi="Times New Roman"/>
          <w:sz w:val="20"/>
        </w:rPr>
        <w:t xml:space="preserve">”), Onyx MergerSub, Inc., a Delaware corporation and a direct, wholly owned subsidiary of Parent and Gazelle Merger Subsidiary, Inc., a Delaware corporation and a direct, wholly owned subsidiary of Parent.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 w:hAnsi="Times New Roman"/>
          <w:b/>
          <w:i/>
          <w:sz w:val="20"/>
        </w:rPr>
        <w:t>Restricted Period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which may be deemed to be beneficially owned (as such term is used in Rule 13d-3 of the Exchange Act) by the undersigned in accordance with the rules and regulations of the SEC and securities of Parent which may be issued upon exercise of an option to purchase Parent Common Stock or warrant or settlement of a Parent restricted stock unit) that are currently or hereafter owned of record or beneficially (including holding as a custodian) by the undersigned (collectively, the “</w:t>
            </w:r>
            <w:r>
              <w:rPr>
                <w:rFonts w:ascii="Times New Roman" w:hAnsi="Times New Roman"/>
                <w:b/>
                <w:i/>
                <w:sz w:val="20"/>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Parent Common Stock (other than such rights set forth in the Merger Agreement or the obligations of the Company or the combined company under that certain Registration Rights Agreement dated as of April 14, 2026 entered into by and among Galera and the several investors signatory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natural person</w:t>
            </w:r>
            <w:r>
              <w:rPr>
                <w:rFonts w:ascii="Times New Roman" w:hAnsi="Times New Roman"/>
                <w:sz w:val="20"/>
              </w:rPr>
              <w:t>, (A) to any person related to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w:t>
            </w:r>
            <w:r>
              <w:rPr>
                <w:rFonts w:ascii="Times New Roman" w:hAnsi="Times New Roman"/>
                <w:sz w:val="20"/>
                <w:u w:val="single"/>
              </w:rPr>
              <w:t xml:space="preserve"> other entity</w:t>
            </w:r>
            <w:r>
              <w:rPr>
                <w:rFonts w:ascii="Times New Roman" w:hAnsi="Times New Roman"/>
                <w:sz w:val="20"/>
              </w:rPr>
              <w:t xml:space="preserve">,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(D) transfers or dispositions not involving a change in beneficial ownership or (E) with prior written consent of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of an option to purchase Parent Common Stock (including a net or cashless exercise of an option to purchase Parent Common Stock), and any related transfer of shares of Parent Common Stock to Parent or sale of Parent Common Stock in the open market, in each case, for the purpose of paying the exercise price of such options or for paying taxes (including estimated taxes) during the Restricted Period due as a result of the exercise of such options; provided that, for the avoidance of doubt, the underlying shares of Parent Common Stock held by the undersigned following such exercise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disposition (including a forfeiture or repurchase) to Parent of any shares of restricted stock granted pursuant to the terms of any employee benefit plan or restricted stock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exercise of an option to purchase shares of Parent Common Stock (including a net or cashless exercise of an option to purchase shares of Parent Common Stock ),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hAnsi="Times New Roman"/>
          <w:sz w:val="20"/>
          <w:u w:val="single"/>
        </w:rPr>
        <w:t>provided that</w:t>
      </w:r>
      <w:r>
        <w:rPr>
          <w:rFonts w:ascii="Times New Roman" w:hAnsi="Times New Roman"/>
          <w:sz w:val="20"/>
        </w:rPr>
        <w:t xml:space="preserve">, for the avoidance of doubt, the underlying shares of Parent Common Stock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vesting of any restricted stock unit or settlement of any other equity award that represents the right to receive shares of Parent Common Stock, and transfers to Parent, or sales of Parent Common Stock in the open market, in connection with the vesting of any restricted stock unit or settlement of any other equity award that represents the right to receive shares of Parent Common Stock settled in Parent Common Stock, in each case, to pay any tax withholding obligations due during the Restricted Period; provided that, for the avoidance of doubt, the underlying shares of Parent Common Stock held by the undersigned following such vesting or settlement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(f) the establishment of a trading plan pursuant to Rule 10b5-1 under the Exchange Act (a “</w:t>
      </w:r>
      <w:r>
        <w:rPr>
          <w:rFonts w:ascii="Times New Roman" w:hAnsi="Times New Roman"/>
          <w:b/>
          <w:i/>
          <w:sz w:val="20"/>
        </w:rPr>
        <w:t>10b5-1 Plan</w:t>
      </w:r>
      <w:r>
        <w:rPr>
          <w:rFonts w:ascii="Times New Roman" w:hAnsi="Times New Roman"/>
          <w:sz w:val="20"/>
        </w:rPr>
        <w:t xml:space="preserve">”) for the transfer of Parent Common Stock; provided that such plan does not provide for any transfers of Parent Common Stock during the Restricted Period, or the sale of Parent Common Stock pursuant to a 10b5-1 Plan existing as of the date of the Merger Agreement (which, for clarity, shall not be amended during the Restricted Period, but may be terminated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(g) transfers, sales, dispositions, or the entering into of transactions (including, without limitation, any swap, hedge or similar agreement) by the undersigned of or relating to shares of capital stock or other securities of Parent purchased or acquired by the undersigned on the open market, in a public offering by Parent, or that otherwise do not involve or relate to shares of Parent Common Stock issued pursuant to the Merger Agreement in respect of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pursuant to a bona fide third party tender offer, merger, consolidation or other similar transaction made to all holders of Parent’s capital stock involving a change of control of Parent that is approved by Parent’s Board of Directors, provided that in the event that such tender offer, merger, consolidation or other such transaction is not completed, the Undersigned’s Shares shall remain subject to the restrictions contained in this Lock-Up Agreement; or </w:t>
      </w:r>
    </w:p>
    <w:p>
      <w:pPr>
        <w:pStyle w:val="TextBody"/>
        <w:bidi w:val="0"/>
        <w:spacing w:before="240" w:after="0"/>
        <w:jc w:val="left"/>
        <w:rPr>
          <w:rFonts w:ascii="Times New Roman" w:hAnsi="Times New Roman"/>
          <w:sz w:val="20"/>
        </w:rPr>
      </w:pPr>
      <w:r>
        <w:rPr>
          <w:rFonts w:ascii="Times New Roman" w:hAnsi="Times New Roman"/>
          <w:sz w:val="20"/>
        </w:rPr>
        <w:t xml:space="preserve">(i)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(j) transfers, sales, dispositions or the entering into of transactions (including, without limitation, any swap, hedge or similar agreement), by the undersigned relating to shares of Parent Common Stock issued pursuant to the Merger Agreement in respect of shares of Galera, if any, purchased from Galera pursuant to the Concurrent PIPE Financing (as defined in the Merger Agreement) (the “</w:t>
      </w:r>
      <w:r>
        <w:rPr>
          <w:rFonts w:ascii="Times New Roman" w:hAnsi="Times New Roman"/>
          <w:b/>
          <w:i/>
          <w:sz w:val="20"/>
        </w:rPr>
        <w:t>Galera</w:t>
      </w:r>
      <w:r>
        <w:rPr>
          <w:rFonts w:ascii="Times New Roman" w:hAnsi="Times New Roman"/>
          <w:sz w:val="20"/>
        </w:rPr>
        <w:t xml:space="preserve"> </w:t>
      </w:r>
      <w:r>
        <w:rPr>
          <w:rFonts w:ascii="Times New Roman" w:hAnsi="Times New Roman"/>
          <w:b/>
          <w:i/>
          <w:sz w:val="20"/>
        </w:rPr>
        <w:t>Concurrent PIPE Financing Released Shares</w:t>
      </w:r>
      <w:r>
        <w:rPr>
          <w:rFonts w:ascii="Times New Roman" w:hAnsi="Times New Roman"/>
          <w:sz w:val="20"/>
        </w:rPr>
        <w:t xml:space="preserve">”) or issued in exchange for, or on conversion or exercise of, any securities issued as part of the Concurrent PIPE Financing. The number of Galera Concurrent PIPE Financing Released Shares held by each stockholder of Galera is set forth opposite his, her or its name on Schedule I to this Lock-Up Agreement under the heading “Galera Concurrent PIPE Financing Released Shares”;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i/>
          <w:sz w:val="20"/>
          <w:u w:val="single"/>
        </w:rPr>
        <w:t>provided, further</w:t>
      </w:r>
      <w:r>
        <w:rPr>
          <w:rFonts w:ascii="Times New Roman" w:hAnsi="Times New Roman"/>
          <w:sz w:val="20"/>
        </w:rPr>
        <w:t xml:space="preserve">,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Parent Common Stock or in connection with the net settlement of any other equity award that represents the right to receive in the future shares of Parent Common Stock settled in Parent Common Stock that would otherwise expire during the Restricted Period,</w:t>
      </w:r>
      <w:r>
        <w:rPr>
          <w:rFonts w:ascii="Times New Roman" w:hAnsi="Times New Roman"/>
          <w:sz w:val="20"/>
          <w:u w:val="single"/>
        </w:rPr>
        <w:t> </w:t>
      </w:r>
      <w:r>
        <w:rPr>
          <w:rFonts w:ascii="Times New Roman" w:hAnsi="Times New Roman"/>
          <w:i/>
          <w:sz w:val="20"/>
          <w:u w:val="single"/>
        </w:rPr>
        <w:t>provided that</w:t>
      </w:r>
      <w:r>
        <w:rPr>
          <w:rFonts w:ascii="Times New Roman" w:hAnsi="Times New Roman"/>
          <w:sz w:val="20"/>
        </w:rPr>
        <w:t xml:space="preserve"> (1) reasonable notice shall be provided to Parent prior to any such filing and (2)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other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the Company advising the undersigned in writing that it has determined not to proceed with the Contemplated Transactions or (ii) the Merger Agreement being validly terminated pursuant to its terms. </w:t>
      </w:r>
    </w:p>
    <w:p>
      <w:pPr>
        <w:pStyle w:val="TextBody"/>
        <w:bidi w:val="0"/>
        <w:spacing w:before="240" w:after="0"/>
        <w:jc w:val="left"/>
        <w:rPr>
          <w:rFonts w:ascii="Times New Roman" w:hAnsi="Times New Roman"/>
          <w:sz w:val="20"/>
        </w:rPr>
      </w:pPr>
      <w:r>
        <w:rPr>
          <w:rFonts w:ascii="Times New Roman" w:hAnsi="Times New Roman"/>
          <w:sz w:val="20"/>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(or prior to the Closing, the Company), including through any written consent granted under subparagraph (a)(ii)(E) above, to sell or otherwise transfer or dispose of shares of Parent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hAnsi="Times New Roman"/>
          <w:b/>
          <w:i/>
          <w:sz w:val="20"/>
        </w:rPr>
        <w:t>Pro-Rata Release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such Pro-Rata Release shall not be applied unless and until permission or early release has been granted by Parent, and solely prior to the Closing, the Company, to an equity holder or equity holders to sell or otherwise transfer or dispose of all or a portion of such equity holder’s shares of Parent Common Stock that, when combined with all such other such permissions and early releases, represent an aggregate amount in excess of 1% of the number of shares of Parent Common Stock originally subject to a substantially similar agreements. Parent shall notify the undersigned of any Pro-Rata Release of its shares on the same day that any permission that triggers the Pro-Rata Release is granted.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the Merger Agreement and to the undersigned at his, her or its address or email address (providing confirmation of transmission) set forth on the signature page hereto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616"/>
        <w:gridCol w:w="108"/>
        <w:gridCol w:w="351"/>
        <w:gridCol w:w="108"/>
        <w:gridCol w:w="600"/>
        <w:gridCol w:w="108"/>
        <w:gridCol w:w="4314"/>
      </w:tblGrid>
      <w:tr>
        <w:trPr/>
        <w:tc>
          <w:tcPr>
            <w:tcW w:w="461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14" w:type="dxa"/>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81" w:type="dxa"/>
            <w:gridSpan w:val="5"/>
            <w:tcBorders/>
          </w:tcPr>
          <w:p>
            <w:pPr>
              <w:pStyle w:val="TableContents"/>
              <w:bidi w:val="0"/>
              <w:spacing w:before="0" w:after="283"/>
              <w:jc w:val="left"/>
              <w:rPr/>
            </w:pPr>
            <w:r>
              <w:rPr/>
              <w:t>Very truly yours,</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5589" w:type="dxa"/>
            <w:gridSpan w:val="6"/>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pPr>
            <w:r>
              <w:rPr/>
              <w:t>Print Name of Stockholder:</w:t>
            </w:r>
          </w:p>
        </w:tc>
        <w:tc>
          <w:tcPr>
            <w:tcW w:w="108" w:type="dxa"/>
            <w:tcBorders/>
            <w:vAlign w:val="bottom"/>
          </w:tcPr>
          <w:p>
            <w:pPr>
              <w:pStyle w:val="TableContents"/>
              <w:bidi w:val="0"/>
              <w:spacing w:before="0" w:after="283"/>
              <w:jc w:val="left"/>
              <w:rPr/>
            </w:pPr>
            <w:r>
              <w:rPr/>
              <w:t> </w:t>
            </w:r>
          </w:p>
        </w:tc>
        <w:tc>
          <w:tcPr>
            <w:tcW w:w="5481" w:type="dxa"/>
            <w:gridSpan w:val="5"/>
            <w:tcBorders/>
          </w:tcPr>
          <w:p>
            <w:pPr>
              <w:pStyle w:val="TableContents"/>
              <w:bidi w:val="0"/>
              <w:spacing w:before="0" w:after="283"/>
              <w:jc w:val="left"/>
              <w:rPr/>
            </w:pPr>
            <w:r>
              <w:rPr/>
              <w:t>[</w:t>
            </w:r>
            <w:r>
              <w:rPr>
                <w:u w:val="single"/>
              </w:rPr>
              <w:t xml:space="preserve">       </w:t>
            </w:r>
            <w:r>
              <w:rPr/>
              <w:t>]</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5589" w:type="dxa"/>
            <w:gridSpan w:val="6"/>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81" w:type="dxa"/>
            <w:gridSpan w:val="5"/>
            <w:tcBorders/>
          </w:tcPr>
          <w:p>
            <w:pPr>
              <w:pStyle w:val="TableContents"/>
              <w:bidi w:val="0"/>
              <w:spacing w:before="0" w:after="283"/>
              <w:jc w:val="left"/>
              <w:rPr/>
            </w:pPr>
            <w:r>
              <w:rPr/>
              <w:t>Signature (for individuals):</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5589" w:type="dxa"/>
            <w:gridSpan w:val="6"/>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81" w:type="dxa"/>
            <w:gridSpan w:val="5"/>
            <w:tcBorders/>
          </w:tcPr>
          <w:p>
            <w:pPr>
              <w:pStyle w:val="TableContents"/>
              <w:pBdr>
                <w:bottom w:val="single" w:sz="2" w:space="1" w:color="000000"/>
              </w:pBdr>
              <w:bidi w:val="0"/>
              <w:spacing w:before="0" w:after="20"/>
              <w:jc w:val="left"/>
              <w:rPr/>
            </w:pPr>
            <w:r>
              <w:rPr/>
              <w:t> </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5589" w:type="dxa"/>
            <w:gridSpan w:val="6"/>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81" w:type="dxa"/>
            <w:gridSpan w:val="5"/>
            <w:tcBorders/>
          </w:tcPr>
          <w:p>
            <w:pPr>
              <w:pStyle w:val="TableContents"/>
              <w:bidi w:val="0"/>
              <w:spacing w:before="0" w:after="283"/>
              <w:jc w:val="left"/>
              <w:rPr/>
            </w:pPr>
            <w:r>
              <w:rPr/>
              <w:t>Signature (for entities):</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459"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5022" w:type="dxa"/>
            <w:gridSpan w:val="3"/>
            <w:tcBorders/>
          </w:tcPr>
          <w:p>
            <w:pPr>
              <w:pStyle w:val="TableContents"/>
              <w:pBdr>
                <w:bottom w:val="single" w:sz="2" w:space="1" w:color="000000"/>
              </w:pBdr>
              <w:bidi w:val="0"/>
              <w:spacing w:before="0" w:after="20"/>
              <w:jc w:val="left"/>
              <w:rPr/>
            </w:pPr>
            <w:r>
              <w:rPr/>
              <w:t> </w:t>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314" w:type="dxa"/>
            <w:tcBorders/>
          </w:tcPr>
          <w:p>
            <w:pPr>
              <w:pStyle w:val="TableContents"/>
              <w:pBdr>
                <w:bottom w:val="single" w:sz="2" w:space="1" w:color="000000"/>
              </w:pBdr>
              <w:bidi w:val="0"/>
              <w:spacing w:before="0" w:after="20"/>
              <w:jc w:val="left"/>
              <w:rPr/>
            </w:pPr>
            <w:r>
              <w:rPr/>
              <w:t> </w:t>
            </w:r>
          </w:p>
        </w:tc>
      </w:tr>
      <w:tr>
        <w:trPr/>
        <w:tc>
          <w:tcPr>
            <w:tcW w:w="46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314" w:type="dxa"/>
            <w:tcBorders/>
          </w:tcPr>
          <w:p>
            <w:pPr>
              <w:pStyle w:val="TableContents"/>
              <w:pBdr>
                <w:bottom w:val="single" w:sz="2" w:space="1" w:color="000000"/>
              </w:pBdr>
              <w:bidi w:val="0"/>
              <w:spacing w:before="0" w:after="20"/>
              <w:jc w:val="left"/>
              <w:rPr/>
            </w:pPr>
            <w:r>
              <w:rPr/>
              <w:t> </w:t>
            </w:r>
          </w:p>
        </w:tc>
      </w:tr>
      <w:tr>
        <w:trPr>
          <w:trHeight w:val="240" w:hRule="atLeast"/>
        </w:trPr>
        <w:tc>
          <w:tcPr>
            <w:tcW w:w="4616" w:type="dxa"/>
            <w:tcBorders/>
            <w:vAlign w:val="center"/>
          </w:tcPr>
          <w:p>
            <w:pPr>
              <w:pStyle w:val="TableContents"/>
              <w:bidi w:val="0"/>
              <w:spacing w:before="0" w:after="283"/>
              <w:jc w:val="left"/>
              <w:rPr>
                <w:sz w:val="4"/>
                <w:szCs w:val="4"/>
              </w:rPr>
            </w:pPr>
            <w:r>
              <w:rPr>
                <w:sz w:val="4"/>
                <w:szCs w:val="4"/>
              </w:rPr>
            </w:r>
          </w:p>
        </w:tc>
        <w:tc>
          <w:tcPr>
            <w:tcW w:w="459"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616" w:type="dxa"/>
            <w:tcBorders/>
          </w:tcPr>
          <w:p>
            <w:pPr>
              <w:pStyle w:val="TableContents"/>
              <w:bidi w:val="0"/>
              <w:spacing w:before="0" w:after="283"/>
              <w:jc w:val="right"/>
              <w:rPr/>
            </w:pPr>
            <w:r>
              <w:rPr/>
              <w:t>Email Address:</w:t>
            </w:r>
          </w:p>
        </w:tc>
        <w:tc>
          <w:tcPr>
            <w:tcW w:w="108"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02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27"/>
        <w:gridCol w:w="67"/>
        <w:gridCol w:w="766"/>
        <w:gridCol w:w="67"/>
        <w:gridCol w:w="2655"/>
      </w:tblGrid>
      <w:tr>
        <w:trPr/>
        <w:tc>
          <w:tcPr>
            <w:tcW w:w="527"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Gazelle Parent, Inc.:</w:t>
            </w:r>
          </w:p>
        </w:tc>
      </w:tr>
      <w:tr>
        <w:trPr>
          <w:trHeight w:val="240" w:hRule="atLeast"/>
        </w:trPr>
        <w:tc>
          <w:tcPr>
            <w:tcW w:w="527" w:type="dxa"/>
            <w:tcBorders/>
            <w:vAlign w:val="center"/>
          </w:tcPr>
          <w:p>
            <w:pPr>
              <w:pStyle w:val="TableContents"/>
              <w:bidi w:val="0"/>
              <w:spacing w:before="0" w:after="283"/>
              <w:jc w:val="left"/>
              <w:rPr>
                <w:sz w:val="4"/>
                <w:szCs w:val="4"/>
              </w:rPr>
            </w:pPr>
            <w:r>
              <w:rPr>
                <w:sz w:val="4"/>
                <w:szCs w:val="4"/>
              </w:rPr>
            </w:r>
          </w:p>
        </w:tc>
        <w:tc>
          <w:tcPr>
            <w:tcW w:w="3555" w:type="dxa"/>
            <w:gridSpan w:val="4"/>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88" w:type="dxa"/>
            <w:gridSpan w:val="3"/>
            <w:tcBorders/>
          </w:tcPr>
          <w:p>
            <w:pPr>
              <w:pStyle w:val="TableContents"/>
              <w:pBdr>
                <w:bottom w:val="single" w:sz="2" w:space="1" w:color="000000"/>
              </w:pBdr>
              <w:bidi w:val="0"/>
              <w:spacing w:before="0" w:after="20"/>
              <w:jc w:val="left"/>
              <w:rPr/>
            </w:pPr>
            <w:r>
              <w:rPr/>
              <w:t> </w:t>
            </w:r>
          </w:p>
        </w:tc>
      </w:tr>
      <w:tr>
        <w:trPr/>
        <w:tc>
          <w:tcPr>
            <w:tcW w:w="5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655" w:type="dxa"/>
            <w:tcBorders/>
          </w:tcPr>
          <w:p>
            <w:pPr>
              <w:pStyle w:val="TableContents"/>
              <w:pBdr>
                <w:bottom w:val="single" w:sz="2" w:space="1" w:color="000000"/>
              </w:pBdr>
              <w:bidi w:val="0"/>
              <w:spacing w:before="0" w:after="20"/>
              <w:jc w:val="left"/>
              <w:rPr/>
            </w:pPr>
            <w:r>
              <w:rPr/>
              <w:t> </w:t>
            </w:r>
          </w:p>
        </w:tc>
      </w:tr>
      <w:tr>
        <w:trPr/>
        <w:tc>
          <w:tcPr>
            <w:tcW w:w="5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655"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Accepted and Agreed by Obsidian Therapeutics, Inc.:</w:t>
            </w:r>
          </w:p>
        </w:tc>
      </w:tr>
      <w:tr>
        <w:trPr>
          <w:trHeight w:val="240" w:hRule="atLeast"/>
        </w:trPr>
        <w:tc>
          <w:tcPr>
            <w:tcW w:w="527" w:type="dxa"/>
            <w:tcBorders/>
            <w:vAlign w:val="center"/>
          </w:tcPr>
          <w:p>
            <w:pPr>
              <w:pStyle w:val="TableContents"/>
              <w:bidi w:val="0"/>
              <w:spacing w:before="0" w:after="283"/>
              <w:jc w:val="left"/>
              <w:rPr>
                <w:sz w:val="4"/>
                <w:szCs w:val="4"/>
              </w:rPr>
            </w:pPr>
            <w:r>
              <w:rPr>
                <w:sz w:val="4"/>
                <w:szCs w:val="4"/>
              </w:rPr>
            </w:r>
          </w:p>
        </w:tc>
        <w:tc>
          <w:tcPr>
            <w:tcW w:w="3555" w:type="dxa"/>
            <w:gridSpan w:val="4"/>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88" w:type="dxa"/>
            <w:gridSpan w:val="3"/>
            <w:tcBorders/>
          </w:tcPr>
          <w:p>
            <w:pPr>
              <w:pStyle w:val="TableContents"/>
              <w:pBdr>
                <w:bottom w:val="single" w:sz="2" w:space="1" w:color="000000"/>
              </w:pBdr>
              <w:bidi w:val="0"/>
              <w:spacing w:before="0" w:after="20"/>
              <w:jc w:val="left"/>
              <w:rPr/>
            </w:pPr>
            <w:r>
              <w:rPr/>
              <w:t> </w:t>
            </w:r>
          </w:p>
        </w:tc>
      </w:tr>
      <w:tr>
        <w:trPr/>
        <w:tc>
          <w:tcPr>
            <w:tcW w:w="5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655" w:type="dxa"/>
            <w:tcBorders/>
          </w:tcPr>
          <w:p>
            <w:pPr>
              <w:pStyle w:val="TableContents"/>
              <w:pBdr>
                <w:bottom w:val="single" w:sz="2" w:space="1" w:color="000000"/>
              </w:pBdr>
              <w:bidi w:val="0"/>
              <w:spacing w:before="0" w:after="20"/>
              <w:jc w:val="left"/>
              <w:rPr/>
            </w:pPr>
            <w:r>
              <w:rPr/>
              <w:t> </w:t>
            </w:r>
          </w:p>
        </w:tc>
      </w:tr>
      <w:tr>
        <w:trPr/>
        <w:tc>
          <w:tcPr>
            <w:tcW w:w="5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65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Galera Concurrent PIPE Financing Released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5"/>
        <w:gridCol w:w="122"/>
        <w:gridCol w:w="4918"/>
      </w:tblGrid>
      <w:tr>
        <w:trPr/>
        <w:tc>
          <w:tcPr>
            <w:tcW w:w="51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Investor</w:t>
            </w:r>
          </w:p>
        </w:tc>
        <w:tc>
          <w:tcPr>
            <w:tcW w:w="122" w:type="dxa"/>
            <w:tcBorders/>
            <w:vAlign w:val="bottom"/>
          </w:tcPr>
          <w:p>
            <w:pPr>
              <w:pStyle w:val="TableContents"/>
              <w:bidi w:val="0"/>
              <w:spacing w:before="0" w:after="283"/>
              <w:jc w:val="left"/>
              <w:rPr/>
            </w:pPr>
            <w:r>
              <w:rPr/>
              <w:t>  </w:t>
            </w:r>
          </w:p>
        </w:tc>
        <w:tc>
          <w:tcPr>
            <w:tcW w:w="49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Galera Concurrent PIPE Financing Released Shares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p>
    <w:p>
      <w:pPr>
        <w:pStyle w:val="TextBody"/>
        <w:bidi w:val="0"/>
        <w:spacing w:before="0" w:after="0"/>
        <w:jc w:val="right"/>
        <w:rPr>
          <w:rFonts w:ascii="Times New Roman" w:hAnsi="Times New Roman"/>
          <w:b/>
          <w:sz w:val="20"/>
        </w:rPr>
      </w:pPr>
      <w:bookmarkStart w:id="16" w:name="d309963dex104.htm"/>
      <w:bookmarkStart w:id="17" w:name="ksd309963dex104"/>
      <w:bookmarkEnd w:id="16"/>
      <w:bookmarkEnd w:id="17"/>
      <w:r>
        <w:rPr>
          <w:rFonts w:ascii="Times New Roman" w:hAnsi="Times New Roman"/>
          <w:b/>
          <w:sz w:val="20"/>
        </w:rPr>
        <w:t xml:space="preserve">Exhibit 10.4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dated as of July 31, 2026 (this “</w:t>
      </w:r>
      <w:r>
        <w:rPr>
          <w:rFonts w:ascii="Times New Roman" w:hAnsi="Times New Roman"/>
          <w:b/>
          <w:sz w:val="20"/>
        </w:rPr>
        <w:t>Agreement</w:t>
      </w:r>
      <w:r>
        <w:rPr>
          <w:rFonts w:ascii="Times New Roman" w:hAnsi="Times New Roman"/>
          <w:sz w:val="20"/>
        </w:rPr>
        <w:t>”), is entered into by and between GAZELLE PARENT, INC., a Delaware corporation (“</w:t>
      </w:r>
      <w:r>
        <w:rPr>
          <w:rFonts w:ascii="Times New Roman" w:hAnsi="Times New Roman"/>
          <w:b/>
          <w:sz w:val="20"/>
        </w:rPr>
        <w:t>Parent</w:t>
      </w:r>
      <w:r>
        <w:rPr>
          <w:rFonts w:ascii="Times New Roman" w:hAnsi="Times New Roman"/>
          <w:sz w:val="20"/>
        </w:rPr>
        <w:t>”), OBSIDIAN THERAPEUTICS, INC., a Delaware corporation (“</w:t>
      </w:r>
      <w:r>
        <w:rPr>
          <w:rFonts w:ascii="Times New Roman" w:hAnsi="Times New Roman"/>
          <w:b/>
          <w:sz w:val="20"/>
        </w:rPr>
        <w:t>Obsidian</w:t>
      </w:r>
      <w:r>
        <w:rPr>
          <w:rFonts w:ascii="Times New Roman" w:hAnsi="Times New Roman"/>
          <w:sz w:val="20"/>
        </w:rPr>
        <w:t>”) and EQUINITI TRUST COMPANY, LLC, a New York limited liability trust company (the “</w:t>
      </w:r>
      <w:r>
        <w:rPr>
          <w:rFonts w:ascii="Times New Roman" w:hAnsi="Times New Roman"/>
          <w:b/>
          <w:sz w:val="20"/>
        </w:rPr>
        <w:t>Rights Agent</w:t>
      </w:r>
      <w:r>
        <w:rPr>
          <w:rFonts w:ascii="Times New Roman" w:hAnsi="Times New Roman"/>
          <w:sz w:val="20"/>
        </w:rPr>
        <w:t>” and, collectively with Parent and Onyx,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Obsidian, GALERA THERAPEUTICS, INC., a Delaware corporation (“</w:t>
      </w:r>
      <w:r>
        <w:rPr>
          <w:rFonts w:ascii="Times New Roman" w:hAnsi="Times New Roman"/>
          <w:b/>
          <w:sz w:val="20"/>
        </w:rPr>
        <w:t>Galera</w:t>
      </w:r>
      <w:r>
        <w:rPr>
          <w:rFonts w:ascii="Times New Roman" w:hAnsi="Times New Roman"/>
          <w:sz w:val="20"/>
        </w:rPr>
        <w:t xml:space="preserve">”), Parent, Onyx MergerSub,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Onyx</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and Gazelle Merger Subsidiary,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Gazelle</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together with Onyx Merger Sub, “</w:t>
      </w:r>
      <w:r>
        <w:rPr>
          <w:rFonts w:ascii="Times New Roman" w:hAnsi="Times New Roman"/>
          <w:b/>
          <w:sz w:val="20"/>
        </w:rPr>
        <w:t>Merger Subs</w:t>
      </w:r>
      <w:r>
        <w:rPr>
          <w:rFonts w:ascii="Times New Roman" w:hAnsi="Times New Roman"/>
          <w:sz w:val="20"/>
        </w:rPr>
        <w:t>”) have entered into an Agreement and Plan of Merger dated as of April 14, 2026 (as it may be amended or supplemented from time to time pursuant to the terms thereof, the “</w:t>
      </w:r>
      <w:r>
        <w:rPr>
          <w:rFonts w:ascii="Times New Roman" w:hAnsi="Times New Roman"/>
          <w:b/>
          <w:sz w:val="20"/>
        </w:rPr>
        <w:t>Merger Agreement</w:t>
      </w:r>
      <w:r>
        <w:rPr>
          <w:rFonts w:ascii="Times New Roman" w:hAnsi="Times New Roman"/>
          <w:sz w:val="20"/>
        </w:rPr>
        <w:t>”), pursuant to which (i) Onyx Merger Sub will merge with and into Obsidian (the “</w:t>
      </w:r>
      <w:r>
        <w:rPr>
          <w:rFonts w:ascii="Times New Roman" w:hAnsi="Times New Roman"/>
          <w:b/>
          <w:sz w:val="20"/>
        </w:rPr>
        <w:t>Obsidian Merger</w:t>
      </w:r>
      <w:r>
        <w:rPr>
          <w:rFonts w:ascii="Times New Roman" w:hAnsi="Times New Roman"/>
          <w:sz w:val="20"/>
        </w:rPr>
        <w:t>”), with Obsidian surviving the Onyx Merger as a wholly owned subsidiary of Parent (the “</w:t>
      </w:r>
      <w:r>
        <w:rPr>
          <w:rFonts w:ascii="Times New Roman" w:hAnsi="Times New Roman"/>
          <w:b/>
          <w:sz w:val="20"/>
        </w:rPr>
        <w:t>Obsidian Surviving Company</w:t>
      </w:r>
      <w:r>
        <w:rPr>
          <w:rFonts w:ascii="Times New Roman" w:hAnsi="Times New Roman"/>
          <w:sz w:val="20"/>
        </w:rPr>
        <w:t>”), and (ii) promptly following the Obsidian Merger, Gazelle Merger Sub will merge with and into Galera (the “</w:t>
      </w:r>
      <w:r>
        <w:rPr>
          <w:rFonts w:ascii="Times New Roman" w:hAnsi="Times New Roman"/>
          <w:b/>
          <w:sz w:val="20"/>
        </w:rPr>
        <w:t>Galera Merger</w:t>
      </w:r>
      <w:r>
        <w:rPr>
          <w:rFonts w:ascii="Times New Roman" w:hAnsi="Times New Roman"/>
          <w:sz w:val="20"/>
        </w:rPr>
        <w:t>” and, together with the Obsidian Merger, the “</w:t>
      </w:r>
      <w:r>
        <w:rPr>
          <w:rFonts w:ascii="Times New Roman" w:hAnsi="Times New Roman"/>
          <w:b/>
          <w:sz w:val="20"/>
        </w:rPr>
        <w:t>Mergers</w:t>
      </w:r>
      <w:r>
        <w:rPr>
          <w:rFonts w:ascii="Times New Roman" w:hAnsi="Times New Roman"/>
          <w:sz w:val="20"/>
        </w:rPr>
        <w:t>”), with Galera surviving the Galera Merger as a wholly owned subsidiary of Parent (the “</w:t>
      </w:r>
      <w:r>
        <w:rPr>
          <w:rFonts w:ascii="Times New Roman" w:hAnsi="Times New Roman"/>
          <w:b/>
          <w:sz w:val="20"/>
        </w:rPr>
        <w:t>Galera Surviving Company</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Merger Agreement, Galera has declared a distribution to each of the holders of Galera Common Stock of record as of the last Business Day prior to the Galera Effective Time (but, for clarity, after the conversion of all Galera Series B Preferred Stock into Galera Common Stock as described in further detail in the Merger Agreement) representing the right to receive contingent cash payments pursuant to CVRs (as defined below) in respect of each CVR Product Agreement (as defined below) as hereinafter described.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the Parties agree, for the proportionate benefit of all Holders (as hereinafter defined),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1. DEFINITIONS; CERTAIN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will have the meanings ascribed to them in the Merger Agreement, unless expressly set forth otherwise herein. As used in this Agreement, the following terms will have the following meanings: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Parent following consummation of the transactions contemplated by the Merger Agreement.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Parent to have been duly adopted by the Board of Directors and to be in full force and effect on the date of such certification, and delivered to the Rights Agent.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Calendar Quarter</w:t>
      </w:r>
      <w:r>
        <w:rPr>
          <w:rFonts w:ascii="Times New Roman" w:hAnsi="Times New Roman"/>
          <w:sz w:val="20"/>
        </w:rPr>
        <w:t xml:space="preserve">” means each successive period of three (3) calendar months commencing on January 1, April 1, July 1 and October 1.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(a) a sale or other disposition of all or substantially all of the assets of Parent on a consolidated basis (other than to any direct or indirect wholly owned subsidiary of Parent for so long as it remains a wholly owned subsidiary of Parent), (b) a merger or consolidation involving Parent in which Parent is not the surviving entity, and (c) any other transaction involving Parent in which Parent is the surviving entity but in which the stockholders of Parent immediately prior to such transaction own less than fifty percent (50%) of the surviving entity’s voting power immediately after the transaction, in the case of each of the foregoing clauses (a), (b) and (c), whether effected directly or indirectly, and whether effected in a single transaction or a series of related transactions. </w:t>
      </w:r>
    </w:p>
    <w:p>
      <w:pPr>
        <w:pStyle w:val="TextBody"/>
        <w:bidi w:val="0"/>
        <w:spacing w:before="240" w:after="0"/>
        <w:jc w:val="left"/>
        <w:rPr/>
      </w:pPr>
      <w:r>
        <w:rPr/>
        <w:t>“</w:t>
      </w:r>
      <w:r>
        <w:rPr>
          <w:rFonts w:ascii="Times New Roman" w:hAnsi="Times New Roman"/>
          <w:b/>
          <w:sz w:val="20"/>
        </w:rPr>
        <w:t>Commercially Reasonable Efforts</w:t>
      </w:r>
      <w:r>
        <w:rPr>
          <w:rFonts w:ascii="Times New Roman" w:hAnsi="Times New Roman"/>
          <w:sz w:val="20"/>
        </w:rPr>
        <w:t>” means, with respect to any particular task or obligation, efforts consistent with commercially reasonable practices of a biopharmaceutical company of comparable size and resources as Parent (on a consolidated basis following consummation of the transactions contemplated by the Merger Agreement) relating to commercializing a similar product or product candidate, as applicable, at a similar stage in its development or product life as the applicable CVR Product (“</w:t>
      </w:r>
      <w:r>
        <w:rPr>
          <w:rFonts w:ascii="Times New Roman" w:hAnsi="Times New Roman"/>
          <w:b/>
          <w:sz w:val="20"/>
        </w:rPr>
        <w:t>Relevant Products</w:t>
      </w:r>
      <w:r>
        <w:rPr>
          <w:rFonts w:ascii="Times New Roman" w:hAnsi="Times New Roman"/>
          <w:sz w:val="20"/>
        </w:rPr>
        <w:t xml:space="preserve">”), taking into account all relevant commercial, financial, technical, legal, scientific or medical factors, including safety, tolerability and efficacy, product profile, the competitiveness of other products in development in the marketplace, manufacturing and supply chain management considerations, the proprietary position of the Relevant Products (including with respect to patent or regulatory exclusivity), and the regulatory structure involved. For clarity, “Commercially Reasonable Efforts” shall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for a given Holder, an amount equal to the product of (a) (i) with respect to the Supportive-Care Product CVRs, an amount equal to ninety-five percent (95%) of the Net Proceeds actually received, without duplication, pursuant to the Supportive-Care Product Agreement by a Payment Obligor from or on behalf of any Supportive-Care Product Counterparty, or (ii) with respect to the Legacy Product CVRs, an amount equal to eighty percent (80%) of the Net Proceeds actually received, without duplication, pursuant to any Legacy Product Agreement by any Payment Obligor from or on behalf of any Legacy Product Counterparty, and (b) (i) the total number of CVRs entitled to receive such Net Proceeds held by such Holder divided by (ii) the total number of CVRs entitled to receive such Net Proceeds held by all Holders as each is reflected on the CVR Register as of the close of business on the date prior to the date of payment. </w:t>
      </w:r>
    </w:p>
    <w:p>
      <w:pPr>
        <w:pStyle w:val="TextBody"/>
        <w:bidi w:val="0"/>
        <w:spacing w:before="240" w:after="0"/>
        <w:jc w:val="left"/>
        <w:rPr/>
      </w:pPr>
      <w:r>
        <w:rPr/>
        <w:t>“</w:t>
      </w:r>
      <w:r>
        <w:rPr>
          <w:rFonts w:ascii="Times New Roman" w:hAnsi="Times New Roman"/>
          <w:b/>
          <w:sz w:val="20"/>
        </w:rPr>
        <w:t>CVR Payment Date</w:t>
      </w:r>
      <w:r>
        <w:rPr>
          <w:rFonts w:ascii="Times New Roman" w:hAnsi="Times New Roman"/>
          <w:sz w:val="20"/>
        </w:rPr>
        <w:t xml:space="preserve">” means no later than thirty (30) days following the receipt of Gross Proceeds by any Payment Obligor, pursuant to which Net Proceeds are payable to the Holders. </w:t>
      </w:r>
    </w:p>
    <w:p>
      <w:pPr>
        <w:pStyle w:val="TextBody"/>
        <w:bidi w:val="0"/>
        <w:spacing w:before="240" w:after="0"/>
        <w:jc w:val="left"/>
        <w:rPr/>
      </w:pPr>
      <w:r>
        <w:rPr/>
        <w:t>“</w:t>
      </w:r>
      <w:r>
        <w:rPr>
          <w:rFonts w:ascii="Times New Roman" w:hAnsi="Times New Roman"/>
          <w:b/>
          <w:sz w:val="20"/>
        </w:rPr>
        <w:t>CVR Period</w:t>
      </w:r>
      <w:r>
        <w:rPr>
          <w:rFonts w:ascii="Times New Roman" w:hAnsi="Times New Roman"/>
          <w:sz w:val="20"/>
        </w:rPr>
        <w:t xml:space="preserve">” means the Legacy Product CVR Period or Supportive-Care CVR Period, as applicable. </w:t>
      </w:r>
    </w:p>
    <w:p>
      <w:pPr>
        <w:pStyle w:val="TextBody"/>
        <w:bidi w:val="0"/>
        <w:spacing w:before="240" w:after="0"/>
        <w:jc w:val="left"/>
        <w:rPr/>
      </w:pPr>
      <w:r>
        <w:rPr/>
        <w:t>“</w:t>
      </w:r>
      <w:r>
        <w:rPr>
          <w:rFonts w:ascii="Times New Roman" w:hAnsi="Times New Roman"/>
          <w:b/>
          <w:sz w:val="20"/>
        </w:rPr>
        <w:t>CVR Product</w:t>
      </w:r>
      <w:r>
        <w:rPr>
          <w:rFonts w:ascii="Times New Roman" w:hAnsi="Times New Roman"/>
          <w:sz w:val="20"/>
        </w:rPr>
        <w:t xml:space="preserve">” means each Legacy Product and each Supportive-Care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CVR Product Agreement</w:t>
      </w:r>
      <w:r>
        <w:rPr>
          <w:rFonts w:ascii="Times New Roman" w:hAnsi="Times New Roman"/>
          <w:sz w:val="20"/>
        </w:rPr>
        <w:t xml:space="preserve">” means each of a Legacy Product Agreement and the Supportive-Care Product Agreement. </w:t>
      </w:r>
    </w:p>
    <w:p>
      <w:pPr>
        <w:pStyle w:val="TextBody"/>
        <w:bidi w:val="0"/>
        <w:spacing w:before="240" w:after="0"/>
        <w:jc w:val="left"/>
        <w:rPr/>
      </w:pPr>
      <w:r>
        <w:rPr/>
        <w:t>“</w:t>
      </w:r>
      <w:r>
        <w:rPr>
          <w:rFonts w:ascii="Times New Roman" w:hAnsi="Times New Roman"/>
          <w:b/>
          <w:sz w:val="20"/>
        </w:rPr>
        <w:t>CVRs</w:t>
      </w:r>
      <w:r>
        <w:rPr>
          <w:rFonts w:ascii="Times New Roman" w:hAnsi="Times New Roman"/>
          <w:sz w:val="20"/>
        </w:rPr>
        <w:t xml:space="preserve">” means the Supportive-Care Product CVRs and the Legacy Product CVRs, as applicable.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JP Morgan Chase Bank, or any successor thereto.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or any successor thereto.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means the Legacy Product Expiration Date or Supportive-Care Product Expiration Date, as applicable.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with respect to a CVR Product(s) for any Calendar Quarter, the sum of all Cash and Cash Equivalents actually paid to the relevant Payment Obligor or received by any Payment Obligor under the applicable CVR Product Agreement during the applicable CVR Period and attributable to the CVR Product(s); </w:t>
      </w:r>
      <w:r>
        <w:rPr>
          <w:rFonts w:ascii="Times New Roman" w:hAnsi="Times New Roman"/>
          <w:i/>
          <w:sz w:val="20"/>
        </w:rPr>
        <w:t xml:space="preserve">provided that </w:t>
      </w:r>
      <w:r>
        <w:rPr>
          <w:rFonts w:ascii="Times New Roman" w:hAnsi="Times New Roman"/>
          <w:sz w:val="20"/>
        </w:rPr>
        <w:t xml:space="preserve">the following shall be excluded from Gross Proceeds: (a) any amount paid by a Supportive-Care Product Counterparty or Legacy Product Counterparty, as applicable, for the conduct of research, development or manufacturing activities pursuant to a </w:t>
      </w:r>
      <w:r>
        <w:rPr>
          <w:rFonts w:ascii="Times New Roman" w:hAnsi="Times New Roman"/>
          <w:i/>
          <w:sz w:val="20"/>
        </w:rPr>
        <w:t>bona fide</w:t>
      </w:r>
      <w:r>
        <w:rPr>
          <w:rFonts w:ascii="Times New Roman" w:hAnsi="Times New Roman"/>
          <w:sz w:val="20"/>
        </w:rPr>
        <w:t xml:space="preserve"> research or development plan or supply agreement or amounts to reimburse or pay third parties for the cost of research, development or manufacturing activities being conducted by a third party on behalf of Parent, Galera or any other Affiliate of Parent; (b) loan proceeds paid to any Payment Obligor by a Supportive-Care Product Counterparty or Legacy Product Counterparty; (c) any amounts paid by a Supportive-Care Product Counterparty or a Legacy Product Counterparty for payment or reimbursement of patent prosecution, defense, enforcement and maintenance and other related expenses and (d) any consideration received by a Payment Obligor under a CVR Product Agreement after the applicable Expiration Date. For the avoidance of doubt, the value of any securities (whether debt or equity) or other non-cash property received by any Payment Obligor shall not constitute Gross Proceeds unless and until converted into Cash and Cash Equivalents.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b/>
          <w:sz w:val="20"/>
        </w:rPr>
        <w:t>Legacy IP Rights</w:t>
      </w:r>
      <w:r>
        <w:rPr>
          <w:rFonts w:ascii="Times New Roman" w:hAnsi="Times New Roman"/>
          <w:sz w:val="20"/>
        </w:rPr>
        <w:t xml:space="preserve">” means all Galera IP Rights that (i) are necessary or reasonably useful to develop, commercialize or otherwise exploit any Legacy Product and (ii) were not divested pursuant to the Supportive-Care Product Agreement. </w:t>
      </w:r>
    </w:p>
    <w:p>
      <w:pPr>
        <w:pStyle w:val="TextBody"/>
        <w:bidi w:val="0"/>
        <w:spacing w:before="240" w:after="0"/>
        <w:jc w:val="left"/>
        <w:rPr/>
      </w:pPr>
      <w:r>
        <w:rPr/>
        <w:t>“</w:t>
      </w:r>
      <w:r>
        <w:rPr>
          <w:rFonts w:ascii="Times New Roman" w:hAnsi="Times New Roman"/>
          <w:b/>
          <w:sz w:val="20"/>
        </w:rPr>
        <w:t>Legacy Product</w:t>
      </w:r>
      <w:r>
        <w:rPr>
          <w:rFonts w:ascii="Times New Roman" w:hAnsi="Times New Roman"/>
          <w:sz w:val="20"/>
        </w:rPr>
        <w:t>” means any pharmaceutical product containing the small molecule known as tilarganine (“</w:t>
      </w:r>
      <w:r>
        <w:rPr>
          <w:rFonts w:ascii="Times New Roman" w:hAnsi="Times New Roman"/>
          <w:b/>
          <w:sz w:val="20"/>
        </w:rPr>
        <w:t>tilarganine</w:t>
      </w:r>
      <w:r>
        <w:rPr>
          <w:rFonts w:ascii="Times New Roman" w:hAnsi="Times New Roman"/>
          <w:sz w:val="20"/>
        </w:rPr>
        <w:t xml:space="preserve">”) and any pharmaceutically acceptable salt, polymorph, crystal form, prodrug or solvate thereof that the manufacture, use or sale of which would, absent a license thereto, infringe the claim of any patent right within the Legacy IP Rights that covers the composition of matter for tilarganine. </w:t>
      </w:r>
    </w:p>
    <w:p>
      <w:pPr>
        <w:pStyle w:val="TextBody"/>
        <w:bidi w:val="0"/>
        <w:spacing w:before="240" w:after="0"/>
        <w:jc w:val="left"/>
        <w:rPr/>
      </w:pPr>
      <w:r>
        <w:rPr/>
        <w:t>“</w:t>
      </w:r>
      <w:r>
        <w:rPr>
          <w:rFonts w:ascii="Times New Roman" w:hAnsi="Times New Roman"/>
          <w:b/>
          <w:sz w:val="20"/>
        </w:rPr>
        <w:t>Legacy Product Agreement</w:t>
      </w:r>
      <w:r>
        <w:rPr>
          <w:rFonts w:ascii="Times New Roman" w:hAnsi="Times New Roman"/>
          <w:sz w:val="20"/>
        </w:rPr>
        <w:t xml:space="preserve">” means any agreement or series of agreements entered into during the Legacy Product CVR Period between, on the one hand, Parent, Galera, Obsidian or any other Affiliate of Parent, and, on the other hand, any other Person, under which Parent, Galera, Obsidian or any other Affiliate of Parent exclusively licenses, sells, assigns, transfers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divests any Legacy IP Rights to develop and commercialize any Legacy Product(s). For clarity, a Legacy Product Agreement does not include an agreement or series of agreements entered into following the Closing between Parent, Galera, Obsidian or any other Affiliate of Parent, on the one hand, and a counterparty to an Legacy Product Agreement, on the other hand, to acquire Parent or a successor-in-interest to Parent. </w:t>
      </w:r>
    </w:p>
    <w:p>
      <w:pPr>
        <w:pStyle w:val="TextBody"/>
        <w:bidi w:val="0"/>
        <w:spacing w:before="240" w:after="0"/>
        <w:jc w:val="left"/>
        <w:rPr/>
      </w:pPr>
      <w:r>
        <w:rPr/>
        <w:t>“</w:t>
      </w:r>
      <w:r>
        <w:rPr>
          <w:rFonts w:ascii="Times New Roman" w:hAnsi="Times New Roman"/>
          <w:b/>
          <w:sz w:val="20"/>
        </w:rPr>
        <w:t>Legacy Product Counterparty</w:t>
      </w:r>
      <w:r>
        <w:rPr>
          <w:rFonts w:ascii="Times New Roman" w:hAnsi="Times New Roman"/>
          <w:sz w:val="20"/>
        </w:rPr>
        <w:t xml:space="preserve">” means any Person that is party to any Legacy Product Agreement, other than Parent, Galera, Obsidian or any other Affiliate of Parent. </w:t>
      </w:r>
    </w:p>
    <w:p>
      <w:pPr>
        <w:pStyle w:val="TextBody"/>
        <w:bidi w:val="0"/>
        <w:spacing w:before="240" w:after="0"/>
        <w:jc w:val="left"/>
        <w:rPr/>
      </w:pPr>
      <w:r>
        <w:rPr/>
        <w:t>“</w:t>
      </w:r>
      <w:r>
        <w:rPr>
          <w:rFonts w:ascii="Times New Roman" w:hAnsi="Times New Roman"/>
          <w:b/>
          <w:sz w:val="20"/>
        </w:rPr>
        <w:t>Legacy Product CVRs</w:t>
      </w:r>
      <w:r>
        <w:rPr>
          <w:rFonts w:ascii="Times New Roman" w:hAnsi="Times New Roman"/>
          <w:sz w:val="20"/>
        </w:rPr>
        <w:t xml:space="preserve">” means the right to receive contingent cash payments with respect to a Legacy Product Agreement pursuant to this Agreement and the Merger Agreement. </w:t>
      </w:r>
    </w:p>
    <w:p>
      <w:pPr>
        <w:pStyle w:val="TextBody"/>
        <w:bidi w:val="0"/>
        <w:spacing w:before="240" w:after="0"/>
        <w:jc w:val="left"/>
        <w:rPr/>
      </w:pPr>
      <w:r>
        <w:rPr/>
        <w:t>“</w:t>
      </w:r>
      <w:r>
        <w:rPr>
          <w:rFonts w:ascii="Times New Roman" w:hAnsi="Times New Roman"/>
          <w:b/>
          <w:sz w:val="20"/>
        </w:rPr>
        <w:t>Legacy Product CVR Period</w:t>
      </w:r>
      <w:r>
        <w:rPr>
          <w:rFonts w:ascii="Times New Roman" w:hAnsi="Times New Roman"/>
          <w:sz w:val="20"/>
        </w:rPr>
        <w:t xml:space="preserve">” means the period beginning on the Closing Date and ending on the Legacy Product Expiration Date. </w:t>
      </w:r>
    </w:p>
    <w:p>
      <w:pPr>
        <w:pStyle w:val="TextBody"/>
        <w:bidi w:val="0"/>
        <w:spacing w:before="240" w:after="0"/>
        <w:jc w:val="left"/>
        <w:rPr/>
      </w:pPr>
      <w:r>
        <w:rPr/>
        <w:t>“</w:t>
      </w:r>
      <w:r>
        <w:rPr>
          <w:rFonts w:ascii="Times New Roman" w:hAnsi="Times New Roman"/>
          <w:b/>
          <w:sz w:val="20"/>
        </w:rPr>
        <w:t>Legacy Product Expiration Date</w:t>
      </w:r>
      <w:r>
        <w:rPr>
          <w:rFonts w:ascii="Times New Roman" w:hAnsi="Times New Roman"/>
          <w:sz w:val="20"/>
        </w:rPr>
        <w:t xml:space="preserve">” means the fifth (5th) anniversary of the Closing Date.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each CVR Product Agreement for each Calendar Quarter during the applicable CVR Period, the Gross Proceeds minus Permitted Deductions, as calculated in a manner consistent with GAAP. For clarity, if any of the applicable Gross Proceeds or Permitted Deduction are not in U.S. dollars, currency conversion to U.S. dollars shall be made by using the exchange rate prevailing at the Depositary or its successor entity on the date of receipt of such Gross Proceeds or date of payment of relevant Permitted Deductions, as applicable.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Parent, in his or her capacity as such an officer, and delivered to the Rights Agent. </w:t>
      </w:r>
    </w:p>
    <w:p>
      <w:pPr>
        <w:pStyle w:val="TextBody"/>
        <w:bidi w:val="0"/>
        <w:spacing w:before="240" w:after="0"/>
        <w:jc w:val="left"/>
        <w:rPr/>
      </w:pPr>
      <w:r>
        <w:rPr/>
        <w:t>“</w:t>
      </w:r>
      <w:r>
        <w:rPr>
          <w:rFonts w:ascii="Times New Roman" w:hAnsi="Times New Roman"/>
          <w:b/>
          <w:sz w:val="20"/>
        </w:rPr>
        <w:t>Payment Obligor</w:t>
      </w:r>
      <w:r>
        <w:rPr>
          <w:rFonts w:ascii="Times New Roman" w:hAnsi="Times New Roman"/>
          <w:sz w:val="20"/>
        </w:rPr>
        <w:t xml:space="preserve">” means Parent or any other Affiliate of Parent, or any of their respective successors (including any Assignee) or Affiliates.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without duplication of any deductions listed below or exclusions from Gross Proceeds, the following costs or expenses with respect to a particular Calendar Quarter, for each CVR Product Agreement, to the extent actually paid or remitted by, and not otherwise reimbursed to, a Payment Obligor: </w:t>
      </w:r>
    </w:p>
    <w:p>
      <w:pPr>
        <w:pStyle w:val="TextBody"/>
        <w:bidi w:val="0"/>
        <w:spacing w:before="240" w:after="0"/>
        <w:jc w:val="left"/>
        <w:rPr>
          <w:rFonts w:ascii="Times New Roman" w:hAnsi="Times New Roman"/>
          <w:sz w:val="20"/>
        </w:rPr>
      </w:pPr>
      <w:r>
        <w:rPr>
          <w:rFonts w:ascii="Times New Roman" w:hAnsi="Times New Roman"/>
          <w:sz w:val="20"/>
        </w:rPr>
        <w:t xml:space="preserve">(a) any applicable Taxes (including any applicable value added or sales taxes) imposed on Gross Proceeds and payable by Parent or any of its Affiliates and any income or other Taxes payable by Parent or any of its Affiliates that would not have been incurred by Parent or its Affiliates but for the Gross Proceeds having been received or accrued by Parent or its Affiliates (in each case, regardless of the due date of such Taxes); provided that for purposes of calculating income Taxes payable by Parent or its Affiliates in respect of the Gross Proceeds, any such income Taxes shall be computed after taking into account any net operating loss carryforwards or other Tax attributes (including Tax credits) of Galera or its Affiliates as of the Closing Date prior to the Galera Effective Time that are available to offset such gain after taking into account any limits of the usability of such attributes, including under Section 382 of the Code as reasonably determined by a nationally recognized tax advisor (and for the sake of clarity such income Taxes shall be calculated without taking into account any net operating losses or other Tax attributes generated by Parent or its Affiliates after the Galera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reasonable and documented internal and out-of-pocket costs and expenses incurred by Parent or any of its Affiliates reasonably allocable to the applicable CVR Product(s) in respect of a CVR Product Agreement, including technology transfer costs, litigation costs, contractual expenses or any costs in respect of head licenses for sublicensed technology and the development or prosecution, maintenance or enforcement by Parent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incurred by Parent or its Affiliates in performing such activity under such CVR Product Agreement, determined in accordance with GAAP,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and (iii) any recovery or allocation of capital expenditures or capitalized costs; </w:t>
      </w:r>
    </w:p>
    <w:p>
      <w:pPr>
        <w:pStyle w:val="TextBody"/>
        <w:bidi w:val="0"/>
        <w:spacing w:before="240" w:after="0"/>
        <w:jc w:val="left"/>
        <w:rPr>
          <w:rFonts w:ascii="Times New Roman" w:hAnsi="Times New Roman"/>
          <w:sz w:val="20"/>
        </w:rPr>
      </w:pPr>
      <w:r>
        <w:rPr>
          <w:rFonts w:ascii="Times New Roman" w:hAnsi="Times New Roman"/>
          <w:sz w:val="20"/>
        </w:rPr>
        <w:t xml:space="preserve">(c) solely with respect to the Legacy Products, any reasonable and documented out-of-pocket costs and expenses incurred by Parent or any of its Affiliates in connection with business development related efforts with respect to the Legacy Product(s), including any Right’s Agent fee, any brokerage fee, finder’s fee, opinion fee, success fee, transaction fee, service fee or other fee, commission or expense owed to any broker, finder, investment bank, auditor, accountant, counsel, advisor or other third party in relation thereto (but excluding any costs or expenses previously deducted from Gross Proceeds); and </w:t>
      </w:r>
    </w:p>
    <w:p>
      <w:pPr>
        <w:pStyle w:val="TextBody"/>
        <w:bidi w:val="0"/>
        <w:spacing w:before="240" w:after="0"/>
        <w:jc w:val="left"/>
        <w:rPr>
          <w:rFonts w:ascii="Times New Roman" w:hAnsi="Times New Roman"/>
          <w:sz w:val="20"/>
        </w:rPr>
      </w:pPr>
      <w:r>
        <w:rPr>
          <w:rFonts w:ascii="Times New Roman" w:hAnsi="Times New Roman"/>
          <w:sz w:val="20"/>
        </w:rPr>
        <w:t xml:space="preserve">(d) any reasonable and documented out-of-pocket maintenance costs related to the relevant CVRs or the relevant CVR Product(s) (including fees and expenses related to the Rights Agent).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or a transfer from a participant’s account in a tax-qualified employee benefit plan to the participant or to such participant’s account in a different tax-qualified employee benefit plan or to a tax-qualified individual retirement account for the benefit of such participant; or (g) to Parent for any or no consideration. </w:t>
      </w:r>
    </w:p>
    <w:p>
      <w:pPr>
        <w:pStyle w:val="TextBody"/>
        <w:bidi w:val="0"/>
        <w:spacing w:before="240" w:after="0"/>
        <w:jc w:val="left"/>
        <w:rPr/>
      </w:pPr>
      <w:r>
        <w:rPr/>
        <w:t>“</w:t>
      </w:r>
      <w:r>
        <w:rPr>
          <w:rFonts w:ascii="Times New Roman" w:hAnsi="Times New Roman"/>
          <w:b/>
          <w:sz w:val="20"/>
        </w:rPr>
        <w:t>Requisite Holders</w:t>
      </w:r>
      <w:r>
        <w:rPr>
          <w:rFonts w:ascii="Times New Roman" w:hAnsi="Times New Roman"/>
          <w:sz w:val="20"/>
        </w:rPr>
        <w:t xml:space="preserve">” means the Holders holding not less than fifty percent (50%) of the then-outstanding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Supportive-Care Compounds</w:t>
      </w:r>
      <w:r>
        <w:rPr>
          <w:rFonts w:ascii="Times New Roman" w:hAnsi="Times New Roman"/>
          <w:sz w:val="20"/>
        </w:rPr>
        <w:t>” means (a) the small molecule known as GC4419 (“</w:t>
      </w:r>
      <w:r>
        <w:rPr>
          <w:rFonts w:ascii="Times New Roman" w:hAnsi="Times New Roman"/>
          <w:b/>
          <w:sz w:val="20"/>
        </w:rPr>
        <w:t>GC4419</w:t>
      </w:r>
      <w:r>
        <w:rPr>
          <w:rFonts w:ascii="Times New Roman" w:hAnsi="Times New Roman"/>
          <w:sz w:val="20"/>
        </w:rPr>
        <w:t>”), (b) the small molecule known as GC4711 (“</w:t>
      </w:r>
      <w:r>
        <w:rPr>
          <w:rFonts w:ascii="Times New Roman" w:hAnsi="Times New Roman"/>
          <w:b/>
          <w:sz w:val="20"/>
        </w:rPr>
        <w:t>GC4711</w:t>
      </w:r>
      <w:r>
        <w:rPr>
          <w:rFonts w:ascii="Times New Roman" w:hAnsi="Times New Roman"/>
          <w:sz w:val="20"/>
        </w:rPr>
        <w:t xml:space="preserve">”), and (c) any other small molecule owned or controlled by Galera prior to the execution of the Supportive-Care Product Agreement, the manufacture, use or sale of which would, absent a license thereto, infringe the claim of any patent right that covers the composition of matter for GC4419 or GC4711, and with respect to (a), (b) and (c), any pharmaceutically acceptable salt, polymorph, crystal form, prodrug or solvate thereof. </w:t>
      </w:r>
    </w:p>
    <w:p>
      <w:pPr>
        <w:pStyle w:val="TextBody"/>
        <w:bidi w:val="0"/>
        <w:spacing w:before="240" w:after="0"/>
        <w:jc w:val="left"/>
        <w:rPr/>
      </w:pPr>
      <w:r>
        <w:rPr/>
        <w:t>“</w:t>
      </w:r>
      <w:r>
        <w:rPr>
          <w:rFonts w:ascii="Times New Roman" w:hAnsi="Times New Roman"/>
          <w:b/>
          <w:sz w:val="20"/>
        </w:rPr>
        <w:t>Supportive-Care Product</w:t>
      </w:r>
      <w:r>
        <w:rPr>
          <w:rFonts w:ascii="Times New Roman" w:hAnsi="Times New Roman"/>
          <w:sz w:val="20"/>
        </w:rPr>
        <w:t xml:space="preserve">” means any pharmaceutical product owned and controlled by the Supportive-Care Product Counterparty containing any Supportive-Care Compound. </w:t>
      </w:r>
    </w:p>
    <w:p>
      <w:pPr>
        <w:pStyle w:val="TextBody"/>
        <w:bidi w:val="0"/>
        <w:spacing w:before="240" w:after="0"/>
        <w:jc w:val="left"/>
        <w:rPr/>
      </w:pPr>
      <w:r>
        <w:rPr/>
        <w:t>“</w:t>
      </w:r>
      <w:r>
        <w:rPr>
          <w:rFonts w:ascii="Times New Roman" w:hAnsi="Times New Roman"/>
          <w:b/>
          <w:sz w:val="20"/>
        </w:rPr>
        <w:t>Supportive-Care Product Agreement</w:t>
      </w:r>
      <w:r>
        <w:rPr>
          <w:rFonts w:ascii="Times New Roman" w:hAnsi="Times New Roman"/>
          <w:sz w:val="20"/>
        </w:rPr>
        <w:t xml:space="preserve">” means that certain Asset Purchase and Sale Agreement, dated as of October 15, 2025, by and among Galera and its Affiliate named therein and the Supportive-Care Product Counterparty, as may be amended from time to time, pursuant to which Galera sold, transferred and assigned to Supportive-Care Product Counterparty all right, title and interest in and to the assets exclusively related to the Supportive-Care Compounds. </w:t>
      </w:r>
    </w:p>
    <w:p>
      <w:pPr>
        <w:pStyle w:val="TextBody"/>
        <w:bidi w:val="0"/>
        <w:spacing w:before="240" w:after="0"/>
        <w:jc w:val="left"/>
        <w:rPr/>
      </w:pPr>
      <w:r>
        <w:rPr/>
        <w:t>“</w:t>
      </w:r>
      <w:r>
        <w:rPr>
          <w:rFonts w:ascii="Times New Roman" w:hAnsi="Times New Roman"/>
          <w:b/>
          <w:sz w:val="20"/>
        </w:rPr>
        <w:t>Supportive-Care Product Counterparty</w:t>
      </w:r>
      <w:r>
        <w:rPr>
          <w:rFonts w:ascii="Times New Roman" w:hAnsi="Times New Roman"/>
          <w:sz w:val="20"/>
        </w:rPr>
        <w:t xml:space="preserve">” means Biossil Inc., its Affiliate and its or their successors, or any assignee, transferee or acquirer of the Supportive-Care Products following the date hereof. </w:t>
      </w:r>
    </w:p>
    <w:p>
      <w:pPr>
        <w:pStyle w:val="TextBody"/>
        <w:bidi w:val="0"/>
        <w:spacing w:before="240" w:after="0"/>
        <w:jc w:val="left"/>
        <w:rPr/>
      </w:pPr>
      <w:r>
        <w:rPr/>
        <w:t>“</w:t>
      </w:r>
      <w:r>
        <w:rPr>
          <w:rFonts w:ascii="Times New Roman" w:hAnsi="Times New Roman"/>
          <w:b/>
          <w:sz w:val="20"/>
        </w:rPr>
        <w:t>Supportive-Care Product CVRs</w:t>
      </w:r>
      <w:r>
        <w:rPr>
          <w:rFonts w:ascii="Times New Roman" w:hAnsi="Times New Roman"/>
          <w:sz w:val="20"/>
        </w:rPr>
        <w:t xml:space="preserve">” means the right to receive contingent cash payments with respect to the Supportive-Care Product Agreement pursuant to this Agreement and the Merger Agreement. </w:t>
      </w:r>
    </w:p>
    <w:p>
      <w:pPr>
        <w:pStyle w:val="TextBody"/>
        <w:bidi w:val="0"/>
        <w:spacing w:before="240" w:after="0"/>
        <w:jc w:val="left"/>
        <w:rPr/>
      </w:pPr>
      <w:r>
        <w:rPr/>
        <w:t>“</w:t>
      </w:r>
      <w:r>
        <w:rPr>
          <w:rFonts w:ascii="Times New Roman" w:hAnsi="Times New Roman"/>
          <w:b/>
          <w:sz w:val="20"/>
        </w:rPr>
        <w:t>Supportive-Care Product CVR Period</w:t>
      </w:r>
      <w:r>
        <w:rPr>
          <w:rFonts w:ascii="Times New Roman" w:hAnsi="Times New Roman"/>
          <w:sz w:val="20"/>
        </w:rPr>
        <w:t xml:space="preserve">” means the period beginning on the Closing Date and ending on the Supportive-Care Product Expiration Date. </w:t>
      </w:r>
    </w:p>
    <w:p>
      <w:pPr>
        <w:pStyle w:val="TextBody"/>
        <w:bidi w:val="0"/>
        <w:spacing w:before="240" w:after="0"/>
        <w:jc w:val="left"/>
        <w:rPr/>
      </w:pPr>
      <w:r>
        <w:rPr/>
        <w:t>“</w:t>
      </w:r>
      <w:r>
        <w:rPr>
          <w:rFonts w:ascii="Times New Roman" w:hAnsi="Times New Roman"/>
          <w:b/>
          <w:sz w:val="20"/>
        </w:rPr>
        <w:t>Supportive-Care Product Expiration Date</w:t>
      </w:r>
      <w:r>
        <w:rPr>
          <w:rFonts w:ascii="Times New Roman" w:hAnsi="Times New Roman"/>
          <w:sz w:val="20"/>
        </w:rPr>
        <w:t xml:space="preserve">” means the tenth (10th)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 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Parent, Galera or its or their successor or their Affiliates under any Legacy Product Agreement or Supportive-Care Product Agreement that would constitute a CVR Payment Amount by more than de minimis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 Appointment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provided in the Merger Agreement, each Holder is entitled to (i) one Legacy Product CVR for each share of Galera Common Stock issued and outstanding immediately prior to the Galera Effective Time and (ii) one Supportive-Care Product CVR for each share of Galera Common Stock issued and outstanding immediately prior to the Galera Effective Time (in each case, less applicable withholding Taxes). Each Legacy Product CVR represents the contingent right of a Holder to receive the CVR Payment Amount with respect to the Legacy Product Agreement, divided by the number of then-outstanding Legacy Product CVRs pursuant to this Agreement, to be paid in accordance with this Agreement. Each Supportive-Care Product CVR represents the contingent right of a Holder to receive the CVR Payment Amount with respect to the Supportive-Care Product CVR with respect to the Supportive-Care Product Agreement, divided by the number of then-outstanding Legacy Product CVRs pursuant to this Agreement, to be paid in accordance with this Agreement. The initial Holders will be determined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Parent hereby appoints the Rights Agent to act as rights agent for Parent as contemplated hereby in accordance with the express terms and conditions set forth in this Agreement (and no implied terms or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hAnsi="Times New Roman"/>
          <w:i/>
          <w:sz w:val="20"/>
        </w:rPr>
        <w:t xml:space="preserve">ab initio </w:t>
      </w:r>
      <w:r>
        <w:rPr>
          <w:rFonts w:ascii="Times New Roman" w:hAnsi="Times New Roman"/>
          <w:sz w:val="20"/>
        </w:rPr>
        <w:t xml:space="preserve">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be issued in book entry format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will keep a register (the “</w:t>
      </w:r>
      <w:r>
        <w:rPr>
          <w:rFonts w:ascii="Times New Roman" w:hAnsi="Times New Roman"/>
          <w:b/>
          <w:sz w:val="20"/>
        </w:rPr>
        <w:t>CVR Register</w:t>
      </w:r>
      <w:r>
        <w:rPr>
          <w:rFonts w:ascii="Times New Roman" w:hAnsi="Times New Roman"/>
          <w:sz w:val="20"/>
        </w:rPr>
        <w:t xml:space="preserve">”) for the purpose of registering CVRs and transfers of CVRs as permitted herein. The CVR Register will initially show one position for Cede &amp; Co. representing all the shares of Galera Common Stock held by DTC on behalf of the street name holders or beneficial owners of the shares of Galera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hAnsi="Times New Roman"/>
          <w:sz w:val="20"/>
          <w:u w:val="single"/>
        </w:rPr>
        <w:t>Section 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w:t>
      </w:r>
      <w:r>
        <w:rPr>
          <w:rFonts w:ascii="Times New Roman" w:hAnsi="Times New Roman"/>
          <w:sz w:val="20"/>
        </w:rPr>
        <w:t xml:space="preserve">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No service charge shall be made for any registration of transfer of a CVR, but Parent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Legacy Product Agreement is entered into during the Legacy Product CVR Period, then Parent shall promptly deliver to the Rights Agent written notice indicating that a Legacy Product Agreement has been entered into and a copy of the Legacy Product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(b) On or before each CVR Payment Date, with respect to any CVR Product Agreement, Parent will deliver to the Rights Agent (i) a notice (in each case, a “</w:t>
      </w:r>
      <w:r>
        <w:rPr>
          <w:rFonts w:ascii="Times New Roman" w:hAnsi="Times New Roman"/>
          <w:b/>
          <w:sz w:val="20"/>
        </w:rPr>
        <w:t>CVR Payment Notice</w:t>
      </w:r>
      <w:r>
        <w:rPr>
          <w:rFonts w:ascii="Times New Roman" w:hAnsi="Times New Roman"/>
          <w:sz w:val="20"/>
        </w:rPr>
        <w:t xml:space="preserve">”) indicating (A) that the Holders are entitled to receive one or more payments with respect to Net Proceeds from the applicable CVR Product Agreement, (B) the source and trigger event for such payment of such Net Proceeds under the applicable CVR Product Agreement, and (C) a detailed calculation of such Gross Proceeds, Net Proceeds and any Permitted Deductions, with reasonable supporting detail for such Permitted Deductions, as applicable, (ii) an Officer’s Certificate certifying such calculation and (iii) any letter of instruction reasonably required by the Rights Agent. On or before any CVR Payment Date, Parent shall, in accordance with </w:t>
      </w:r>
      <w:r>
        <w:rPr>
          <w:rFonts w:ascii="Times New Roman" w:hAnsi="Times New Roman"/>
          <w:sz w:val="20"/>
          <w:u w:val="single"/>
        </w:rPr>
        <w:t>Section 4.2</w:t>
      </w:r>
      <w:r>
        <w:rPr>
          <w:rFonts w:ascii="Times New Roman" w:hAnsi="Times New Roman"/>
          <w:sz w:val="20"/>
        </w:rPr>
        <w:t xml:space="preserve">, transfer to the Rights Agent by wire transfer of immediately available funds to an account designated by the Rights Agent an amount of cash equal to the applicable CVR Payment Amount for such CVR Payment Date payable to the Holders on account of all CVRs in respect of such Net Proceeds under the applicable CVR Product Agreement. All payments made by Parent hereunder shall be made in U.S. dollars. For the avoidance of doubt, Parent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Parent’s obligations set forth in this </w:t>
      </w:r>
      <w:r>
        <w:rPr>
          <w:rFonts w:ascii="Times New Roman" w:hAnsi="Times New Roman"/>
          <w:sz w:val="20"/>
          <w:u w:val="single"/>
        </w:rPr>
        <w:t>Section 2.4(b)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Rights Agent will promptly, and in any event within ten (10) Business Days of receipt of any CVR Payment Notice (each such date, a “</w:t>
      </w:r>
      <w:r>
        <w:rPr>
          <w:rFonts w:ascii="Times New Roman" w:hAnsi="Times New Roman"/>
          <w:b/>
          <w:sz w:val="20"/>
        </w:rPr>
        <w:t>CVR Notice Date</w:t>
      </w:r>
      <w:r>
        <w:rPr>
          <w:rFonts w:ascii="Times New Roman" w:hAnsi="Times New Roman"/>
          <w:sz w:val="20"/>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CVR Product Agreement, </w:t>
      </w:r>
      <w:r>
        <w:rPr>
          <w:rFonts w:ascii="Times New Roman" w:hAnsi="Times New Roman"/>
          <w:i/>
          <w:sz w:val="20"/>
        </w:rPr>
        <w:t>divided by</w:t>
      </w:r>
      <w:r>
        <w:rPr>
          <w:rFonts w:ascii="Times New Roman" w:hAnsi="Times New Roman"/>
          <w:sz w:val="20"/>
        </w:rPr>
        <w:t xml:space="preserve"> (ii) the then-outstanding number of Legacy Product CVRs or Supportive-Care Product CVRs, as applicable, held by all Holders, and “B” equals the number of Legacy Product CVRs or Supportive-Care Product CVRs, as applicable, held by such Holder as reflected on the CVR Register, by check mailed to the address of each Holder as reflected in the CVR Register, in each case, as of the close of business on the last Business Day prior to such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any Permitted Deductions, Parent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Parent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 </w:t>
      </w:r>
    </w:p>
    <w:p>
      <w:pPr>
        <w:pStyle w:val="TextBody"/>
        <w:bidi w:val="0"/>
        <w:spacing w:before="240" w:after="0"/>
        <w:jc w:val="left"/>
        <w:rPr>
          <w:rFonts w:ascii="Times New Roman" w:hAnsi="Times New Roman"/>
          <w:sz w:val="20"/>
        </w:rPr>
      </w:pPr>
      <w:r>
        <w:rPr>
          <w:rFonts w:ascii="Times New Roman" w:hAnsi="Times New Roman"/>
          <w:sz w:val="20"/>
        </w:rPr>
        <w:t xml:space="preserve">(e) Any portion of any CVR Payment Amount that remains undistributed to the Holders six (6) months after an applicable CVR Notice Date will be delivered by the Rights Agent to Parent, upon demand, and any Holder will thereafter look only to Parent for payment of such CVR Payment Amount,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Rights Agent will be liable to any person in respect of any CVR Payment Amount delivered to a public official pursuant to any applicable abandoned property, escheat or similar Law. If, despite Parent’s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Parent, free and clear of all claims or interest of any person previously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the extent permitted by applicable Law, the Parties agree to treat the CVRs received with respect to the Galera Common Stock pursuant to the Merger Agreement for all U.S. federal and applicable state and local income Tax purposes as additional consideration paid with respect to such Galera Common Stock in connection with the Galera Merger.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 in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240" w:after="0"/>
        <w:jc w:val="left"/>
        <w:rPr>
          <w:rFonts w:ascii="Times New Roman" w:hAnsi="Times New Roman"/>
          <w:sz w:val="20"/>
        </w:rPr>
      </w:pPr>
      <w:r>
        <w:rPr>
          <w:rFonts w:ascii="Times New Roman" w:hAnsi="Times New Roman"/>
          <w:sz w:val="20"/>
        </w:rPr>
        <w:t xml:space="preserve">(b) The CVRs will not represent any equity or ownership interest in Parent or in any constituent company to the Merger. The sole right of the Holders to receive property hereunder is the right to receive CVR Payment Amount, if any,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or its directors and officers nor Obsidian or its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(d) It is further acknowledged and agreed that neither Obsidian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without consideration therefor. Nothing in this Agreement is intended to prohibit Parent or any of its Affiliates from offering to acquire or acquiring CVRs for consideration from the Holders, in private transactions or otherwise, in its sole discretion. Any CVRs acquired by Parent or any of its Affiliates (including Obsidian) shall be automatically deemed extinguished and no longer outstanding or entitled to the CVR Payment Amount for purposes of this Agreement, or to count for the purpose of any vote or determination of the Holders for purposes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3.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such Events of Default which may have occurred, the Rights Agent will not have any liability for any actions taken or not taken 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(b) 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Parent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Parent agrees (i) to pay the fees and expenses of the Rights Agent in connection with this Agreement in accordance with Schedule 3.2, or as otherwise agreed upon in writing by Rights Agent and Parent,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Parent for all reasonable, necessary and documented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Parent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Parent has the right to remove Rights Agent at any time by a Board Resolution specifying a date when such removal will take effect. Notice of such removal will be given by Parent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Rights Agent provides notice of its intent to resign, is removed or becomes incapable of acting, Parent, by a Board Resolution, will promptly appoint a qualified successor Rights Agent in accordance with </w:t>
      </w:r>
      <w:r>
        <w:rPr>
          <w:rFonts w:ascii="Times New Roman" w:hAnsi="Times New Roman"/>
          <w:sz w:val="20"/>
          <w:u w:val="single"/>
        </w:rPr>
        <w:t>Section 3.3(d)</w:t>
      </w:r>
      <w:r>
        <w:rPr>
          <w:rFonts w:ascii="Times New Roman" w:hAnsi="Times New Roman"/>
          <w:sz w:val="20"/>
        </w:rPr>
        <w:t xml:space="preserve"> and who may not be an Affiliate (including a director or officer) of Parent.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hAnsi="Times New Roman"/>
          <w:sz w:val="20"/>
          <w:u w:val="single"/>
        </w:rPr>
        <w:t>Section 3.3(b)</w:t>
      </w:r>
      <w:r>
        <w:rPr>
          <w:rFonts w:ascii="Times New Roman" w:hAnsi="Times New Roman"/>
          <w:sz w:val="20"/>
        </w:rPr>
        <w:t xml:space="preserve"> will,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Parent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the successor Rights Agent will cause the notice to be mailed at the expense of Parent. Failure to give any notice provided for in this </w:t>
      </w:r>
      <w:r>
        <w:rPr>
          <w:rFonts w:ascii="Times New Roman" w:hAnsi="Times New Roman"/>
          <w:sz w:val="20"/>
          <w:u w:val="single"/>
        </w:rPr>
        <w:t>Section 3.3(c)</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Requisite Holders, Parent shall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and duties of the retiring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4. COVENANTS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List of Holders</w:t>
      </w:r>
      <w:r>
        <w:rPr>
          <w:rFonts w:ascii="Times New Roman" w:hAnsi="Times New Roman"/>
          <w:sz w:val="20"/>
        </w:rPr>
        <w:t xml:space="preserve">. Parent will furnish or cause to be furnished to the Rights Agent in such form as Parent receives from the Parent’s transfer agent (or other agent performing similar services for the Parent) and in a form reasonably satisfactory to the Rights Agent, the names and addresses of the Holders within fifteen (15) Business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Payment of CVR Payment Amounts</w:t>
      </w:r>
      <w:r>
        <w:rPr>
          <w:rFonts w:ascii="Times New Roman" w:hAnsi="Times New Roman"/>
          <w:sz w:val="20"/>
        </w:rPr>
        <w:t xml:space="preserve">. Parent will promptly deposit with the Rights Agent, for payment to each Holder, the applicable CVR Payment Amount, if any, prior to or on the applicable CVR Notice Date.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Commercially Reasonable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Following the Closing and during the Legacy Product CVR Period, Parent shall, and it shall cause its Affiliates to, use Commercially Reasonable Efforts to enter into a Legacy Product Agreement. Neither Parent nor Obsidian shall, and they shall cause their Affiliates not to, take any action or forego taking any action for the primary purpose of delaying, preventing or minimizing the CVR Payment Amounts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Closing and for two (2) years thereafter, Parent shall, and it shall cause its Affiliates to, use Commercially Reasonable Efforts to continue to develop and seek regulatory approval for tilarganine.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foregoing, Parent may appoint an advisor reasonably acceptable to the Requisite Holders to assist in (i) the marketing or sale of the Galera Legacy Assets, (ii) the performance of any obligations or enforcement of any rights under any agreement relating to the sale of the Galera Legacy Assets or (iii) the conversion of non-cash proceeds into Cash or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Records</w:t>
      </w:r>
      <w:r>
        <w:rPr>
          <w:rFonts w:ascii="Times New Roman" w:hAnsi="Times New Roman"/>
          <w:sz w:val="20"/>
        </w:rPr>
        <w:t xml:space="preserve">. During the applicable CVR Period for each CVRs, Parent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CVR Product Agreement for such CVRs in sufficient detail to permit the Holders to confirm all CVR Payment Amounts in the applicable CVR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Audit and Information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thirty (30) days after June 30 and December 31 each Calendar Year during the applicable CVR Period for each CVRs, Parent shall prepare and deliver to the Rights Agent a high-level written report summarizing (i) the performance of, and significant activity related to, the CVR Product Agreements (including status updates on negotiations related to potential Legacy Product Agreements not yet executed and the conduct of any material development and commercialization activities pertaining to the Legacy Products following the Closing Date) and (ii) any CVR Payment Amounts paid or payable (including expectations around upcoming payments and the timing thereof). </w:t>
      </w:r>
    </w:p>
    <w:p>
      <w:pPr>
        <w:pStyle w:val="TextBody"/>
        <w:bidi w:val="0"/>
        <w:spacing w:before="240" w:after="0"/>
        <w:jc w:val="left"/>
        <w:rPr>
          <w:rFonts w:ascii="Times New Roman" w:hAnsi="Times New Roman"/>
          <w:sz w:val="20"/>
        </w:rPr>
      </w:pPr>
      <w:r>
        <w:rPr>
          <w:rFonts w:ascii="Times New Roman" w:hAnsi="Times New Roman"/>
          <w:sz w:val="20"/>
        </w:rPr>
        <w:t>(b) At any time during the term of this Agreement or the three (3)-year period following the date of the termination of this Agreement, upon reasonable advance written notice from the Requisite Holders, Parent shall permit an independent certified public accounting firm of nationally recognized standing selected by such Holders and reasonably acceptable to Parent (the “</w:t>
      </w:r>
      <w:r>
        <w:rPr>
          <w:rFonts w:ascii="Times New Roman" w:hAnsi="Times New Roman"/>
          <w:b/>
          <w:sz w:val="20"/>
        </w:rPr>
        <w:t>Independent Accountant</w:t>
      </w:r>
      <w:r>
        <w:rPr>
          <w:rFonts w:ascii="Times New Roman" w:hAnsi="Times New Roman"/>
          <w:sz w:val="20"/>
        </w:rPr>
        <w:t xml:space="preserve">”) to have access at reasonable times during normal business hours to the books and records of Parent and its Affiliates as may be reasonably necessary to evaluate and verify any of the Payment Obligor’s receipt, categorization and accuracy of payments received under any CVR Product Agreement and the CVR Payment Amounts hereunder; </w:t>
      </w:r>
      <w:r>
        <w:rPr>
          <w:rFonts w:ascii="Times New Roman" w:hAnsi="Times New Roman"/>
          <w:i/>
          <w:sz w:val="20"/>
        </w:rPr>
        <w:t>provided</w:t>
      </w:r>
      <w:r>
        <w:rPr>
          <w:rFonts w:ascii="Times New Roman" w:hAnsi="Times New Roman"/>
          <w:sz w:val="20"/>
        </w:rPr>
        <w:t xml:space="preserve"> that (x) such Holders (and, if applicable, the Independent Accountant) enter into customary confidentiality agreements reasonably satisfactory to Parent with respect to the confidential information of Parent or its Affiliates to be furnished pursuant to this </w:t>
      </w:r>
      <w:r>
        <w:rPr>
          <w:rFonts w:ascii="Times New Roman" w:hAnsi="Times New Roman"/>
          <w:sz w:val="20"/>
          <w:u w:val="single"/>
        </w:rPr>
        <w:t>Section 4.5(b)</w:t>
      </w:r>
      <w:r>
        <w:rPr>
          <w:rFonts w:ascii="Times New Roman" w:hAnsi="Times New Roman"/>
          <w:sz w:val="20"/>
        </w:rPr>
        <w:t xml:space="preserve"> and (y) such access does not unreasonably interfere with the conduct of the business of Parent or any of its Affiliates. The Independent Accountant shall act only as an expert and not as an arbitrator. The fees charged by the Independent Accountant shall be borne by such Holders, unless such audit identifies an aggregate underpayment by Parent of the CVR Payment Amounts owed to Holders by more than five percent (5%), in which case such fees shall be paid by Parent. The Independent Accountant shall provide Parent with a copy of all disclosures made to such Holders. The decision of the Independent Accountant shall be final, conclusive and binding on Parent and the Holders, shall be nonappealable and shall not be subject to further review, absent manifest error. Parent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plus interest at the thirty (30) day U.S. dollar “prime rate” effective for the date such payment was due, as reported by Bloomberg, from when such CVR Payment Amount should have been paid, to the date of actual payment. An audit shall not be requested more frequently than once each calendar year and no Calendar Quarter shall be subject to more than one audit; </w:t>
      </w:r>
      <w:r>
        <w:rPr>
          <w:rFonts w:ascii="Times New Roman" w:hAnsi="Times New Roman"/>
          <w:i/>
          <w:sz w:val="20"/>
        </w:rPr>
        <w:t>provided</w:t>
      </w:r>
      <w:r>
        <w:rPr>
          <w:rFonts w:ascii="Times New Roman" w:hAnsi="Times New Roman"/>
          <w:sz w:val="20"/>
        </w:rPr>
        <w:t xml:space="preserve"> that, no audit may be requested more than three (3) years following expiration of the CVR Period for the applicable CVRs. </w:t>
      </w:r>
    </w:p>
    <w:p>
      <w:pPr>
        <w:pStyle w:val="TextBody"/>
        <w:bidi w:val="0"/>
        <w:spacing w:before="360" w:after="0"/>
        <w:jc w:val="left"/>
        <w:rPr>
          <w:rFonts w:ascii="Times New Roman" w:hAnsi="Times New Roman"/>
          <w:b/>
          <w:sz w:val="20"/>
        </w:rPr>
      </w:pPr>
      <w:r>
        <w:rPr>
          <w:rFonts w:ascii="Times New Roman" w:hAnsi="Times New Roman"/>
          <w:b/>
          <w:sz w:val="20"/>
        </w:rPr>
        <w:t xml:space="preserve">5. AMENDMENTS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or the Rights Agent, Parent, when authorized by a Board Resolution, at any time and from time to time, may enter into one or more amendments hereto, to evidence any successor to or permitted assignee of Parent and the assumption by any such successor or permitted assignee of the covenants of Parent herein as provided in </w:t>
      </w:r>
      <w:r>
        <w:rPr>
          <w:rFonts w:ascii="Times New Roman" w:hAnsi="Times New Roman"/>
          <w:sz w:val="20"/>
          <w:u w:val="single"/>
        </w:rPr>
        <w:t>Section 7.3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the consent of any Holders, Parent, when authorized by a Board Resolution, and the Rights Agent, in the Rights Agent’s sole and absolute discretion, at any time and from time to time, may enter into one or more amendments hereto, for any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(i) to evidence the succession of another Person as a successor Rights Agent in accordance with </w:t>
      </w:r>
      <w:r>
        <w:rPr>
          <w:rFonts w:ascii="Times New Roman" w:hAnsi="Times New Roman"/>
          <w:sz w:val="20"/>
          <w:u w:val="single"/>
        </w:rPr>
        <w:t>Section 3</w:t>
      </w:r>
      <w:r>
        <w:rPr>
          <w:rFonts w:ascii="Times New Roman" w:hAnsi="Times New Roman"/>
          <w:sz w:val="20"/>
        </w:rPr>
        <w:t xml:space="preserve"> and the assumption by any successor of the covenants and obligations of the Rights Agent herein; </w:t>
      </w:r>
    </w:p>
    <w:p>
      <w:pPr>
        <w:pStyle w:val="TextBody"/>
        <w:bidi w:val="0"/>
        <w:spacing w:before="240" w:after="0"/>
        <w:jc w:val="left"/>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and the Rights Agent will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or </w:t>
      </w:r>
    </w:p>
    <w:p>
      <w:pPr>
        <w:pStyle w:val="TextBody"/>
        <w:bidi w:val="0"/>
        <w:spacing w:before="240" w:after="0"/>
        <w:jc w:val="left"/>
        <w:rPr>
          <w:rFonts w:ascii="Times New Roman" w:hAnsi="Times New Roman"/>
          <w:sz w:val="20"/>
        </w:rPr>
      </w:pPr>
      <w:r>
        <w:rPr>
          <w:rFonts w:ascii="Times New Roman" w:hAnsi="Times New Roman"/>
          <w:sz w:val="20"/>
        </w:rPr>
        <w:t xml:space="preserve">(v) any other amendments hereto for the purpose of adding, eliminating or changing any provisions of this Agreement, unless such addition, elimination or change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Parent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Requisite Holders, whether evidenced in writing or taken at a meeting of the Holders, Parent, when authorized by a Board Resolution, and the Rights Agent may enter into one or more amendments hereto for the purpose of adding, eliminating or changing any provisions of this Agreement, even if such addition, elimination or change is adverse to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will mail (or cause the Rights Agent to mail) a notice thereof by first class mail to the Holders at their addresses as they appear on the CVR Register, setting forth in general terms the substance of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As a condition precedent to the execution of any supplement or amendment to this Agreement, the Parent shall deliver the Rights Agent a certificate from an appropriate officer of the Parent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and the Rights Agent shall execute such supplement or amendment. No supplement or amendment to this Agreement shall be effective unless duly executed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Section 5</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6. REMEDIES OF THE HOLDERS; OTHER CONSENT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An “</w:t>
      </w:r>
      <w:r>
        <w:rPr>
          <w:rFonts w:ascii="Times New Roman" w:hAnsi="Times New Roman"/>
          <w:b/>
          <w:sz w:val="20"/>
        </w:rPr>
        <w:t>Event of Default</w:t>
      </w:r>
      <w:r>
        <w:rPr>
          <w:rFonts w:ascii="Times New Roman" w:hAnsi="Times New Roman"/>
          <w:sz w:val="20"/>
        </w:rPr>
        <w:t xml:space="preserve">” with respect to a CVR means each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(a) default in the performance by Parent of its obligation to transfer cash equal to the applicable CVR Payment Amount to the Rights Agent in accordance with </w:t>
      </w:r>
      <w:r>
        <w:rPr>
          <w:rFonts w:ascii="Times New Roman" w:hAnsi="Times New Roman"/>
          <w:sz w:val="20"/>
          <w:u w:val="single"/>
        </w:rPr>
        <w:t>Section 2.4(b)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by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hAnsi="Times New Roman"/>
          <w:i/>
          <w:sz w:val="20"/>
        </w:rPr>
        <w:t>provided</w:t>
      </w:r>
      <w:r>
        <w:rPr>
          <w:rFonts w:ascii="Times New Roman" w:hAnsi="Times New Roman"/>
          <w:sz w:val="20"/>
        </w:rPr>
        <w:t xml:space="preserve"> that, the Rights Agent shall provide to Parent and the Holders reasonably concurrent notice of such commencement. For the avoidance of doubt, any legal proceeding commenced in accordance with this </w:t>
      </w:r>
      <w:r>
        <w:rPr>
          <w:rFonts w:ascii="Times New Roman" w:hAnsi="Times New Roman"/>
          <w:sz w:val="20"/>
          <w:u w:val="single"/>
        </w:rPr>
        <w:t>Section 6.2(a)</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has occurred and is continuing (i.e., has not been cured or waived), the Rights Agent may in its discretion proceed to protect and enforce the rights vested in it by this Agreement by commencing a legal proceeding; </w:t>
      </w:r>
      <w:r>
        <w:rPr>
          <w:rFonts w:ascii="Times New Roman" w:hAnsi="Times New Roman"/>
          <w:i/>
          <w:sz w:val="20"/>
        </w:rPr>
        <w:t>provided</w:t>
      </w:r>
      <w:r>
        <w:rPr>
          <w:rFonts w:ascii="Times New Roman" w:hAnsi="Times New Roman"/>
          <w:sz w:val="20"/>
        </w:rPr>
        <w:t xml:space="preserve"> that, the Rights Agent shall provide to Parent and the Holders reasonably concurrent notice of such commencement. For the avoidance of doubt, any legal proceeding commenced in accordance with this </w:t>
      </w:r>
      <w:r>
        <w:rPr>
          <w:rFonts w:ascii="Times New Roman" w:hAnsi="Times New Roman"/>
          <w:sz w:val="20"/>
          <w:u w:val="single"/>
        </w:rPr>
        <w:t>Section 6.2(b)</w:t>
      </w:r>
      <w:r>
        <w:rPr>
          <w:rFonts w:ascii="Times New Roman" w:hAnsi="Times New Roman"/>
          <w:sz w:val="20"/>
        </w:rPr>
        <w:t xml:space="preserve"> shall be subject to the provisions of </w:t>
      </w:r>
      <w:r>
        <w:rPr>
          <w:rFonts w:ascii="Times New Roman" w:hAnsi="Times New Roman"/>
          <w:sz w:val="20"/>
          <w:u w:val="single"/>
        </w:rPr>
        <w:t>Section 7.6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 OTHER PROVISIONS OF GENERAL APPLICATION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Rights Agent and Parent</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Actions </w:t>
      </w:r>
    </w:p>
    <w:p>
      <w:pPr>
        <w:pStyle w:val="TextBody"/>
        <w:bidi w:val="0"/>
        <w:spacing w:before="0" w:after="0"/>
        <w:jc w:val="left"/>
        <w:rPr>
          <w:rFonts w:ascii="Times New Roman" w:hAnsi="Times New Roman"/>
          <w:sz w:val="20"/>
        </w:rPr>
      </w:pPr>
      <w:r>
        <w:rPr>
          <w:rFonts w:ascii="Times New Roman" w:hAnsi="Times New Roman"/>
          <w:sz w:val="20"/>
        </w:rPr>
        <w:t xml:space="preserve">Email Address: ReorgRM@Equiniti.com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Address: LegalTeamUS@equiniti.com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Obsidian, to it at: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jfeder@obsidiantx.com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Collins; Gabriela Morales-Rivera; Tevia K. Pollard </w:t>
      </w:r>
    </w:p>
    <w:p>
      <w:pPr>
        <w:pStyle w:val="TextBody"/>
        <w:bidi w:val="0"/>
        <w:spacing w:before="0" w:after="0"/>
        <w:jc w:val="left"/>
        <w:rPr>
          <w:rFonts w:ascii="Times New Roman" w:hAnsi="Times New Roman"/>
          <w:sz w:val="20"/>
        </w:rPr>
      </w:pPr>
      <w:r>
        <w:rPr>
          <w:rFonts w:ascii="Times New Roman" w:hAnsi="Times New Roman"/>
          <w:sz w:val="20"/>
        </w:rPr>
        <w:t xml:space="preserve">Email: WCollins@goodwinlaw.com; GMoralesRivera@goodwinlaw.com; </w:t>
      </w:r>
    </w:p>
    <w:p>
      <w:pPr>
        <w:pStyle w:val="TextBody"/>
        <w:bidi w:val="0"/>
        <w:spacing w:before="0" w:after="0"/>
        <w:jc w:val="left"/>
        <w:rPr>
          <w:rFonts w:ascii="Times New Roman" w:hAnsi="Times New Roman"/>
          <w:sz w:val="20"/>
        </w:rPr>
      </w:pPr>
      <w:r>
        <w:rPr>
          <w:rFonts w:ascii="Times New Roman" w:hAnsi="Times New Roman"/>
          <w:sz w:val="20"/>
        </w:rPr>
        <w:t xml:space="preserve">TPollard@goodwinlaw.com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Agent, Obsidian or Parent may specify a different address or email address by giving notice to each other in accordance with this </w:t>
      </w:r>
      <w:r>
        <w:rPr>
          <w:rFonts w:ascii="Times New Roman" w:hAnsi="Times New Roman"/>
          <w:sz w:val="20"/>
          <w:u w:val="single"/>
        </w:rPr>
        <w:t>Section 7.1</w:t>
      </w:r>
      <w:r>
        <w:rPr>
          <w:rFonts w:ascii="Times New Roman" w:hAnsi="Times New Roman"/>
          <w:sz w:val="20"/>
        </w:rPr>
        <w:t xml:space="preserve"> and to the Holders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Successors and Assigns</w:t>
      </w:r>
      <w:r>
        <w:rPr>
          <w:rFonts w:ascii="Times New Roman" w:hAnsi="Times New Roman"/>
          <w:sz w:val="20"/>
        </w:rPr>
        <w:t>. Parent may assign, in its sole discretion and without the consent of any other party, any or all of its rights, interests and obligations hereunder to one or more direct or indirect wholly-owned subsidiaries of Parent for so long as they remain wholly owned subsidiaries of Parent or to an assignee of all of Parent’s (on a consolidated basis) rights under any CVR Product Agreement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hAnsi="Times New Roman"/>
          <w:i/>
          <w:sz w:val="20"/>
        </w:rPr>
        <w:t>provided</w:t>
      </w:r>
      <w:r>
        <w:rPr>
          <w:rFonts w:ascii="Times New Roman" w:hAnsi="Times New Roman"/>
          <w:sz w:val="20"/>
        </w:rPr>
        <w:t xml:space="preserve"> that, Parent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Parent (or any of its successors) shall not consolidate or merge with or into any other Person (other than a merger or consolidation where Parent is the surviving corporation) other than pursuant to a Change of Control of Parent and provided that Parent shall cause the acquirer to assume Parent’s obligations, duties and covenants under this Agreement. Except as otherwise permitted herein, Parent may not assign this Agreement without the prior written consent of the Requisite Holders. Any attempted assignment of this Agreement or any of such rights in violation of this </w:t>
      </w:r>
      <w:r>
        <w:rPr>
          <w:rFonts w:ascii="Times New Roman" w:hAnsi="Times New Roman"/>
          <w:sz w:val="20"/>
          <w:u w:val="single"/>
        </w:rPr>
        <w:t>Section 7.3</w:t>
      </w:r>
      <w:r>
        <w:rPr>
          <w:rFonts w:ascii="Times New Roman" w:hAnsi="Times New Roman"/>
          <w:sz w:val="20"/>
        </w:rPr>
        <w:t xml:space="preserve"> shall be void and of no effect. The Rights Agent may not assign this Agreement without Parent’s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Benefits of Agreement</w:t>
      </w:r>
      <w:r>
        <w:rPr>
          <w:rFonts w:ascii="Times New Roman" w:hAnsi="Times New Roman"/>
          <w:sz w:val="20"/>
        </w:rPr>
        <w:t xml:space="preserve">. Parent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Parent, Parent’s successors and permitted 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Parent, Parent’s successors and permitted assignees, and the Holders and their respective successors and permitted assignees. The rights of Holders are limited to those expressly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No Third Party Beneficiaries</w:t>
      </w:r>
      <w:r>
        <w:rPr>
          <w:rFonts w:ascii="Times New Roman" w:hAnsi="Times New Roman"/>
          <w:sz w:val="20"/>
        </w:rPr>
        <w:t xml:space="preserve">. Nothing in this Agreement, express or implied, shall give to any Person (other than the Rights Agent, Parent, Parent’s successors and Assignees, each of whom is intended to be, and is, a third party beneficiary hereunder; </w:t>
      </w:r>
      <w:r>
        <w:rPr>
          <w:rFonts w:ascii="Times New Roman" w:hAnsi="Times New Roman"/>
          <w:i/>
          <w:sz w:val="20"/>
        </w:rPr>
        <w:t>provided</w:t>
      </w:r>
      <w:r>
        <w:rPr>
          <w:rFonts w:ascii="Times New Roman" w:hAnsi="Times New Roman"/>
          <w:sz w:val="20"/>
        </w:rPr>
        <w:t xml:space="preserve"> that, the Holders shall be considered third party beneficiaries solely to the extent set forth in </w:t>
      </w:r>
      <w:r>
        <w:rPr>
          <w:rFonts w:ascii="Times New Roman" w:hAnsi="Times New Roman"/>
          <w:sz w:val="20"/>
          <w:u w:val="single"/>
        </w:rPr>
        <w:t>Section 6</w:t>
      </w:r>
      <w:r>
        <w:rPr>
          <w:rFonts w:ascii="Times New Roman" w:hAnsi="Times New Roman"/>
          <w:sz w:val="20"/>
        </w:rPr>
        <w:t xml:space="preserve">) any benefit or any legal or equitable right, remedy or claim under this Agreement or under any covenant or provision herein contained, all such covenants and provisions being for the sole benefit of the Rights Agent, Parent, Parent’s successors and Assignees, and the Holders (solely to the extent set forth in </w:t>
      </w:r>
      <w:r>
        <w:rPr>
          <w:rFonts w:ascii="Times New Roman" w:hAnsi="Times New Roman"/>
          <w:sz w:val="20"/>
          <w:u w:val="single"/>
        </w:rPr>
        <w:t>Section 6</w:t>
      </w:r>
      <w:r>
        <w:rPr>
          <w:rFonts w:ascii="Times New Roman" w:hAnsi="Times New Roman"/>
          <w:sz w:val="20"/>
        </w:rPr>
        <w:t xml:space="preserve">). The Holders of CVRs shall have no rights except the contractual rights as are expressly set forth in this Agreement acting through the Rights Agent and subject to the provisions of </w:t>
      </w:r>
      <w:r>
        <w:rPr>
          <w:rFonts w:ascii="Times New Roman" w:hAnsi="Times New Roman"/>
          <w:sz w:val="20"/>
          <w:u w:val="single"/>
        </w:rPr>
        <w:t>Section 7.4</w:t>
      </w:r>
      <w:r>
        <w:rPr>
          <w:rFonts w:ascii="Times New Roman" w:hAnsi="Times New Roman"/>
          <w:sz w:val="20"/>
        </w:rPr>
        <w:t xml:space="preserve"> above unless (i) 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w:t>
      </w:r>
      <w:r>
        <w:rPr>
          <w:rFonts w:ascii="Times New Roman" w:hAnsi="Times New Roman"/>
          <w:sz w:val="20"/>
          <w:u w:val="single"/>
        </w:rPr>
        <w:t>Section 6.2(a)</w:t>
      </w:r>
      <w:r>
        <w:rPr>
          <w:rFonts w:ascii="Times New Roman" w:hAnsi="Times New Roman"/>
          <w:sz w:val="20"/>
        </w:rPr>
        <w:t xml:space="preserve">. Notwithstanding any other provision in this Agreement, the right of any Holder of any CVR to receive payment of the amounts that a CVR Payment Notice indicates are payable in respect of such CVR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the Parent, individual Holders shall be entitled to assert claims in such insolvency proceeding and take related actions in pursuit of such claims with respect to any payment that may be claimed by or on behalf of the Parent or by any creditor of the Parent.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Governing Law</w:t>
      </w:r>
      <w:r>
        <w:rPr>
          <w:rFonts w:ascii="Times New Roman" w:hAnsi="Times New Roman"/>
          <w:sz w:val="20"/>
        </w:rPr>
        <w:t xml:space="preserve">.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REGARDS TO THE CONFLICTS OF LAW PRINCIPLES OF SUCH STATE,.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Termination</w:t>
      </w:r>
      <w:r>
        <w:rPr>
          <w:rFonts w:ascii="Times New Roman" w:hAnsi="Times New Roman"/>
          <w:sz w:val="20"/>
        </w:rPr>
        <w:t xml:space="preserve">. Except as otherwise provided in </w:t>
      </w:r>
      <w:r>
        <w:rPr>
          <w:rFonts w:ascii="Times New Roman" w:hAnsi="Times New Roman"/>
          <w:sz w:val="20"/>
          <w:u w:val="single"/>
        </w:rPr>
        <w:t>Sections 2.4(f)</w:t>
      </w:r>
      <w:r>
        <w:rPr>
          <w:rFonts w:ascii="Times New Roman" w:hAnsi="Times New Roman"/>
          <w:sz w:val="20"/>
        </w:rPr>
        <w:t xml:space="preserve"> and </w:t>
      </w:r>
      <w:r>
        <w:rPr>
          <w:rFonts w:ascii="Times New Roman" w:hAnsi="Times New Roman"/>
          <w:sz w:val="20"/>
          <w:u w:val="single"/>
        </w:rPr>
        <w:t>4.5</w:t>
      </w:r>
      <w:r>
        <w:rPr>
          <w:rFonts w:ascii="Times New Roman" w:hAnsi="Times New Roman"/>
          <w:sz w:val="20"/>
        </w:rPr>
        <w:t>, this Agreement will be terminated and of no force or effect, the parties hereto will have no liability hereunder, and no payments will be required to be made, upon the earlier to occur of (a) the termination of the Merger Agreement in accordance with its terms and (b) forty-five (45) days after the applicable Expiration Date (</w:t>
      </w:r>
      <w:r>
        <w:rPr>
          <w:rFonts w:ascii="Times New Roman" w:hAnsi="Times New Roman"/>
          <w:i/>
          <w:sz w:val="20"/>
        </w:rPr>
        <w:t>provided</w:t>
      </w:r>
      <w:r>
        <w:rPr>
          <w:rFonts w:ascii="Times New Roman" w:hAnsi="Times New Roman"/>
          <w:sz w:val="20"/>
        </w:rPr>
        <w:t xml:space="preserve"> that, the foregoing shall not affect or limit the obligations of Parent or the Rights Agent to pay or otherwise with respect to any CVR Payment Amount payable during the applicable CVR Period, and the provisions of this Agreement applicable thereto shall survive any expiration or termination of this Agreement). In no event will any CVR Payment Amount become payable for any consideration received by the Parent, Obsidian, Galera or any of its other Affiliates, under a CVR Product Agreement after the applicable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hAnsi="Times New Roman"/>
          <w:sz w:val="20"/>
          <w:u w:val="single"/>
        </w:rPr>
        <w:t>Section 7.1</w:t>
      </w:r>
      <w:r>
        <w:rPr>
          <w:rFonts w:ascii="Times New Roman" w:hAnsi="Times New Roman"/>
          <w:sz w:val="20"/>
        </w:rPr>
        <w:t xml:space="preserve"> through </w:t>
      </w:r>
      <w:r>
        <w:rPr>
          <w:rFonts w:ascii="Times New Roman" w:hAnsi="Times New Roman"/>
          <w:sz w:val="20"/>
          <w:u w:val="single"/>
        </w:rPr>
        <w:t>Section 7.10</w:t>
      </w:r>
      <w:r>
        <w:rPr>
          <w:rFonts w:ascii="Times New Roman" w:hAnsi="Times New Roman"/>
          <w:sz w:val="20"/>
        </w:rPr>
        <w:t xml:space="preserve">, which shall survive the termination of this Agreement, or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10"/>
        <w:gridCol w:w="103"/>
        <w:gridCol w:w="2269"/>
      </w:tblGrid>
      <w:tr>
        <w:trPr/>
        <w:tc>
          <w:tcPr>
            <w:tcW w:w="171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GAZELLE PARENT, INC.</w:t>
            </w:r>
          </w:p>
        </w:tc>
      </w:tr>
      <w:tr>
        <w:trPr>
          <w:trHeight w:val="240" w:hRule="atLeast"/>
        </w:trPr>
        <w:tc>
          <w:tcPr>
            <w:tcW w:w="1710" w:type="dxa"/>
            <w:tcBorders/>
            <w:vAlign w:val="center"/>
          </w:tcPr>
          <w:p>
            <w:pPr>
              <w:pStyle w:val="TableContents"/>
              <w:bidi w:val="0"/>
              <w:spacing w:before="0" w:after="283"/>
              <w:jc w:val="left"/>
              <w:rPr>
                <w:sz w:val="4"/>
                <w:szCs w:val="4"/>
              </w:rPr>
            </w:pPr>
            <w:r>
              <w:rPr>
                <w:sz w:val="4"/>
                <w:szCs w:val="4"/>
              </w:rPr>
            </w:r>
          </w:p>
        </w:tc>
        <w:tc>
          <w:tcPr>
            <w:tcW w:w="2372" w:type="dxa"/>
            <w:gridSpan w:val="2"/>
            <w:tcBorders/>
            <w:vAlign w:val="center"/>
          </w:tcPr>
          <w:p>
            <w:pPr>
              <w:pStyle w:val="TableContents"/>
              <w:bidi w:val="0"/>
              <w:spacing w:before="0" w:after="283"/>
              <w:jc w:val="left"/>
              <w:rPr>
                <w:sz w:val="4"/>
                <w:szCs w:val="4"/>
              </w:rPr>
            </w:pPr>
            <w:r>
              <w:rPr>
                <w:sz w:val="4"/>
                <w:szCs w:val="4"/>
              </w:rPr>
            </w:r>
          </w:p>
        </w:tc>
      </w:tr>
      <w:tr>
        <w:trPr/>
        <w:tc>
          <w:tcPr>
            <w:tcW w:w="1710"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Name: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Title: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1710" w:type="dxa"/>
            <w:tcBorders/>
            <w:vAlign w:val="center"/>
          </w:tcPr>
          <w:p>
            <w:pPr>
              <w:pStyle w:val="TableContents"/>
              <w:bidi w:val="0"/>
              <w:spacing w:before="0" w:after="283"/>
              <w:jc w:val="left"/>
              <w:rPr>
                <w:sz w:val="4"/>
                <w:szCs w:val="4"/>
              </w:rPr>
            </w:pPr>
            <w:r>
              <w:rPr>
                <w:sz w:val="4"/>
                <w:szCs w:val="4"/>
              </w:rPr>
            </w:r>
          </w:p>
        </w:tc>
        <w:tc>
          <w:tcPr>
            <w:tcW w:w="2372" w:type="dxa"/>
            <w:gridSpan w:val="2"/>
            <w:tcBorders/>
            <w:vAlign w:val="center"/>
          </w:tcPr>
          <w:p>
            <w:pPr>
              <w:pStyle w:val="TableContents"/>
              <w:bidi w:val="0"/>
              <w:spacing w:before="0" w:after="283"/>
              <w:jc w:val="left"/>
              <w:rPr>
                <w:sz w:val="4"/>
                <w:szCs w:val="4"/>
              </w:rPr>
            </w:pPr>
            <w:r>
              <w:rPr>
                <w:sz w:val="4"/>
                <w:szCs w:val="4"/>
              </w:rPr>
            </w:r>
          </w:p>
        </w:tc>
      </w:tr>
      <w:tr>
        <w:trPr/>
        <w:tc>
          <w:tcPr>
            <w:tcW w:w="1710"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Name: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Title: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w:t>
            </w:r>
          </w:p>
        </w:tc>
      </w:tr>
      <w:tr>
        <w:trPr>
          <w:trHeight w:val="240" w:hRule="atLeast"/>
        </w:trPr>
        <w:tc>
          <w:tcPr>
            <w:tcW w:w="1710" w:type="dxa"/>
            <w:tcBorders/>
            <w:vAlign w:val="center"/>
          </w:tcPr>
          <w:p>
            <w:pPr>
              <w:pStyle w:val="TableContents"/>
              <w:bidi w:val="0"/>
              <w:spacing w:before="0" w:after="283"/>
              <w:jc w:val="left"/>
              <w:rPr>
                <w:sz w:val="4"/>
                <w:szCs w:val="4"/>
              </w:rPr>
            </w:pPr>
            <w:r>
              <w:rPr>
                <w:sz w:val="4"/>
                <w:szCs w:val="4"/>
              </w:rPr>
            </w:r>
          </w:p>
        </w:tc>
        <w:tc>
          <w:tcPr>
            <w:tcW w:w="2372" w:type="dxa"/>
            <w:gridSpan w:val="2"/>
            <w:tcBorders/>
            <w:vAlign w:val="center"/>
          </w:tcPr>
          <w:p>
            <w:pPr>
              <w:pStyle w:val="TableContents"/>
              <w:bidi w:val="0"/>
              <w:spacing w:before="0" w:after="283"/>
              <w:jc w:val="left"/>
              <w:rPr>
                <w:sz w:val="4"/>
                <w:szCs w:val="4"/>
              </w:rPr>
            </w:pPr>
            <w:r>
              <w:rPr>
                <w:sz w:val="4"/>
                <w:szCs w:val="4"/>
              </w:rPr>
            </w:r>
          </w:p>
        </w:tc>
      </w:tr>
      <w:tr>
        <w:trPr/>
        <w:tc>
          <w:tcPr>
            <w:tcW w:w="1710"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Name: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r>
        <w:trPr/>
        <w:tc>
          <w:tcPr>
            <w:tcW w:w="1710" w:type="dxa"/>
            <w:tcBorders/>
          </w:tcPr>
          <w:p>
            <w:pPr>
              <w:pStyle w:val="TableContents"/>
              <w:bidi w:val="0"/>
              <w:spacing w:before="0" w:after="283"/>
              <w:jc w:val="left"/>
              <w:rPr/>
            </w:pPr>
            <w:r>
              <w:rPr/>
              <w:t>Title:</w:t>
            </w:r>
          </w:p>
        </w:tc>
        <w:tc>
          <w:tcPr>
            <w:tcW w:w="103" w:type="dxa"/>
            <w:tcBorders/>
            <w:vAlign w:val="bottom"/>
          </w:tcPr>
          <w:p>
            <w:pPr>
              <w:pStyle w:val="TableContents"/>
              <w:bidi w:val="0"/>
              <w:spacing w:before="0" w:after="283"/>
              <w:jc w:val="left"/>
              <w:rPr/>
            </w:pPr>
            <w:r>
              <w:rPr/>
              <w:t> </w:t>
            </w:r>
          </w:p>
        </w:tc>
        <w:tc>
          <w:tcPr>
            <w:tcW w:w="2269"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Contingent Value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3.2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Fee Schedule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Rights Agent Fees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Rights Agent will charge the following amounts to act as the Rights Agent, maintain records for the Holders and make cash distributions associated with the CVRs.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4"/>
        <w:gridCol w:w="298"/>
        <w:gridCol w:w="142"/>
        <w:gridCol w:w="922"/>
        <w:gridCol w:w="63"/>
      </w:tblGrid>
      <w:tr>
        <w:trPr/>
        <w:tc>
          <w:tcPr>
            <w:tcW w:w="5514"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CVR Agent Acceptance and onboarding Fee</w:t>
            </w:r>
          </w:p>
        </w:tc>
        <w:tc>
          <w:tcPr>
            <w:tcW w:w="29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7,500.00</w:t>
            </w:r>
          </w:p>
        </w:tc>
        <w:tc>
          <w:tcPr>
            <w:tcW w:w="63" w:type="dxa"/>
            <w:tcBorders/>
            <w:shd w:fill="CCEEFF" w:val="clear"/>
            <w:vAlign w:val="bottom"/>
          </w:tcPr>
          <w:p>
            <w:pPr>
              <w:pStyle w:val="TableContents"/>
              <w:bidi w:val="0"/>
              <w:spacing w:before="0" w:after="283"/>
              <w:jc w:val="left"/>
              <w:rPr/>
            </w:pPr>
            <w:r>
              <w:rPr/>
              <w:t> </w:t>
            </w:r>
          </w:p>
        </w:tc>
      </w:tr>
      <w:tr>
        <w:trPr/>
        <w:tc>
          <w:tcPr>
            <w:tcW w:w="5514" w:type="dxa"/>
            <w:tcBorders/>
          </w:tcPr>
          <w:p>
            <w:pPr>
              <w:pStyle w:val="TableContents"/>
              <w:bidi w:val="0"/>
              <w:spacing w:before="0" w:after="0"/>
              <w:jc w:val="left"/>
              <w:rPr>
                <w:rFonts w:ascii="Times New Roman" w:hAnsi="Times New Roman"/>
                <w:sz w:val="20"/>
              </w:rPr>
            </w:pPr>
            <w:r>
              <w:rPr>
                <w:rFonts w:ascii="Times New Roman" w:hAnsi="Times New Roman"/>
                <w:sz w:val="20"/>
              </w:rPr>
              <w:t>CVR Agent Monthly Fee</w:t>
            </w:r>
          </w:p>
        </w:tc>
        <w:tc>
          <w:tcPr>
            <w:tcW w:w="29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22" w:type="dxa"/>
            <w:tcBorders/>
            <w:vAlign w:val="bottom"/>
          </w:tcPr>
          <w:p>
            <w:pPr>
              <w:pStyle w:val="TableContents"/>
              <w:bidi w:val="0"/>
              <w:spacing w:before="0" w:after="283"/>
              <w:jc w:val="right"/>
              <w:rPr/>
            </w:pPr>
            <w:r>
              <w:rPr/>
              <w:t>850.00</w:t>
            </w:r>
          </w:p>
        </w:tc>
        <w:tc>
          <w:tcPr>
            <w:tcW w:w="63" w:type="dxa"/>
            <w:tcBorders/>
            <w:vAlign w:val="bottom"/>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CVR Distribution Fee (per distribution event)</w:t>
            </w:r>
          </w:p>
        </w:tc>
        <w:tc>
          <w:tcPr>
            <w:tcW w:w="29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5,000.00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Out-of-Pocket Expenses </w:t>
      </w:r>
    </w:p>
    <w:p>
      <w:pPr>
        <w:pStyle w:val="TextBody"/>
        <w:bidi w:val="0"/>
        <w:spacing w:before="120" w:after="0"/>
        <w:jc w:val="left"/>
        <w:rPr>
          <w:rFonts w:ascii="Times New Roman" w:hAnsi="Times New Roman"/>
          <w:sz w:val="20"/>
        </w:rPr>
      </w:pPr>
      <w:r>
        <w:rPr>
          <w:rFonts w:ascii="Times New Roman" w:hAnsi="Times New Roman"/>
          <w:sz w:val="20"/>
          <w:u w:val="single"/>
        </w:rPr>
        <w:t xml:space="preserve">All </w:t>
      </w:r>
      <w:r>
        <w:rPr>
          <w:rFonts w:ascii="Times New Roman" w:hAnsi="Times New Roman"/>
          <w:sz w:val="20"/>
        </w:rPr>
        <w:t xml:space="preserve">reasonable, necessary and documented </w:t>
      </w:r>
      <w:r>
        <w:rPr>
          <w:rFonts w:ascii="Times New Roman" w:hAnsi="Times New Roman"/>
          <w:sz w:val="20"/>
          <w:u w:val="single"/>
        </w:rPr>
        <w:t>out-of-pocket expenses will be billed in addition to Rights Agent fees set forth above. These charges include: printing and stationary, freight and materials delivery, postage and handling and escheatment expenses.</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Other Expenses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Services in addition to and not contemplated by this Agreement, including document amendments and revisions, calculations, notices and reports, legal fees and unanticipated transaction costs (including charges for wire transfers, checks, internal transfers and securities transactions) will be billed as extraordinary expenses.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Contingent Value Rights Agreement] </w:t>
      </w:r>
    </w:p>
    <w:p>
      <w:pPr>
        <w:pStyle w:val="TextBody"/>
        <w:bidi w:val="0"/>
        <w:spacing w:before="0" w:after="0"/>
        <w:jc w:val="right"/>
        <w:rPr>
          <w:rFonts w:ascii="Times New Roman" w:hAnsi="Times New Roman"/>
          <w:b/>
          <w:sz w:val="20"/>
        </w:rPr>
      </w:pPr>
      <w:bookmarkStart w:id="18" w:name="d309963dex105.htm"/>
      <w:bookmarkStart w:id="19" w:name="ksd309963dex105"/>
      <w:bookmarkEnd w:id="18"/>
      <w:bookmarkEnd w:id="19"/>
      <w:r>
        <w:rPr>
          <w:rFonts w:ascii="Times New Roman" w:hAnsi="Times New Roman"/>
          <w:b/>
          <w:sz w:val="20"/>
        </w:rPr>
        <w:t xml:space="preserve">Exhibit 10.5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Officers of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Indemnification Agreement (“Agreement”) is made as of [●] by and between Obsidian Therapeutics, Inc., a Delaware corporation (the “Company”), and [●] (“Indemnitee”).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the Company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the Bylaws and any resolutions adopted pursuant thereto,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120" w:after="0"/>
        <w:jc w:val="left"/>
        <w:rPr>
          <w:rFonts w:ascii="Times New Roman" w:hAnsi="Times New Roman"/>
          <w:sz w:val="20"/>
        </w:rPr>
      </w:pPr>
      <w:r>
        <w:rPr>
          <w:rFonts w:ascii="Times New Roman" w:hAnsi="Times New Roman"/>
          <w:sz w:val="20"/>
        </w:rPr>
        <w:t>(c) A “Change in Control” shall be deemed to occur upon the earliest to occur after the date of this Agreement of any of the following events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Corporate Status</w:t>
      </w:r>
      <w:r>
        <w:rPr>
          <w:rFonts w:ascii="Times New Roman" w:hAnsi="Times New Roman"/>
          <w:sz w:val="20"/>
        </w:rPr>
        <w:t xml:space="preserve">” describes the status of a person as a current or former [director or] officer of the Company or current or former director, manager, partner, officer, employee, agent or trustee of any other Enterprise which such person is or was serving at the request of the Company.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Enforcement 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Enterprise</w:t>
      </w:r>
      <w:r>
        <w:rPr>
          <w:rFonts w:ascii="Times New Roman" w:hAnsi="Times New Roman"/>
          <w:sz w:val="20"/>
        </w:rPr>
        <w:t xml:space="preserv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Independent Counsel</w:t>
      </w:r>
      <w:r>
        <w:rPr>
          <w:rFonts w:ascii="Times New Roman" w:hAnsi="Times New Roman"/>
          <w:sz w:val="20"/>
        </w:rPr>
        <w:t xml:space="preserve">”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xml:space="preserve">.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w:t>
      </w:r>
      <w:r>
        <w:rPr>
          <w:rFonts w:ascii="Times New Roman" w:hAnsi="Times New Roman"/>
          <w:sz w:val="20"/>
        </w:rPr>
        <w:t xml:space="preserve">. Notwithstanding any provision in this Agreement to the contrary, the Company shall not be obligated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apply to any personal or umbrella liability insurance maintained by Indemnitee; </w:t>
      </w:r>
    </w:p>
    <w:p>
      <w:pPr>
        <w:pStyle w:val="TextBody"/>
        <w:bidi w:val="0"/>
        <w:spacing w:before="120" w:after="0"/>
        <w:jc w:val="left"/>
        <w:rPr>
          <w:rFonts w:ascii="Times New Roman" w:hAnsi="Times New Roman"/>
          <w:sz w:val="20"/>
        </w:rPr>
      </w:pPr>
      <w:r>
        <w:rPr>
          <w:rFonts w:ascii="Times New Roman" w:hAnsi="Times New Roman"/>
          <w:sz w:val="20"/>
        </w:rPr>
        <w:t xml:space="preserve">(b)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 </w:t>
      </w:r>
    </w:p>
    <w:p>
      <w:pPr>
        <w:pStyle w:val="TextBody"/>
        <w:bidi w:val="0"/>
        <w:spacing w:before="120" w:after="0"/>
        <w:jc w:val="left"/>
        <w:rPr>
          <w:rFonts w:ascii="Times New Roman" w:hAnsi="Times New Roman"/>
          <w:sz w:val="20"/>
        </w:rPr>
      </w:pPr>
      <w:r>
        <w:rPr>
          <w:rFonts w:ascii="Times New Roman" w:hAnsi="Times New Roman"/>
          <w:sz w:val="20"/>
        </w:rPr>
        <w:t xml:space="preserve">(c) 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120" w:after="0"/>
        <w:jc w:val="left"/>
        <w:rPr>
          <w:rFonts w:ascii="Times New Roman" w:hAnsi="Times New Roman"/>
          <w:sz w:val="20"/>
        </w:rPr>
      </w:pPr>
      <w:r>
        <w:rPr>
          <w:rFonts w:ascii="Times New Roman" w:hAnsi="Times New Roman"/>
          <w:sz w:val="20"/>
        </w:rPr>
        <w:t xml:space="preserve">(e)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Procedure for Notification and Defense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Procedure Upon Application for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12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w:t>
      </w:r>
      <w:r>
        <w:rPr>
          <w:rFonts w:ascii="Times New Roman" w:hAnsi="Times New Roman"/>
          <w:sz w:val="20"/>
          <w:u w:val="single"/>
        </w:rPr>
        <w:t>provided</w:t>
      </w:r>
      <w:r>
        <w:rPr>
          <w:rFonts w:ascii="Times New Roman" w:hAnsi="Times New Roman"/>
          <w:sz w:val="20"/>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Presumptions and Effect of Certain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12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w:t>
      </w:r>
      <w:r>
        <w:rPr>
          <w:rFonts w:ascii="Times New Roman" w:hAnsi="Times New Roman"/>
          <w:sz w:val="20"/>
          <w:u w:val="single"/>
        </w:rPr>
        <w:t>nolo</w:t>
      </w:r>
      <w:r>
        <w:rPr>
          <w:rFonts w:ascii="Times New Roman" w:hAnsi="Times New Roman"/>
          <w:sz w:val="20"/>
        </w:rPr>
        <w:t xml:space="preserve"> </w:t>
      </w:r>
      <w:r>
        <w:rPr>
          <w:rFonts w:ascii="Times New Roman" w:hAnsi="Times New Roman"/>
          <w:sz w:val="20"/>
          <w:u w:val="single"/>
        </w:rPr>
        <w:t>contendere</w:t>
      </w:r>
      <w:r>
        <w:rPr>
          <w:rFonts w:ascii="Times New Roman" w:hAnsi="Times New Roman"/>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Non-exclusivity; Survival of Rights; Insurance; Subrogation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before="120" w:after="0"/>
        <w:jc w:val="left"/>
        <w:rPr>
          <w:rFonts w:ascii="Times New Roman" w:hAnsi="Times New Roman"/>
          <w:sz w:val="20"/>
        </w:rPr>
      </w:pPr>
      <w:r>
        <w:rPr>
          <w:rFonts w:ascii="Times New Roman" w:hAnsi="Times New Roman"/>
          <w:sz w:val="20"/>
        </w:rPr>
        <w:t xml:space="preserve">(d)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12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xml:space="preserve">.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of Indemnitee]</w:t>
            </w:r>
          </w:p>
        </w:tc>
      </w:tr>
    </w:tbl>
    <w:p>
      <w:pPr>
        <w:pStyle w:val="TextBody"/>
        <w:bidi w:val="0"/>
        <w:spacing w:before="0" w:after="0"/>
        <w:jc w:val="right"/>
        <w:rPr>
          <w:rFonts w:ascii="Times New Roman" w:hAnsi="Times New Roman"/>
          <w:b/>
          <w:sz w:val="20"/>
        </w:rPr>
      </w:pPr>
      <w:bookmarkStart w:id="20" w:name="d309963dex106.htm"/>
      <w:bookmarkStart w:id="21" w:name="ksd309963dex106"/>
      <w:bookmarkEnd w:id="20"/>
      <w:bookmarkEnd w:id="21"/>
      <w:r>
        <w:rPr>
          <w:rFonts w:ascii="Times New Roman" w:hAnsi="Times New Roman"/>
          <w:b/>
          <w:sz w:val="20"/>
        </w:rPr>
        <w:t xml:space="preserve">Exhibit 10.6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Directors of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Indemnification Agreement (“Agreement”) is made as of [●] by and between Obsidian Therapeutics, Inc., a Delaware corporation (the “Company”), and [●] (“Indemnitee”).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the Company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the Bylaws and any resolutions adopted pursuant thereto, and shall not be deemed a substitute therefor, nor to diminish or abrogate any rights of Indemnitee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Indemnitee has certain rights to indemnification and/or insurance provided by [Affiliated Entity] (“[Affiliated Entity]”) which Indemnitee and [Affiliated Entity] intend to be secondary to the primary obligation of the Company to indemnify Indemnitee as provided in this Agreement, with the Company’s acknowledgment and agreement to the foregoing being a material condition to Indemnitee’s willingness to serve or continue to serve on the Board.]1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This recital should be included if the director is affiliated with a fund or other entity that provides indemnification to the director that is intended to backstop the indemnification provided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2.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hAnsi="Times New Roman"/>
          <w:i/>
          <w:sz w:val="20"/>
        </w:rPr>
        <w:t>bona fid</w:t>
      </w:r>
      <w:r>
        <w:rPr>
          <w:rFonts w:ascii="Times New Roman" w:hAnsi="Times New Roman"/>
          <w:sz w:val="20"/>
        </w:rPr>
        <w:t xml:space="preserve">e public offering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hAnsi="Times New Roman"/>
          <w:i/>
          <w:sz w:val="20"/>
        </w:rPr>
        <w:t>bona fide</w:t>
      </w:r>
      <w:r>
        <w:rPr>
          <w:rFonts w:ascii="Times New Roman" w:hAnsi="Times New Roman"/>
          <w:sz w:val="20"/>
        </w:rPr>
        <w:t xml:space="preserve"> public offering of securities) for the purpose of acquiring, holding, voting or disposing of any securities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A “Change in Control” shall be deemed to occur upon the earliest to occur after the date of this Agreement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(d) “Corporate Status” describes the status of a person as a current or former director of the Company or current or former director, manager, partner, officer, employee, agent or trustee of any other Enterprise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 xml:space="preserve">(f) “Enterprise”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240" w:after="0"/>
        <w:jc w:val="left"/>
        <w:rPr>
          <w:rFonts w:ascii="Times New Roman" w:hAnsi="Times New Roman"/>
          <w:sz w:val="20"/>
        </w:rPr>
      </w:pPr>
      <w:r>
        <w:rPr>
          <w:rFonts w:ascii="Times New Roman" w:hAnsi="Times New Roman"/>
          <w:sz w:val="20"/>
        </w:rPr>
        <w:t xml:space="preserve">(g)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xml:space="preserve">.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w:t>
      </w:r>
      <w:r>
        <w:rPr>
          <w:rFonts w:ascii="Times New Roman" w:hAnsi="Times New Roman"/>
          <w:sz w:val="20"/>
        </w:rPr>
        <w:t xml:space="preserve">. Notwithstanding any provision in this Agreement to the contrary, the Company shall not be obligated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defined below) as set forth in Section 13(c)]; </w:t>
      </w:r>
    </w:p>
    <w:p>
      <w:pPr>
        <w:pStyle w:val="TextBody"/>
        <w:bidi w:val="0"/>
        <w:spacing w:before="240" w:after="0"/>
        <w:jc w:val="left"/>
        <w:rPr>
          <w:rFonts w:ascii="Times New Roman" w:hAnsi="Times New Roman"/>
          <w:sz w:val="20"/>
        </w:rPr>
      </w:pPr>
      <w:r>
        <w:rPr>
          <w:rFonts w:ascii="Times New Roman" w:hAnsi="Times New Roman"/>
          <w:sz w:val="20"/>
        </w:rPr>
        <w:t xml:space="preserve">(b)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2002]2;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Include this language if the Company’s directors are subject to the prohibition on trading during retirement fund black-out periods under SOX 306.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240" w:after="0"/>
        <w:jc w:val="left"/>
        <w:rPr>
          <w:rFonts w:ascii="Times New Roman" w:hAnsi="Times New Roman"/>
          <w:sz w:val="20"/>
        </w:rPr>
      </w:pPr>
      <w:r>
        <w:rPr>
          <w:rFonts w:ascii="Times New Roman" w:hAnsi="Times New Roman"/>
          <w:sz w:val="20"/>
        </w:rPr>
        <w:t xml:space="preserve">(d)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Procedure for Notification and Defense of Claim. </w:t>
      </w:r>
    </w:p>
    <w:p>
      <w:pPr>
        <w:pStyle w:val="TextBody"/>
        <w:bidi w:val="0"/>
        <w:spacing w:before="12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Procedure Upon Application for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Presumptions and Effect of Certain Proceedings.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24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Section 12. Remedies of Indemnitee.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Non-exclusivity; Survival of Rights; Insurance; Primacy of Indemnification; Subrogation.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w:t>
      </w:r>
    </w:p>
    <w:p>
      <w:pPr>
        <w:pStyle w:val="TextBody"/>
        <w:bidi w:val="0"/>
        <w:spacing w:before="240" w:after="0"/>
        <w:jc w:val="left"/>
        <w:rPr>
          <w:rFonts w:ascii="Times New Roman" w:hAnsi="Times New Roman"/>
          <w:sz w:val="20"/>
        </w:rPr>
      </w:pPr>
      <w:r>
        <w:rPr>
          <w:rFonts w:ascii="Times New Roman" w:hAnsi="Times New Roman"/>
          <w:sz w:val="20"/>
        </w:rPr>
        <w:t>(c) [The Company hereby acknowledges that Indemnitee has certain rights to indemnification, advancement of expenses and/or insurance provided by [Affiliated Entity] and certain of its affiliates (collectively, the “Fund Indemnitors”). The Company hereby agrees (i) that it is the indemnitor of first resort (i.e</w:t>
      </w:r>
      <w:r>
        <w:rPr>
          <w:rFonts w:ascii="Times New Roman" w:hAnsi="Times New Roman"/>
          <w:i/>
          <w:sz w:val="20"/>
        </w:rPr>
        <w:t>.</w:t>
      </w:r>
      <w:r>
        <w:rPr>
          <w:rFonts w:ascii="Times New Roman" w:hAnsi="Times New Roman"/>
          <w:sz w:val="20"/>
        </w:rPr>
        <w:t xml:space="preserv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13(c).]3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This provision is intended to be used for directors appointed by investment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Enforcement.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24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xml:space="preserve">.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 of Indemnitee]</w:t>
            </w:r>
          </w:p>
        </w:tc>
      </w:tr>
    </w:tbl>
    <w:p>
      <w:pPr>
        <w:pStyle w:val="TextBody"/>
        <w:bidi w:val="0"/>
        <w:spacing w:before="0" w:after="0"/>
        <w:jc w:val="right"/>
        <w:rPr>
          <w:rFonts w:ascii="Times New Roman" w:hAnsi="Times New Roman"/>
          <w:b/>
          <w:sz w:val="20"/>
        </w:rPr>
      </w:pPr>
      <w:bookmarkStart w:id="22" w:name="d309963dex107.htm"/>
      <w:bookmarkStart w:id="23" w:name="ksd309963dex107"/>
      <w:bookmarkEnd w:id="22"/>
      <w:bookmarkEnd w:id="23"/>
      <w:r>
        <w:rPr>
          <w:rFonts w:ascii="Times New Roman" w:hAnsi="Times New Roman"/>
          <w:b/>
          <w:sz w:val="20"/>
        </w:rPr>
        <w:t xml:space="preserve">Exhibit 10.7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36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name of the plan is the Obsidian Therapeutics, Inc. 2026 Equity Incentive Plan (as amended from time to time, the “</w:t>
      </w:r>
      <w:r>
        <w:rPr>
          <w:rFonts w:ascii="Times New Roman" w:hAnsi="Times New Roman"/>
          <w:i/>
          <w:sz w:val="20"/>
        </w:rPr>
        <w:t>Plan</w:t>
      </w:r>
      <w:r>
        <w:rPr>
          <w:rFonts w:ascii="Times New Roman" w:hAnsi="Times New Roman"/>
          <w:sz w:val="20"/>
        </w:rPr>
        <w:t>”). The purpose of the Plan is to encourage and enable the officers, employees, Non-Employee Directors and Consultants of Obsidian Therapeutics, Inc. (the “</w:t>
      </w:r>
      <w:r>
        <w:rPr>
          <w:rFonts w:ascii="Times New Roman" w:hAnsi="Times New Roman"/>
          <w:i/>
          <w:sz w:val="20"/>
        </w:rPr>
        <w:t>Company</w:t>
      </w:r>
      <w:r>
        <w:rPr>
          <w:rFonts w:ascii="Times New Roman" w:hAnsi="Times New Roman"/>
          <w:sz w:val="20"/>
        </w:rPr>
        <w:t xml:space="preserve">”)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that is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Awards, Restricted Stock Units, Unrestricted Stock Awards, Cash-Based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Cash-Based Award”</w:t>
      </w:r>
      <w:r>
        <w:rPr>
          <w:rFonts w:ascii="Times New Roman" w:hAnsi="Times New Roman"/>
          <w:sz w:val="20"/>
        </w:rPr>
        <w:t xml:space="preserve"> means an Award entitling the recipient to receive a cash-denominated payment granted pursuant to Section 10.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the date of the closing of the transactions contemplated by the Merger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and the rules, regulations and interpretations thereunder.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 consultant or adviser who provides </w:t>
      </w:r>
      <w:r>
        <w:rPr>
          <w:rFonts w:ascii="Times New Roman" w:hAnsi="Times New Roman"/>
          <w:i/>
          <w:sz w:val="20"/>
        </w:rPr>
        <w:t>bona fide</w:t>
      </w:r>
      <w:r>
        <w:rPr>
          <w:rFonts w:ascii="Times New Roman" w:hAnsi="Times New Roman"/>
          <w:sz w:val="20"/>
        </w:rPr>
        <w:t xml:space="preserve"> services to the Company or an Affiliate as an independent contractor and who qualifies as a consultant or advisor under Instruction A.1.(a)(1) of Form S-8 under the Act.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ordinary cash dividends that would have been paid on the shares of Stock specified in the Dividend Equivalent Right (or other Award to which it relates) granted pursuant to Section 11.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hAnsi="Times New Roman"/>
          <w:i/>
          <w:sz w:val="20"/>
        </w:rPr>
        <w:t>NASDAQ</w:t>
      </w:r>
      <w:r>
        <w:rPr>
          <w:rFonts w:ascii="Times New Roman" w:hAnsi="Times New Roman"/>
          <w:sz w:val="20"/>
        </w:rPr>
        <w:t xml:space="preserve">”),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dated as of April 14, 2026, by and among Galera Therapeutics, Inc., the Company and certain other parties thereto. </w:t>
      </w:r>
    </w:p>
    <w:p>
      <w:pPr>
        <w:pStyle w:val="TextBody"/>
        <w:bidi w:val="0"/>
        <w:spacing w:before="240" w:after="0"/>
        <w:jc w:val="left"/>
        <w:rPr/>
      </w:pPr>
      <w:r>
        <w:rPr/>
        <w:t>“</w:t>
      </w: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pPr>
      <w:r>
        <w:rPr/>
        <w:t>“</w:t>
      </w:r>
      <w:r>
        <w:rPr>
          <w:rFonts w:ascii="Times New Roman" w:hAnsi="Times New Roman"/>
          <w:i/>
          <w:sz w:val="20"/>
        </w:rPr>
        <w:t>Outstanding Shares</w:t>
      </w:r>
      <w:r>
        <w:rPr>
          <w:rFonts w:ascii="Times New Roman" w:hAnsi="Times New Roman"/>
          <w:sz w:val="20"/>
        </w:rPr>
        <w:t xml:space="preserve">” means, as of a specified date, the sum of (a) number of shares of Stock issued and outstanding, (b) the number of shares of preferred stock of the Company issued and outstanding, and (c) the number of shares of stock issuable pursuant to the exercise of any outstanding warrants to acquire shares of Stock or preferred stock of the Company. </w:t>
      </w:r>
    </w:p>
    <w:p>
      <w:pPr>
        <w:pStyle w:val="TextBody"/>
        <w:bidi w:val="0"/>
        <w:spacing w:before="240" w:after="0"/>
        <w:jc w:val="left"/>
        <w:rPr/>
      </w:pPr>
      <w:r>
        <w:rPr/>
        <w:t>“</w:t>
      </w:r>
      <w:r>
        <w:rPr>
          <w:rFonts w:ascii="Times New Roman" w:hAnsi="Times New Roman"/>
          <w:i/>
          <w:sz w:val="20"/>
        </w:rPr>
        <w:t>Prior Plan”</w:t>
      </w:r>
      <w:r>
        <w:rPr>
          <w:rFonts w:ascii="Times New Roman" w:hAnsi="Times New Roman"/>
          <w:sz w:val="20"/>
        </w:rPr>
        <w:t xml:space="preserve"> means the Obsidian Therapeutics, Inc. 2016 Stock Option and Grant Plan,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Restricted Shares”</w:t>
      </w:r>
      <w:r>
        <w:rPr>
          <w:rFonts w:ascii="Times New Roman" w:hAnsi="Times New Roman"/>
          <w:sz w:val="20"/>
        </w:rPr>
        <w:t xml:space="preserve"> means the shares of Stock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granted pursuant to Section 7.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granted pursuant to Section 8.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stockholders, per share of Stock,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director or Consultant of the Company or any Affiliate. Unless otherwise set forth in the applicable Award Agreement, a Service Relationship shall be deemed to continue without interruption in the event the grantee’s status changes from full-time employee to part-time employee, director or Consultant or vice versa, provided that there is no interruption or other termination of Service Relationship in connection with the grantee’s change in capacity.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3. </w:t>
      </w:r>
    </w:p>
    <w:p>
      <w:pPr>
        <w:pStyle w:val="TextBody"/>
        <w:bidi w:val="0"/>
        <w:spacing w:before="24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of Stock (or cash, to the extent explicitly provided for in the applicable Award Agreement) granted pursuant to Section 6.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of the combined voting power of all classes of stock of the Company or any parent or subsidiary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of Stock free of any restrictions granted pursuant to Section 9.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24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of Stock to be covered by any Award;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5(c) or Section 6(d), as applicable, to extend at any time the period in which Stock Options and Stock Appreciation Rights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deems advisable; </w:t>
      </w:r>
    </w:p>
    <w:p>
      <w:pPr>
        <w:pStyle w:val="TextBody"/>
        <w:bidi w:val="0"/>
        <w:spacing w:before="240" w:after="0"/>
        <w:jc w:val="left"/>
        <w:rPr>
          <w:rFonts w:ascii="Times New Roman" w:hAnsi="Times New Roman"/>
          <w:sz w:val="20"/>
        </w:rPr>
      </w:pPr>
      <w:r>
        <w:rPr>
          <w:rFonts w:ascii="Times New Roman" w:hAnsi="Times New Roman"/>
          <w:sz w:val="20"/>
        </w:rPr>
        <w:t xml:space="preserve">(viii) to interpret the terms and provisions of the Plan and any Award (including related written and electronic instruments); </w:t>
      </w:r>
    </w:p>
    <w:p>
      <w:pPr>
        <w:pStyle w:val="TextBody"/>
        <w:bidi w:val="0"/>
        <w:spacing w:before="240" w:after="0"/>
        <w:jc w:val="left"/>
        <w:rPr>
          <w:rFonts w:ascii="Times New Roman" w:hAnsi="Times New Roman"/>
          <w:sz w:val="20"/>
        </w:rPr>
      </w:pPr>
      <w:r>
        <w:rPr>
          <w:rFonts w:ascii="Times New Roman" w:hAnsi="Times New Roman"/>
          <w:sz w:val="20"/>
        </w:rPr>
        <w:t xml:space="preserve">(ix) to make all determinations it deems advisable for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(x) to decide all disputes arising in connection with the Plan; and </w:t>
      </w:r>
    </w:p>
    <w:p>
      <w:pPr>
        <w:pStyle w:val="TextBody"/>
        <w:bidi w:val="0"/>
        <w:spacing w:before="240" w:after="0"/>
        <w:jc w:val="left"/>
        <w:rPr>
          <w:rFonts w:ascii="Times New Roman" w:hAnsi="Times New Roman"/>
          <w:sz w:val="20"/>
        </w:rPr>
      </w:pPr>
      <w:r>
        <w:rPr>
          <w:rFonts w:ascii="Times New Roman" w:hAnsi="Times New Roman"/>
          <w:sz w:val="20"/>
        </w:rPr>
        <w:t xml:space="preserve">(xi)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Affiliates and Plan grantees.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of Authority to Grant Awards</w:t>
      </w:r>
      <w:r>
        <w:rPr>
          <w:rFonts w:ascii="Times New Roman" w:hAnsi="Times New Roman"/>
          <w:sz w:val="20"/>
        </w:rPr>
        <w:t xml:space="preserve">. Subject to applicable law, the Administrator, in its discretion, may delegate to a subcommittee comprised of one or more members of the Board or committee comprised of one or more officers of the Company, including the Chief Executive Officer of the Company, all or part of the Administrator’s authority and duties with respect to the granting of Awards to individuals who are not (i) subject to the reporting and other provisions of Section 16 of the Exchange Act and (ii) members of the delegated subcommittee or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and limits and guidelines in effect at the time of the prior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Other than with respect to Cash-Based Awards,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Non-U.S. Award Recipients</w:t>
      </w:r>
      <w:r>
        <w:rPr>
          <w:rFonts w:ascii="Times New Roman" w:hAnsi="Times New Roman"/>
          <w:sz w:val="20"/>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ISSUABLE UNDER THE PLAN; MERGERS; 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The maximum number of shares of Stock reserved and available for issuance under the Plan shall be the lesser of (x) 10% of the number of fully diluted shares of the Company outstanding immediately following the Effective Time (as defined in the Merger Agreement) and (y) 7,594,528 shares (the “</w:t>
      </w:r>
      <w:r>
        <w:rPr>
          <w:rFonts w:ascii="Times New Roman" w:hAnsi="Times New Roman"/>
          <w:i/>
          <w:sz w:val="20"/>
        </w:rPr>
        <w:t>Initial Limit</w:t>
      </w:r>
      <w:r>
        <w:rPr>
          <w:rFonts w:ascii="Times New Roman" w:hAnsi="Times New Roman"/>
          <w:sz w:val="20"/>
        </w:rPr>
        <w:t>”), subject to adjustment as provided in Section 3(b) plus, on January 1, 2027 and each January 1 thereafter, the number of shares of Stock reserved and available for issuance under the Plan shall be automatically cumulatively increased by (i) 5% of the number of Outstanding Shares on the immediately preceding December 31 or (ii) such lesser number of shares of Stock as determined by the Administrator (the “</w:t>
      </w:r>
      <w:r>
        <w:rPr>
          <w:rFonts w:ascii="Times New Roman" w:hAnsi="Times New Roman"/>
          <w:i/>
          <w:sz w:val="20"/>
        </w:rPr>
        <w:t>Annual Increase</w:t>
      </w:r>
      <w:r>
        <w:rPr>
          <w:rFonts w:ascii="Times New Roman" w:hAnsi="Times New Roman"/>
          <w:sz w:val="20"/>
        </w:rPr>
        <w:t xml:space="preserve">”). Subject to such overall limitation, the maximum aggregate number of shares of Stock that may be issued in the form of Incentive Stock Options shall not exceed the Initial Limit, as cumulatively increased on January 1, 2027 and each January 1 thereafter by the lesser of the Annual Increase for such year or the Initial Limit, subject in all cases to adjustment as provided in Section 3(b). For purposes of these limitations, the shares of Stock underlying any awards under the Plan or the Prior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exchange for the cancellation thereof, in an amount equal to the Sale Price multiplied by the number of vested shares of Stock under such Awards (after taking into account any acceleration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Awards to Non-Employee Directors</w:t>
      </w:r>
      <w:r>
        <w:rPr>
          <w:rFonts w:ascii="Times New Roman" w:hAnsi="Times New Roman"/>
          <w:sz w:val="20"/>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Substitute Awards</w:t>
      </w:r>
      <w:r>
        <w:rPr>
          <w:rFonts w:ascii="Times New Roman" w:hAnsi="Times New Roman"/>
          <w:sz w:val="20"/>
        </w:rPr>
        <w:t xml:space="preserve">. The Administrator may grant Awards under the Plan in substitution for shares and share-based awards held by employees, directors or consultants of another corporation in connection with the merger or consolidation of the employing corporation with the Company or a Subsidiary or the acquisition by the Company or a Subsidiary of property or shares of the employing corporation. The Administrator may direct that the substitute Awards be granted on such terms and conditions as the Administrator considers appropriate in the circumstances. To the extent permitted by applicable law, any substitute Awards granted under the Plan shall not count against the share limitations set forth in Section 3(a). </w:t>
      </w:r>
    </w:p>
    <w:p>
      <w:pPr>
        <w:pStyle w:val="TextBody"/>
        <w:bidi w:val="0"/>
        <w:spacing w:before="36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 </w:t>
      </w:r>
    </w:p>
    <w:p>
      <w:pPr>
        <w:pStyle w:val="TextBody"/>
        <w:bidi w:val="0"/>
        <w:spacing w:before="36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any “parent corporation” within the meaning of Section 424(e) of the Code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optionee’s election, subject to such terms and conditions as the Administrator may establish.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for the Stock covered by a Stock Option shall be determined by the Administrator at the time of grant but shall not be less than 100% of the Fair Market Value on the date of grant. In the case of an Incentive Stock Option that is granted to a Ten Percent Owner, the exercise price of such Incentive Stock Option shall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Exercisability; Rights of a Stockholder</w:t>
      </w:r>
      <w:r>
        <w:rPr>
          <w:rFonts w:ascii="Times New Roman" w:hAnsi="Times New Roman"/>
          <w:sz w:val="20"/>
        </w:rPr>
        <w:t xml:space="preserve">. Stock Options shall become exercisable at such time or times, whether or not in installments, as determined by the Administrator at or after the grant date. An optionee shall have the rights of a stockholder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exercise price may be made by one or more of the following methods except to the extent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exercise price; provided that in the event the optionee chooses to pay the exercise price as so provided, the optionee and the broker shall comply with such procedures and enter into such agreements of indemnity and other agreements as the Company may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exercise price for such shares and the fulfillment of any other requirements contained in the Award Agreement or applicable provisions of laws (including the satisfaction of any withholding taxes that the Company or an Affiliate is obligated to withhold with respect to the optionee). In the event an optionee chooses to pay the exercise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be a Non-Qualified Stock Option. </w:t>
      </w:r>
    </w:p>
    <w:p>
      <w:pPr>
        <w:pStyle w:val="TextBody"/>
        <w:bidi w:val="0"/>
        <w:spacing w:before="36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is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determined by the Administrator on or after the date of grant. The term of a Stock Appreciation Right may not exceed ten years. </w:t>
      </w:r>
    </w:p>
    <w:p>
      <w:pPr>
        <w:pStyle w:val="TextBody"/>
        <w:bidi w:val="0"/>
        <w:spacing w:before="36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determines at or after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a Restricted Stock Award and payment of any applicable purchase price, if any,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Award Agreement. Except as otherwise provided by the Administrator either in the Award Agreement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the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 </w:t>
      </w:r>
    </w:p>
    <w:p>
      <w:pPr>
        <w:pStyle w:val="TextBody"/>
        <w:bidi w:val="0"/>
        <w:spacing w:before="36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as the Administrator determines at or after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Agreement). Restricted Stock Units with deferred settlement dates granted to U.S. taxpayers are subject to Section 409A and shall contain such additional terms and conditions as the Administrator may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if applicable, in accordance with Section 409A and such other rules and procedures established by the Administrator. Any such future cash compensation that the grantee elects to defer will be converted to a fixed number of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Stockholder</w:t>
      </w:r>
      <w:r>
        <w:rPr>
          <w:rFonts w:ascii="Times New Roman" w:hAnsi="Times New Roman"/>
          <w:sz w:val="20"/>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otherwise provided by the Administrator either in the Award Agreement or, subject to Section 16 below, in writing after the Award is issued, a grantee’s right in all Restricted Stock Units that have not vested shall automatically terminate upon the termination of the grantee’s Service Relationship for any reason. </w:t>
      </w:r>
    </w:p>
    <w:p>
      <w:pPr>
        <w:pStyle w:val="TextBody"/>
        <w:bidi w:val="0"/>
        <w:spacing w:before="36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Unrestricted Stock Awards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 </w:t>
      </w:r>
    </w:p>
    <w:p>
      <w:pPr>
        <w:pStyle w:val="TextBody"/>
        <w:bidi w:val="0"/>
        <w:spacing w:before="36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CASH-BASED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Grant of Cash-Based Awards</w:t>
      </w:r>
      <w:r>
        <w:rPr>
          <w:rFonts w:ascii="Times New Roman" w:hAnsi="Times New Roman"/>
          <w:sz w:val="20"/>
        </w:rPr>
        <w:t xml:space="preserve">.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becomes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36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DIVIDEND EQUIVALENT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termination of the grantee’s Service Relationship for any reason. </w:t>
      </w:r>
    </w:p>
    <w:p>
      <w:pPr>
        <w:pStyle w:val="TextBody"/>
        <w:bidi w:val="0"/>
        <w:spacing w:before="36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TRANSFERABILITY OF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(who is an employee or director) may transfer such grantee’s Non-Qualified Stock Options to such 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and non-U.S. or other taxes, of any kind required by law to be withheld by the Company or its Affiliates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or its Affiliates deem appropriate. The Company’s obligation to deliver evidence of book entry (or stock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Administrator may require the Company’s or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or Affiliate’s tax withholding obligation to be satisfied, in whole or in part, by an arrangement whereby a certain number of shares of Stock issued pursuant to any Award are immediately sold and proceeds from such sale are remitted to the Company or Affiliate in an amount that would satisfy the withholding amount due. </w:t>
      </w:r>
    </w:p>
    <w:p>
      <w:pPr>
        <w:pStyle w:val="TextBody"/>
        <w:bidi w:val="0"/>
        <w:spacing w:before="36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hAnsi="Times New Roman"/>
          <w:i/>
          <w:sz w:val="20"/>
        </w:rPr>
        <w:t>409A Award</w:t>
      </w:r>
      <w:r>
        <w:rPr>
          <w:rFonts w:ascii="Times New Roman" w:hAnsi="Times New Roman"/>
          <w:sz w:val="20"/>
        </w:rPr>
        <w:t xml:space="preserve">”),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TERMINATION OF SERVICE RELATIONSHIP, TRANSFER, LEAVE OF ABSENCE,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such grantee’s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240" w:after="0"/>
        <w:jc w:val="left"/>
        <w:rPr>
          <w:rFonts w:ascii="Times New Roman" w:hAnsi="Times New Roman"/>
          <w:sz w:val="20"/>
        </w:rPr>
      </w:pPr>
      <w:r>
        <w:rPr>
          <w:rFonts w:ascii="Times New Roman" w:hAnsi="Times New Roman"/>
          <w:sz w:val="20"/>
        </w:rPr>
        <w:t xml:space="preserve">(i) a transfer to the service of the Company from an Affiliate or from the Company to an Affiliate, or from one Affiliate to another; or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 </w:t>
      </w:r>
    </w:p>
    <w:p>
      <w:pPr>
        <w:pStyle w:val="TextBody"/>
        <w:bidi w:val="0"/>
        <w:spacing w:before="240" w:after="0"/>
        <w:jc w:val="left"/>
        <w:rPr>
          <w:rFonts w:ascii="Times New Roman" w:hAnsi="Times New Roman"/>
          <w:sz w:val="20"/>
        </w:rPr>
      </w:pPr>
      <w:r>
        <w:rPr>
          <w:rFonts w:ascii="Times New Roman" w:hAnsi="Times New Roman"/>
          <w:sz w:val="20"/>
        </w:rPr>
        <w:t xml:space="preserve">(iii) the transfer in status from one eligibility category under Section 4 hereof to another category.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a grantee’s regular level of time commitment in the performance of such grantee’s services for the Company and its Affiliates is reduced (including, without limitation, if the grantee has a change in status from a full-time employee to a part-time employee or transitions from an employee to a director or Consultant) or if the grantee takes an extended leave of absence, in either case, after the date of grant of any Award to the grantee, the Administrator may, in its sole discretion and to the extent permitted by applicable law: (x) reduce the number of shares subject to any portion of such Award that is scheduled to vest or become payable after the date of such change in time commitment or status or during or after any such leave of absence and (y) in lieu of or in combination with such a reduction and to the extent permitted by Section 409A, extend the vesting or payment schedule applicable to such Award. In the event of any such reduction, the grantee will not have any rights with respect to any portion of the Award that is so reduced. </w:t>
      </w:r>
    </w:p>
    <w:p>
      <w:pPr>
        <w:pStyle w:val="TextBody"/>
        <w:bidi w:val="0"/>
        <w:spacing w:before="36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in exchange for cash or other Awards without stockholder approval.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or settled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p>
      <w:pPr>
        <w:pStyle w:val="TextBody"/>
        <w:bidi w:val="0"/>
        <w:spacing w:before="36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Stock</w:t>
      </w:r>
      <w:r>
        <w:rPr>
          <w:rFonts w:ascii="Times New Roman" w:hAnsi="Times New Roman"/>
          <w:sz w:val="20"/>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Fractional Shares</w:t>
      </w:r>
      <w:r>
        <w:rPr>
          <w:rFonts w:ascii="Times New Roman" w:hAnsi="Times New Roman"/>
          <w:sz w:val="20"/>
        </w:rPr>
        <w:t xml:space="preserve">.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Stockholder Rights</w:t>
      </w:r>
      <w:r>
        <w:rPr>
          <w:rFonts w:ascii="Times New Roman" w:hAnsi="Times New Roman"/>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Compensation Arrangements; No Rights to Continued Service Relationship</w:t>
      </w:r>
      <w:r>
        <w:rPr>
          <w:rFonts w:ascii="Times New Roman" w:hAnsi="Times New Roman"/>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Trading Policy Restrictions</w:t>
      </w:r>
      <w:r>
        <w:rPr>
          <w:rFonts w:ascii="Times New Roman" w:hAnsi="Times New Roman"/>
          <w:sz w:val="20"/>
        </w:rPr>
        <w:t xml:space="preserve">. Awards under the Plan are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Clawback Policy</w:t>
      </w:r>
      <w:r>
        <w:rPr>
          <w:rFonts w:ascii="Times New Roman" w:hAnsi="Times New Roman"/>
          <w:sz w:val="20"/>
        </w:rPr>
        <w:t xml:space="preserve">.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 </w:t>
      </w:r>
    </w:p>
    <w:p>
      <w:pPr>
        <w:pStyle w:val="TextBody"/>
        <w:bidi w:val="0"/>
        <w:spacing w:before="36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shall become effective upon the date immediately preceding the Closing Date following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36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June 30, 2026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101"/>
        <w:gridCol w:w="7451"/>
      </w:tblGrid>
      <w:tr>
        <w:trPr/>
        <w:tc>
          <w:tcPr>
            <w:tcW w:w="26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451"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Name of Optionee: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No. of Option Shares:</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Option Exercise Price per Share: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pPr>
            <w:r>
              <w:rPr/>
              <w:t>$</w:t>
            </w:r>
            <w:r>
              <w:rPr>
                <w:u w:val="single"/>
              </w:rPr>
              <w:t>            </w:t>
            </w:r>
          </w:p>
        </w:tc>
      </w:tr>
      <w:tr>
        <w:trPr>
          <w:trHeight w:val="6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b/>
              </w:rPr>
            </w:pPr>
            <w:r>
              <w:rPr>
                <w:b/>
              </w:rPr>
              <w:t>[FMV on Grant Date (110% of FMV if a 10% owner)]</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Grant Date: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Expiration Date: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6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b/>
              </w:rPr>
            </w:pPr>
            <w:r>
              <w:rPr>
                <w:b/>
              </w:rPr>
              <w:t>[No more than 10 years (5 years if a 10% owner)]</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to the Optionee named above an option (the “</w:t>
      </w:r>
      <w:r>
        <w:rPr>
          <w:rFonts w:ascii="Times New Roman" w:hAnsi="Times New Roman"/>
          <w:i/>
          <w:sz w:val="20"/>
        </w:rPr>
        <w:t>Stock Option</w:t>
      </w:r>
      <w:r>
        <w:rPr>
          <w:rFonts w:ascii="Times New Roman" w:hAnsi="Times New Roman"/>
          <w:sz w:val="20"/>
        </w:rPr>
        <w:t>”) to purchase on or prior to the Expiration Date specified above all or part of the number of shares of the Company’s Common Stock, par value $0.001 per share (the “</w:t>
      </w:r>
      <w:r>
        <w:rPr>
          <w:rFonts w:ascii="Times New Roman" w:hAnsi="Times New Roman"/>
          <w:i/>
          <w:sz w:val="20"/>
        </w:rPr>
        <w:t>Shares</w:t>
      </w:r>
      <w:r>
        <w:rPr>
          <w:rFonts w:ascii="Times New Roman" w:hAnsi="Times New Roman"/>
          <w:sz w:val="20"/>
        </w:rPr>
        <w:t xml:space="preserve">”), specified above at the Option Exercise Price per Share specified above subject to the terms and conditions set forth herein and in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7"/>
        <w:gridCol w:w="120"/>
        <w:gridCol w:w="4808"/>
      </w:tblGrid>
      <w:tr>
        <w:trPr/>
        <w:tc>
          <w:tcPr>
            <w:tcW w:w="52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r>
      <w:tr>
        <w:trPr/>
        <w:tc>
          <w:tcPr>
            <w:tcW w:w="527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Incremental Number 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Option Shares Exercisable</w:t>
            </w:r>
          </w:p>
        </w:tc>
        <w:tc>
          <w:tcPr>
            <w:tcW w:w="120" w:type="dxa"/>
            <w:tcBorders/>
            <w:vAlign w:val="bottom"/>
          </w:tcPr>
          <w:p>
            <w:pPr>
              <w:pStyle w:val="TableContents"/>
              <w:bidi w:val="0"/>
              <w:spacing w:before="0" w:after="283"/>
              <w:jc w:val="left"/>
              <w:rPr/>
            </w:pPr>
            <w:r>
              <w:rPr/>
              <w:t>  </w:t>
            </w:r>
          </w:p>
        </w:tc>
        <w:tc>
          <w:tcPr>
            <w:tcW w:w="480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Exercisability Date</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exercisable, this Stock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exercise price for the Option Shares may be made by one or more of the following methods: (i) in cash, by certified or bank check or other instrument acceptable to the Administrator, (ii)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or (iv) a combination of (i), (ii) and (iii)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to pay the exercise price by previously-owned Shares through the attestation method, the number of Shares transferred to the Optionee upon the exercise of the Stock Option shall be net of the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terminates, the period within which to exercise the Stock Option may be subject to earlier termination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 w:hAnsi="Times New Roman"/>
          <w:i/>
          <w:sz w:val="20"/>
        </w:rPr>
        <w:t>Cause</w:t>
      </w:r>
      <w:r>
        <w:rPr>
          <w:rFonts w:ascii="Times New Roman" w:hAnsi="Times New Roman"/>
          <w:sz w:val="20"/>
        </w:rPr>
        <w:t xml:space="preserve">” means, unless otherwise provided in an employment or other service agreement between the Company and the Optionee, a determination by the Administrator that the Optionee’s employment will be terminated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shall be conclusive and binding on the Optionee and the Optionee’s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Status of the Stock Option</w:t>
      </w:r>
      <w:r>
        <w:rPr>
          <w:rFonts w:ascii="Times New Roman" w:hAnsi="Times New Roman"/>
          <w:sz w:val="20"/>
        </w:rPr>
        <w:t>. This Stock Option is intended to qualify as an “incentive stock option” under Section 422 of the Internal Revenue Code of 1986, as amended (the “</w:t>
      </w:r>
      <w:r>
        <w:rPr>
          <w:rFonts w:ascii="Times New Roman" w:hAnsi="Times New Roman"/>
          <w:i/>
          <w:sz w:val="20"/>
        </w:rPr>
        <w:t>Code</w:t>
      </w:r>
      <w:r>
        <w:rPr>
          <w:rFonts w:ascii="Times New Roman" w:hAnsi="Times New Roman"/>
          <w:sz w:val="20"/>
        </w:rPr>
        <w:t xml:space="preserve">”), but the Company does not represent or warrant that this Stock Option qualifies as such. The Optionee should consult with the Optionee’s own tax advisors regarding the tax effects of this Stock Option and the requirements necessary to obtain favorable income tax treatment under Section 422 of the Code, including, but not limited to, holding period requirements and that </w:t>
      </w:r>
      <w:r>
        <w:rPr>
          <w:rFonts w:ascii="Times New Roman" w:hAnsi="Times New Roman"/>
          <w:b/>
          <w:i/>
          <w:sz w:val="20"/>
        </w:rPr>
        <w:t>this Stock Option must be exercised within three months after termination of employment as an employee (or 12 months in the case of death or disability) to qualify as an “incentive stock option.</w:t>
      </w:r>
      <w:r>
        <w:rPr>
          <w:rFonts w:ascii="Times New Roman" w:hAnsi="Times New Roman"/>
          <w:sz w:val="20"/>
        </w:rPr>
        <w:t xml:space="preserve">”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the Optionee, or within the two-year period beginning on the day after the grant of this Stock Option, the Optionee will so notify the Company within 30 days after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Withholding</w:t>
      </w:r>
      <w:r>
        <w:rPr>
          <w:rFonts w:ascii="Times New Roman" w:hAnsi="Times New Roman"/>
          <w:sz w:val="20"/>
        </w:rPr>
        <w:t xml:space="preserve">.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Stock Option. The Administrator may require that the Company’s or Affiliate’s tax withholding obligation to be satisfied, in whole or in part, by (i) the Company withholding from Option Shares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Clawback Acknowledgement</w:t>
      </w:r>
      <w:r>
        <w:rPr>
          <w:rFonts w:ascii="Times New Roman" w:hAnsi="Times New Roman"/>
          <w:sz w:val="20"/>
        </w:rPr>
        <w:t>. The Optionee understands that if the Optionee is or becomes subject to the Obsidian Therapeutics, Inc. Compensation Recovery Policy (as amended from time to time, the “</w:t>
      </w:r>
      <w:r>
        <w:rPr>
          <w:rFonts w:ascii="Times New Roman" w:hAnsi="Times New Roman"/>
          <w:i/>
          <w:sz w:val="20"/>
        </w:rPr>
        <w:t>Clawback</w:t>
      </w:r>
      <w:r>
        <w:rPr>
          <w:rFonts w:ascii="Times New Roman" w:hAnsi="Times New Roman"/>
          <w:sz w:val="20"/>
        </w:rPr>
        <w:t xml:space="preserve"> </w:t>
      </w:r>
      <w:r>
        <w:rPr>
          <w:rFonts w:ascii="Times New Roman" w:hAnsi="Times New Roman"/>
          <w:i/>
          <w:sz w:val="20"/>
        </w:rPr>
        <w:t>Policy</w:t>
      </w:r>
      <w:r>
        <w:rPr>
          <w:rFonts w:ascii="Times New Roman" w:hAnsi="Times New Roman"/>
          <w:sz w:val="20"/>
        </w:rPr>
        <w:t xml:space="preserve">”),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12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101"/>
        <w:gridCol w:w="3951"/>
        <w:gridCol w:w="101"/>
        <w:gridCol w:w="1318"/>
        <w:gridCol w:w="60"/>
        <w:gridCol w:w="4064"/>
      </w:tblGrid>
      <w:tr>
        <w:trPr/>
        <w:tc>
          <w:tcPr>
            <w:tcW w:w="6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95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Dated:</w:t>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Optionee’s Signature</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1419"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Optionee’s name and address:</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1419"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1419"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4052" w:type="dxa"/>
            <w:gridSpan w:val="2"/>
            <w:tcBorders/>
            <w:vAlign w:val="center"/>
          </w:tcPr>
          <w:p>
            <w:pPr>
              <w:pStyle w:val="TableContents"/>
              <w:bidi w:val="0"/>
              <w:spacing w:before="0" w:after="283"/>
              <w:jc w:val="left"/>
              <w:rPr>
                <w:sz w:val="4"/>
                <w:szCs w:val="4"/>
              </w:rPr>
            </w:pPr>
            <w:r>
              <w:rPr>
                <w:sz w:val="4"/>
                <w:szCs w:val="4"/>
              </w:rPr>
            </w:r>
          </w:p>
        </w:tc>
        <w:tc>
          <w:tcPr>
            <w:tcW w:w="1419"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101"/>
        <w:gridCol w:w="7451"/>
      </w:tblGrid>
      <w:tr>
        <w:trPr/>
        <w:tc>
          <w:tcPr>
            <w:tcW w:w="26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451"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Name of Optionee: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No. of Option Shares:</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Option Exercise Price per Share: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pPr>
            <w:r>
              <w:rPr/>
              <w:t>$</w:t>
            </w:r>
            <w:r>
              <w:rPr>
                <w:u w:val="single"/>
              </w:rPr>
              <w:t>            </w:t>
            </w:r>
          </w:p>
        </w:tc>
      </w:tr>
      <w:tr>
        <w:trPr>
          <w:trHeight w:val="6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b/>
              </w:rPr>
            </w:pPr>
            <w:r>
              <w:rPr>
                <w:b/>
              </w:rPr>
              <w:t>[FMV on Grant Date]</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Grant Date: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pPr>
            <w:r>
              <w:rPr/>
              <w:t>Expiration Date:</w:t>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6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b/>
              </w:rPr>
            </w:pPr>
            <w:r>
              <w:rPr>
                <w:b/>
              </w:rPr>
              <w:t>[No more than 10 years]</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to the Optionee named above an option (the “</w:t>
      </w:r>
      <w:r>
        <w:rPr>
          <w:rFonts w:ascii="Times New Roman" w:hAnsi="Times New Roman"/>
          <w:i/>
          <w:sz w:val="20"/>
        </w:rPr>
        <w:t>Stock Option</w:t>
      </w:r>
      <w:r>
        <w:rPr>
          <w:rFonts w:ascii="Times New Roman" w:hAnsi="Times New Roman"/>
          <w:sz w:val="20"/>
        </w:rPr>
        <w:t>”) to purchase on or prior to the Expiration Date specified above all or part of the number of shares of the Company’s Common Stock, par value $0.001 per share (the “</w:t>
      </w:r>
      <w:r>
        <w:rPr>
          <w:rFonts w:ascii="Times New Roman" w:hAnsi="Times New Roman"/>
          <w:i/>
          <w:sz w:val="20"/>
        </w:rPr>
        <w:t>Shares</w:t>
      </w:r>
      <w:r>
        <w:rPr>
          <w:rFonts w:ascii="Times New Roman" w:hAnsi="Times New Roman"/>
          <w:sz w:val="20"/>
        </w:rPr>
        <w:t xml:space="preserve">”),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7"/>
        <w:gridCol w:w="120"/>
        <w:gridCol w:w="4808"/>
      </w:tblGrid>
      <w:tr>
        <w:trPr/>
        <w:tc>
          <w:tcPr>
            <w:tcW w:w="52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r>
      <w:tr>
        <w:trPr/>
        <w:tc>
          <w:tcPr>
            <w:tcW w:w="52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Incremental Number of</w:t>
              <w:br/>
              <w:t>Option Shares Exercisable</w:t>
            </w:r>
          </w:p>
        </w:tc>
        <w:tc>
          <w:tcPr>
            <w:tcW w:w="120" w:type="dxa"/>
            <w:tcBorders/>
            <w:vAlign w:val="bottom"/>
          </w:tcPr>
          <w:p>
            <w:pPr>
              <w:pStyle w:val="TableContents"/>
              <w:bidi w:val="0"/>
              <w:spacing w:before="0" w:after="283"/>
              <w:jc w:val="left"/>
              <w:rPr/>
            </w:pPr>
            <w:r>
              <w:rPr/>
              <w:t>  </w:t>
            </w:r>
          </w:p>
        </w:tc>
        <w:tc>
          <w:tcPr>
            <w:tcW w:w="480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Exercisability Date</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r>
        <w:trPr/>
        <w:tc>
          <w:tcPr>
            <w:tcW w:w="5277" w:type="dxa"/>
            <w:tcBorders/>
          </w:tcPr>
          <w:p>
            <w:pPr>
              <w:pStyle w:val="TableContents"/>
              <w:bidi w:val="0"/>
              <w:spacing w:before="0" w:after="283"/>
              <w:jc w:val="center"/>
              <w:rPr/>
            </w:pPr>
            <w:r>
              <w:rPr/>
              <w:t>_____________ (___%)</w:t>
            </w:r>
          </w:p>
        </w:tc>
        <w:tc>
          <w:tcPr>
            <w:tcW w:w="12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center"/>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or in the Plan, all outstanding Option Shares shall become fully exercisable upon a Sale Event; provided that the Optionee remains in a Service Relationship through the consummation of the Sale Event.]1 Once exercisable, this Stock Option shall continue to be exercisable at any time or times prior to the close of business on the Expiration Date, subject to the provisions hereof and of the Plan.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non-employee directors.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exercise price for the Option Shares may be made by one or more of the following methods: (i) in cash, by certified or bank check or other instrument acceptable to the Administrator, (ii)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(iv) by a “net exercise” arrangement pursuant to which the Company will reduce the number of Option Shares issuable upon exercise by the largest whole number of shares with a Fair Market Value that does not exceed the aggregate exercise price or (v) a combination of (i), (ii), (iii) and (iv)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to pay the exercise price by previously-owned Shares through the attestation method, the number of Shares transferred to the Optionee upon the exercise of the Stock Option shall be net of the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terminates,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 w:hAnsi="Times New Roman"/>
          <w:i/>
          <w:sz w:val="20"/>
        </w:rPr>
        <w:t>Cause</w:t>
      </w:r>
      <w:r>
        <w:rPr>
          <w:rFonts w:ascii="Times New Roman" w:hAnsi="Times New Roman"/>
          <w:sz w:val="20"/>
        </w:rPr>
        <w:t xml:space="preserve">” means, unless otherwise provided in an employment or other service agreement between the Company and the Optionee, a determination by the Administrator that the Optionee’s employment will be terminated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shall be conclusive and binding on the Optionee and the Optionee’s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Stock Option. The Administrator may require that the Company’s or Affiliate’s tax withholding obligation to be satisfied, in whole or in part, by (i) the Company withholding from Option Shares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Optionee (i) authorizes the Company to collect, process, register and transfer to the Relevant Companies all Relevant Information, (ii) waives any privacy rights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Clawback Acknowledgement</w:t>
      </w:r>
      <w:r>
        <w:rPr>
          <w:rFonts w:ascii="Times New Roman" w:hAnsi="Times New Roman"/>
          <w:sz w:val="20"/>
        </w:rPr>
        <w:t>. The Optionee understands that if the Optionee is or becomes subject to the Obsidian Therapeutics, Inc. Compensation Recovery Policy (as amended from time to time, the “</w:t>
      </w:r>
      <w:r>
        <w:rPr>
          <w:rFonts w:ascii="Times New Roman" w:hAnsi="Times New Roman"/>
          <w:i/>
          <w:sz w:val="20"/>
        </w:rPr>
        <w:t>Clawback Policy</w:t>
      </w:r>
      <w:r>
        <w:rPr>
          <w:rFonts w:ascii="Times New Roman" w:hAnsi="Times New Roman"/>
          <w:sz w:val="20"/>
        </w:rPr>
        <w:t xml:space="preserve">”),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11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101"/>
        <w:gridCol w:w="3748"/>
        <w:gridCol w:w="101"/>
        <w:gridCol w:w="1521"/>
        <w:gridCol w:w="60"/>
        <w:gridCol w:w="4064"/>
      </w:tblGrid>
      <w:tr>
        <w:trPr/>
        <w:tc>
          <w:tcPr>
            <w:tcW w:w="6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Dated:</w:t>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Optionee’s Signature</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849" w:type="dxa"/>
            <w:gridSpan w:val="2"/>
            <w:tcBorders/>
            <w:vAlign w:val="center"/>
          </w:tcPr>
          <w:p>
            <w:pPr>
              <w:pStyle w:val="TableContents"/>
              <w:bidi w:val="0"/>
              <w:spacing w:before="0" w:after="283"/>
              <w:jc w:val="left"/>
              <w:rPr>
                <w:sz w:val="4"/>
                <w:szCs w:val="4"/>
              </w:rPr>
            </w:pPr>
            <w:r>
              <w:rPr>
                <w:sz w:val="4"/>
                <w:szCs w:val="4"/>
              </w:rPr>
            </w:r>
          </w:p>
        </w:tc>
        <w:tc>
          <w:tcPr>
            <w:tcW w:w="1622"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Optionee’s name and address:</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849" w:type="dxa"/>
            <w:gridSpan w:val="2"/>
            <w:tcBorders/>
            <w:vAlign w:val="center"/>
          </w:tcPr>
          <w:p>
            <w:pPr>
              <w:pStyle w:val="TableContents"/>
              <w:bidi w:val="0"/>
              <w:spacing w:before="0" w:after="283"/>
              <w:jc w:val="left"/>
              <w:rPr>
                <w:sz w:val="4"/>
                <w:szCs w:val="4"/>
              </w:rPr>
            </w:pPr>
            <w:r>
              <w:rPr>
                <w:sz w:val="4"/>
                <w:szCs w:val="4"/>
              </w:rPr>
            </w:r>
          </w:p>
        </w:tc>
        <w:tc>
          <w:tcPr>
            <w:tcW w:w="1622"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849" w:type="dxa"/>
            <w:gridSpan w:val="2"/>
            <w:tcBorders/>
            <w:vAlign w:val="center"/>
          </w:tcPr>
          <w:p>
            <w:pPr>
              <w:pStyle w:val="TableContents"/>
              <w:bidi w:val="0"/>
              <w:spacing w:before="0" w:after="283"/>
              <w:jc w:val="left"/>
              <w:rPr>
                <w:sz w:val="4"/>
                <w:szCs w:val="4"/>
              </w:rPr>
            </w:pPr>
            <w:r>
              <w:rPr>
                <w:sz w:val="4"/>
                <w:szCs w:val="4"/>
              </w:rPr>
            </w:r>
          </w:p>
        </w:tc>
        <w:tc>
          <w:tcPr>
            <w:tcW w:w="1622"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849" w:type="dxa"/>
            <w:gridSpan w:val="2"/>
            <w:tcBorders/>
            <w:vAlign w:val="center"/>
          </w:tcPr>
          <w:p>
            <w:pPr>
              <w:pStyle w:val="TableContents"/>
              <w:bidi w:val="0"/>
              <w:spacing w:before="0" w:after="283"/>
              <w:jc w:val="left"/>
              <w:rPr>
                <w:sz w:val="4"/>
                <w:szCs w:val="4"/>
              </w:rPr>
            </w:pPr>
            <w:r>
              <w:rPr>
                <w:sz w:val="4"/>
                <w:szCs w:val="4"/>
              </w:rPr>
            </w:r>
          </w:p>
        </w:tc>
        <w:tc>
          <w:tcPr>
            <w:tcW w:w="1622" w:type="dxa"/>
            <w:gridSpan w:val="2"/>
            <w:tcBorders/>
            <w:vAlign w:val="center"/>
          </w:tcPr>
          <w:p>
            <w:pPr>
              <w:pStyle w:val="TableContents"/>
              <w:bidi w:val="0"/>
              <w:spacing w:before="0" w:after="283"/>
              <w:jc w:val="left"/>
              <w:rPr>
                <w:sz w:val="4"/>
                <w:szCs w:val="4"/>
              </w:rPr>
            </w:pPr>
            <w:r>
              <w:rPr>
                <w:sz w:val="4"/>
                <w:szCs w:val="4"/>
              </w:rPr>
            </w:r>
          </w:p>
        </w:tc>
        <w:tc>
          <w:tcPr>
            <w:tcW w:w="4124"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4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7"/>
        <w:gridCol w:w="102"/>
        <w:gridCol w:w="7246"/>
      </w:tblGrid>
      <w:tr>
        <w:trPr/>
        <w:tc>
          <w:tcPr>
            <w:tcW w:w="28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Name of Grantee:</w:t>
            </w:r>
          </w:p>
        </w:tc>
        <w:tc>
          <w:tcPr>
            <w:tcW w:w="102" w:type="dxa"/>
            <w:tcBorders/>
            <w:vAlign w:val="bottom"/>
          </w:tcPr>
          <w:p>
            <w:pPr>
              <w:pStyle w:val="TableContents"/>
              <w:bidi w:val="0"/>
              <w:spacing w:before="0" w:after="283"/>
              <w:jc w:val="left"/>
              <w:rPr/>
            </w:pPr>
            <w:r>
              <w:rPr/>
              <w:t> </w:t>
            </w:r>
          </w:p>
        </w:tc>
        <w:tc>
          <w:tcPr>
            <w:tcW w:w="7246" w:type="dxa"/>
            <w:tcBorders/>
          </w:tcPr>
          <w:p>
            <w:pPr>
              <w:pStyle w:val="TableContents"/>
              <w:bidi w:val="0"/>
              <w:spacing w:before="0" w:after="283"/>
              <w:jc w:val="left"/>
              <w:rPr>
                <w:u w:val="single"/>
              </w:rPr>
            </w:pPr>
            <w:r>
              <w:rPr>
                <w:u w:val="single"/>
              </w:rPr>
              <w:t>                        </w:t>
            </w:r>
          </w:p>
        </w:tc>
      </w:tr>
      <w:tr>
        <w:trPr>
          <w:trHeight w:val="240" w:hRule="atLeast"/>
        </w:trPr>
        <w:tc>
          <w:tcPr>
            <w:tcW w:w="2857"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No. of Restricted Stock Units:</w:t>
            </w:r>
          </w:p>
        </w:tc>
        <w:tc>
          <w:tcPr>
            <w:tcW w:w="102" w:type="dxa"/>
            <w:tcBorders/>
            <w:vAlign w:val="bottom"/>
          </w:tcPr>
          <w:p>
            <w:pPr>
              <w:pStyle w:val="TableContents"/>
              <w:bidi w:val="0"/>
              <w:spacing w:before="0" w:after="283"/>
              <w:jc w:val="left"/>
              <w:rPr/>
            </w:pPr>
            <w:r>
              <w:rPr/>
              <w:t> </w:t>
            </w:r>
          </w:p>
        </w:tc>
        <w:tc>
          <w:tcPr>
            <w:tcW w:w="7246" w:type="dxa"/>
            <w:tcBorders/>
          </w:tcPr>
          <w:p>
            <w:pPr>
              <w:pStyle w:val="TableContents"/>
              <w:bidi w:val="0"/>
              <w:spacing w:before="0" w:after="283"/>
              <w:jc w:val="left"/>
              <w:rPr>
                <w:u w:val="single"/>
              </w:rPr>
            </w:pPr>
            <w:r>
              <w:rPr>
                <w:u w:val="single"/>
              </w:rPr>
              <w:t>          </w:t>
            </w:r>
          </w:p>
        </w:tc>
      </w:tr>
      <w:tr>
        <w:trPr>
          <w:trHeight w:val="240" w:hRule="atLeast"/>
        </w:trPr>
        <w:tc>
          <w:tcPr>
            <w:tcW w:w="2857"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Grant Date:</w:t>
            </w:r>
          </w:p>
        </w:tc>
        <w:tc>
          <w:tcPr>
            <w:tcW w:w="102" w:type="dxa"/>
            <w:tcBorders/>
            <w:vAlign w:val="bottom"/>
          </w:tcPr>
          <w:p>
            <w:pPr>
              <w:pStyle w:val="TableContents"/>
              <w:bidi w:val="0"/>
              <w:spacing w:before="0" w:after="283"/>
              <w:jc w:val="left"/>
              <w:rPr/>
            </w:pPr>
            <w:r>
              <w:rPr/>
              <w:t> </w:t>
            </w:r>
          </w:p>
        </w:tc>
        <w:tc>
          <w:tcPr>
            <w:tcW w:w="7246"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an award of the number of Restricted Stock Units listed above (an “</w:t>
      </w:r>
      <w:r>
        <w:rPr>
          <w:rFonts w:ascii="Times New Roman" w:hAnsi="Times New Roman"/>
          <w:i/>
          <w:sz w:val="20"/>
        </w:rPr>
        <w:t>Award</w:t>
      </w:r>
      <w:r>
        <w:rPr>
          <w:rFonts w:ascii="Times New Roman" w:hAnsi="Times New Roman"/>
          <w:sz w:val="20"/>
        </w:rPr>
        <w:t>”) to the Grantee named above. Each Restricted Stock Unit relates to one share of Common Stock, par value $0.001 per share (the “</w:t>
      </w:r>
      <w:r>
        <w:rPr>
          <w:rFonts w:ascii="Times New Roman" w:hAnsi="Times New Roman"/>
          <w:i/>
          <w:sz w:val="20"/>
        </w:rPr>
        <w:t>Shares</w:t>
      </w:r>
      <w:r>
        <w:rPr>
          <w:rFonts w:ascii="Times New Roman" w:hAnsi="Times New Roman"/>
          <w:sz w:val="20"/>
        </w:rPr>
        <w:t xml:space="preserv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Vesting of Restricted Stock Units</w:t>
      </w:r>
      <w:r>
        <w:rPr>
          <w:rFonts w:ascii="Times New Roman" w:hAnsi="Times New Roman"/>
          <w:sz w:val="20"/>
        </w:rPr>
        <w:t>. The restrictions and conditions of Paragraph 1 of this Agreement shall lapse on the vesting dates (each such date, a “</w:t>
      </w:r>
      <w:r>
        <w:rPr>
          <w:rFonts w:ascii="Times New Roman" w:hAnsi="Times New Roman"/>
          <w:i/>
          <w:sz w:val="20"/>
        </w:rPr>
        <w:t>Vesting Date</w:t>
      </w:r>
      <w:r>
        <w:rPr>
          <w:rFonts w:ascii="Times New Roman" w:hAnsi="Times New Roman"/>
          <w:sz w:val="20"/>
        </w:rPr>
        <w:t xml:space="preserve">”) specified in the following schedule so long as the Grantee remains in a Service Relationship through the applicable Vesting Date. If a series of Vesting Dates is specified, then the restrictions and conditions in Paragraph 1 shall lapse only with respect to the number of Restricted Stock Units specified as vested on such Vesting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9"/>
        <w:gridCol w:w="122"/>
        <w:gridCol w:w="4734"/>
      </w:tblGrid>
      <w:tr>
        <w:trPr/>
        <w:tc>
          <w:tcPr>
            <w:tcW w:w="534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34" w:type="dxa"/>
            <w:tcBorders/>
            <w:vAlign w:val="center"/>
          </w:tcPr>
          <w:p>
            <w:pPr>
              <w:pStyle w:val="TableContents"/>
              <w:bidi w:val="0"/>
              <w:spacing w:before="0" w:after="283"/>
              <w:jc w:val="left"/>
              <w:rPr>
                <w:sz w:val="4"/>
                <w:szCs w:val="4"/>
              </w:rPr>
            </w:pPr>
            <w:r>
              <w:rPr>
                <w:sz w:val="4"/>
                <w:szCs w:val="4"/>
              </w:rPr>
            </w:r>
          </w:p>
        </w:tc>
      </w:tr>
      <w:tr>
        <w:trPr/>
        <w:tc>
          <w:tcPr>
            <w:tcW w:w="5349"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Incremental Number 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Restricted Stock Units Vested</w:t>
            </w:r>
          </w:p>
        </w:tc>
        <w:tc>
          <w:tcPr>
            <w:tcW w:w="122" w:type="dxa"/>
            <w:tcBorders/>
            <w:vAlign w:val="bottom"/>
          </w:tcPr>
          <w:p>
            <w:pPr>
              <w:pStyle w:val="TableContents"/>
              <w:bidi w:val="0"/>
              <w:spacing w:before="0" w:after="283"/>
              <w:jc w:val="left"/>
              <w:rPr/>
            </w:pPr>
            <w:r>
              <w:rPr/>
              <w:t>  </w:t>
            </w:r>
          </w:p>
        </w:tc>
        <w:tc>
          <w:tcPr>
            <w:tcW w:w="473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Vesting Date</w:t>
            </w:r>
          </w:p>
        </w:tc>
      </w:tr>
      <w:tr>
        <w:trPr/>
        <w:tc>
          <w:tcPr>
            <w:tcW w:w="5349" w:type="dxa"/>
            <w:tcBorders/>
          </w:tcPr>
          <w:p>
            <w:pPr>
              <w:pStyle w:val="TableContents"/>
              <w:bidi w:val="0"/>
              <w:spacing w:before="0" w:after="283"/>
              <w:jc w:val="center"/>
              <w:rPr/>
            </w:pPr>
            <w:r>
              <w:rPr/>
              <w:t>_____________ (___%)</w:t>
            </w:r>
          </w:p>
        </w:tc>
        <w:tc>
          <w:tcPr>
            <w:tcW w:w="122" w:type="dxa"/>
            <w:tcBorders/>
            <w:vAlign w:val="bottom"/>
          </w:tcPr>
          <w:p>
            <w:pPr>
              <w:pStyle w:val="TableContents"/>
              <w:bidi w:val="0"/>
              <w:spacing w:before="0" w:after="283"/>
              <w:jc w:val="left"/>
              <w:rPr/>
            </w:pPr>
            <w:r>
              <w:rPr/>
              <w:t>  </w:t>
            </w:r>
          </w:p>
        </w:tc>
        <w:tc>
          <w:tcPr>
            <w:tcW w:w="4734" w:type="dxa"/>
            <w:tcBorders/>
          </w:tcPr>
          <w:p>
            <w:pPr>
              <w:pStyle w:val="TableContents"/>
              <w:bidi w:val="0"/>
              <w:spacing w:before="0" w:after="283"/>
              <w:jc w:val="center"/>
              <w:rPr>
                <w:u w:val="single"/>
              </w:rPr>
            </w:pPr>
            <w:r>
              <w:rPr>
                <w:u w:val="single"/>
              </w:rPr>
              <w:t>     </w:t>
            </w:r>
          </w:p>
        </w:tc>
      </w:tr>
      <w:tr>
        <w:trPr/>
        <w:tc>
          <w:tcPr>
            <w:tcW w:w="5349" w:type="dxa"/>
            <w:tcBorders/>
          </w:tcPr>
          <w:p>
            <w:pPr>
              <w:pStyle w:val="TableContents"/>
              <w:bidi w:val="0"/>
              <w:spacing w:before="0" w:after="283"/>
              <w:jc w:val="center"/>
              <w:rPr/>
            </w:pPr>
            <w:r>
              <w:rPr/>
              <w:t>_____________ (___%)</w:t>
            </w:r>
          </w:p>
        </w:tc>
        <w:tc>
          <w:tcPr>
            <w:tcW w:w="122" w:type="dxa"/>
            <w:tcBorders/>
            <w:vAlign w:val="bottom"/>
          </w:tcPr>
          <w:p>
            <w:pPr>
              <w:pStyle w:val="TableContents"/>
              <w:bidi w:val="0"/>
              <w:spacing w:before="0" w:after="283"/>
              <w:jc w:val="left"/>
              <w:rPr/>
            </w:pPr>
            <w:r>
              <w:rPr/>
              <w:t>  </w:t>
            </w:r>
          </w:p>
        </w:tc>
        <w:tc>
          <w:tcPr>
            <w:tcW w:w="4734" w:type="dxa"/>
            <w:tcBorders/>
          </w:tcPr>
          <w:p>
            <w:pPr>
              <w:pStyle w:val="TableContents"/>
              <w:bidi w:val="0"/>
              <w:spacing w:before="0" w:after="283"/>
              <w:jc w:val="center"/>
              <w:rPr>
                <w:u w:val="single"/>
              </w:rPr>
            </w:pPr>
            <w:r>
              <w:rPr>
                <w:u w:val="single"/>
              </w:rPr>
              <w:t>     </w:t>
            </w:r>
          </w:p>
        </w:tc>
      </w:tr>
      <w:tr>
        <w:trPr/>
        <w:tc>
          <w:tcPr>
            <w:tcW w:w="5349" w:type="dxa"/>
            <w:tcBorders/>
          </w:tcPr>
          <w:p>
            <w:pPr>
              <w:pStyle w:val="TableContents"/>
              <w:bidi w:val="0"/>
              <w:spacing w:before="0" w:after="283"/>
              <w:jc w:val="center"/>
              <w:rPr/>
            </w:pPr>
            <w:r>
              <w:rPr/>
              <w:t>_____________ (___%)</w:t>
            </w:r>
          </w:p>
        </w:tc>
        <w:tc>
          <w:tcPr>
            <w:tcW w:w="122" w:type="dxa"/>
            <w:tcBorders/>
            <w:vAlign w:val="bottom"/>
          </w:tcPr>
          <w:p>
            <w:pPr>
              <w:pStyle w:val="TableContents"/>
              <w:bidi w:val="0"/>
              <w:spacing w:before="0" w:after="283"/>
              <w:jc w:val="left"/>
              <w:rPr/>
            </w:pPr>
            <w:r>
              <w:rPr/>
              <w:t>  </w:t>
            </w:r>
          </w:p>
        </w:tc>
        <w:tc>
          <w:tcPr>
            <w:tcW w:w="4734" w:type="dxa"/>
            <w:tcBorders/>
          </w:tcPr>
          <w:p>
            <w:pPr>
              <w:pStyle w:val="TableContents"/>
              <w:bidi w:val="0"/>
              <w:spacing w:before="0" w:after="283"/>
              <w:jc w:val="center"/>
              <w:rPr>
                <w:u w:val="single"/>
              </w:rPr>
            </w:pPr>
            <w:r>
              <w:rPr>
                <w:u w:val="single"/>
              </w:rPr>
              <w:t>     </w:t>
            </w:r>
          </w:p>
        </w:tc>
      </w:tr>
      <w:tr>
        <w:trPr/>
        <w:tc>
          <w:tcPr>
            <w:tcW w:w="5349" w:type="dxa"/>
            <w:tcBorders/>
          </w:tcPr>
          <w:p>
            <w:pPr>
              <w:pStyle w:val="TableContents"/>
              <w:bidi w:val="0"/>
              <w:spacing w:before="0" w:after="283"/>
              <w:jc w:val="center"/>
              <w:rPr/>
            </w:pPr>
            <w:r>
              <w:rPr/>
              <w:t>_____________ (___%)</w:t>
            </w:r>
          </w:p>
        </w:tc>
        <w:tc>
          <w:tcPr>
            <w:tcW w:w="122" w:type="dxa"/>
            <w:tcBorders/>
            <w:vAlign w:val="bottom"/>
          </w:tcPr>
          <w:p>
            <w:pPr>
              <w:pStyle w:val="TableContents"/>
              <w:bidi w:val="0"/>
              <w:spacing w:before="0" w:after="283"/>
              <w:jc w:val="left"/>
              <w:rPr/>
            </w:pPr>
            <w:r>
              <w:rPr/>
              <w:t>  </w:t>
            </w:r>
          </w:p>
        </w:tc>
        <w:tc>
          <w:tcPr>
            <w:tcW w:w="4734" w:type="dxa"/>
            <w:tcBorders/>
          </w:tcPr>
          <w:p>
            <w:pPr>
              <w:pStyle w:val="TableContents"/>
              <w:bidi w:val="0"/>
              <w:spacing w:before="0" w:after="283"/>
              <w:jc w:val="center"/>
              <w:rPr>
                <w:u w:val="single"/>
              </w:rPr>
            </w:pPr>
            <w:r>
              <w:rPr>
                <w:u w:val="single"/>
              </w:rPr>
              <w:t>     </w:t>
            </w:r>
          </w:p>
        </w:tc>
      </w:tr>
      <w:tr>
        <w:trPr/>
        <w:tc>
          <w:tcPr>
            <w:tcW w:w="5349" w:type="dxa"/>
            <w:tcBorders/>
          </w:tcPr>
          <w:p>
            <w:pPr>
              <w:pStyle w:val="TableContents"/>
              <w:bidi w:val="0"/>
              <w:spacing w:before="0" w:after="283"/>
              <w:jc w:val="center"/>
              <w:rPr/>
            </w:pPr>
            <w:r>
              <w:rPr/>
              <w:t>_____________ (___%)</w:t>
            </w:r>
          </w:p>
        </w:tc>
        <w:tc>
          <w:tcPr>
            <w:tcW w:w="122" w:type="dxa"/>
            <w:tcBorders/>
            <w:vAlign w:val="bottom"/>
          </w:tcPr>
          <w:p>
            <w:pPr>
              <w:pStyle w:val="TableContents"/>
              <w:bidi w:val="0"/>
              <w:spacing w:before="0" w:after="283"/>
              <w:jc w:val="left"/>
              <w:rPr/>
            </w:pPr>
            <w:r>
              <w:rPr/>
              <w:t>  </w:t>
            </w:r>
          </w:p>
        </w:tc>
        <w:tc>
          <w:tcPr>
            <w:tcW w:w="4734" w:type="dxa"/>
            <w:tcBorders/>
          </w:tcPr>
          <w:p>
            <w:pPr>
              <w:pStyle w:val="TableContents"/>
              <w:bidi w:val="0"/>
              <w:spacing w:before="0" w:after="283"/>
              <w:jc w:val="center"/>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or in the Plan, all outstanding Restricted Stock Units shall become fully vested upon a Sale Event; provided that the Grantee remains in a Service Relationship through the consummation of the Sale Event.]1 The Administrator may at any time accelerate the vesting schedule specified in this Paragraph 2.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non-employee directors.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Unless otherwise determined by the Administrator, if the Grantee’s Service Relationship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Issuance of Shares</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Vesting Date and the Grantee shall thereafter have all the rights of a stockholder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Grantee shall, not later than the date as of which of this Award becomes includable in the gross income of the Grantee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subject to the Award are immediately sold and proceeds from such sale are remitted to the Company or any applicable Affiliate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as “short-term deferrals” as described in Section 409A.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Grantee’s employment or other Service Relationship and neither the Plan nor this Agreement shall interfere in any way with the right of the Company or any Affiliate to terminate the Grantee’s employment or other Service Relationship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Clawback Acknowledgement</w:t>
      </w:r>
      <w:r>
        <w:rPr>
          <w:rFonts w:ascii="Times New Roman" w:hAnsi="Times New Roman"/>
          <w:sz w:val="20"/>
        </w:rPr>
        <w:t>. The Grantee understands that if the Grantee is or becomes subject to the Obsidian Therapeutics, Inc. Compensation Recovery Policy (as amended from time to time, the “</w:t>
      </w:r>
      <w:r>
        <w:rPr>
          <w:rFonts w:ascii="Times New Roman" w:hAnsi="Times New Roman"/>
          <w:i/>
          <w:sz w:val="20"/>
        </w:rPr>
        <w:t>Clawback Policy</w:t>
      </w:r>
      <w:r>
        <w:rPr>
          <w:rFonts w:ascii="Times New Roman" w:hAnsi="Times New Roman"/>
          <w:sz w:val="20"/>
        </w:rPr>
        <w:t xml:space="preserve">”),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Service Relationship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Further, to the extent that any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 This Section 12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7"/>
        <w:gridCol w:w="100"/>
        <w:gridCol w:w="3747"/>
        <w:gridCol w:w="100"/>
        <w:gridCol w:w="1315"/>
        <w:gridCol w:w="61"/>
        <w:gridCol w:w="23"/>
        <w:gridCol w:w="100"/>
        <w:gridCol w:w="4152"/>
      </w:tblGrid>
      <w:tr>
        <w:trPr/>
        <w:tc>
          <w:tcPr>
            <w:tcW w:w="6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152" w:type="dxa"/>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Dated:</w:t>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pBdr>
                <w:bottom w:val="single" w:sz="2" w:space="1" w:color="000000"/>
              </w:pBdr>
              <w:bidi w:val="0"/>
              <w:spacing w:before="0" w:after="20"/>
              <w:jc w:val="left"/>
              <w:rPr/>
            </w:pPr>
            <w:r>
              <w:rPr/>
              <w:t> </w:t>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pBdr>
                <w:bottom w:val="single" w:sz="2" w:space="1" w:color="000000"/>
              </w:pBdr>
              <w:bidi w:val="0"/>
              <w:spacing w:before="0" w:after="20"/>
              <w:jc w:val="left"/>
              <w:rPr/>
            </w:pPr>
            <w:r>
              <w:rPr/>
              <w:t> </w:t>
            </w:r>
          </w:p>
        </w:tc>
      </w:tr>
      <w:tr>
        <w:trPr/>
        <w:tc>
          <w:tcPr>
            <w:tcW w:w="6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bidi w:val="0"/>
              <w:spacing w:before="0" w:after="283"/>
              <w:jc w:val="left"/>
              <w:rPr/>
            </w:pPr>
            <w:r>
              <w:rPr/>
              <w:t>Grantee’s Signature</w:t>
            </w:r>
          </w:p>
        </w:tc>
      </w:tr>
      <w:tr>
        <w:trPr>
          <w:trHeight w:val="240" w:hRule="atLeast"/>
        </w:trPr>
        <w:tc>
          <w:tcPr>
            <w:tcW w:w="607" w:type="dxa"/>
            <w:tcBorders/>
            <w:vAlign w:val="center"/>
          </w:tcPr>
          <w:p>
            <w:pPr>
              <w:pStyle w:val="TableContents"/>
              <w:bidi w:val="0"/>
              <w:spacing w:before="0" w:after="283"/>
              <w:jc w:val="left"/>
              <w:rPr>
                <w:sz w:val="4"/>
                <w:szCs w:val="4"/>
              </w:rPr>
            </w:pPr>
            <w:r>
              <w:rPr>
                <w:sz w:val="4"/>
                <w:szCs w:val="4"/>
              </w:rPr>
            </w:r>
          </w:p>
        </w:tc>
        <w:tc>
          <w:tcPr>
            <w:tcW w:w="3847"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25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bidi w:val="0"/>
              <w:spacing w:before="0" w:after="283"/>
              <w:jc w:val="left"/>
              <w:rPr/>
            </w:pPr>
            <w:r>
              <w:rPr/>
              <w:t>Grantee’s name and address:</w:t>
            </w:r>
          </w:p>
        </w:tc>
      </w:tr>
      <w:tr>
        <w:trPr>
          <w:trHeight w:val="240" w:hRule="atLeast"/>
        </w:trPr>
        <w:tc>
          <w:tcPr>
            <w:tcW w:w="607" w:type="dxa"/>
            <w:tcBorders/>
            <w:vAlign w:val="center"/>
          </w:tcPr>
          <w:p>
            <w:pPr>
              <w:pStyle w:val="TableContents"/>
              <w:bidi w:val="0"/>
              <w:spacing w:before="0" w:after="283"/>
              <w:jc w:val="left"/>
              <w:rPr>
                <w:sz w:val="4"/>
                <w:szCs w:val="4"/>
              </w:rPr>
            </w:pPr>
            <w:r>
              <w:rPr>
                <w:sz w:val="4"/>
                <w:szCs w:val="4"/>
              </w:rPr>
            </w:r>
          </w:p>
        </w:tc>
        <w:tc>
          <w:tcPr>
            <w:tcW w:w="3847"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25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pBdr>
                <w:bottom w:val="single" w:sz="2" w:space="1" w:color="000000"/>
              </w:pBdr>
              <w:bidi w:val="0"/>
              <w:spacing w:before="0" w:after="20"/>
              <w:jc w:val="left"/>
              <w:rPr/>
            </w:pPr>
            <w:r>
              <w:rPr/>
              <w:t> </w:t>
            </w:r>
          </w:p>
        </w:tc>
      </w:tr>
      <w:tr>
        <w:trPr>
          <w:trHeight w:val="240" w:hRule="atLeast"/>
        </w:trPr>
        <w:tc>
          <w:tcPr>
            <w:tcW w:w="607" w:type="dxa"/>
            <w:tcBorders/>
            <w:vAlign w:val="center"/>
          </w:tcPr>
          <w:p>
            <w:pPr>
              <w:pStyle w:val="TableContents"/>
              <w:bidi w:val="0"/>
              <w:spacing w:before="0" w:after="283"/>
              <w:jc w:val="left"/>
              <w:rPr>
                <w:sz w:val="4"/>
                <w:szCs w:val="4"/>
              </w:rPr>
            </w:pPr>
            <w:r>
              <w:rPr>
                <w:sz w:val="4"/>
                <w:szCs w:val="4"/>
              </w:rPr>
            </w:r>
          </w:p>
        </w:tc>
        <w:tc>
          <w:tcPr>
            <w:tcW w:w="3847"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25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pBdr>
                <w:bottom w:val="single" w:sz="2" w:space="1" w:color="000000"/>
              </w:pBdr>
              <w:bidi w:val="0"/>
              <w:spacing w:before="0" w:after="20"/>
              <w:jc w:val="left"/>
              <w:rPr/>
            </w:pPr>
            <w:r>
              <w:rPr/>
              <w:t> </w:t>
            </w:r>
          </w:p>
        </w:tc>
      </w:tr>
      <w:tr>
        <w:trPr>
          <w:trHeight w:val="240" w:hRule="atLeast"/>
        </w:trPr>
        <w:tc>
          <w:tcPr>
            <w:tcW w:w="607" w:type="dxa"/>
            <w:tcBorders/>
            <w:vAlign w:val="center"/>
          </w:tcPr>
          <w:p>
            <w:pPr>
              <w:pStyle w:val="TableContents"/>
              <w:bidi w:val="0"/>
              <w:spacing w:before="0" w:after="283"/>
              <w:jc w:val="left"/>
              <w:rPr>
                <w:sz w:val="4"/>
                <w:szCs w:val="4"/>
              </w:rPr>
            </w:pPr>
            <w:r>
              <w:rPr>
                <w:sz w:val="4"/>
                <w:szCs w:val="4"/>
              </w:rPr>
            </w:r>
          </w:p>
        </w:tc>
        <w:tc>
          <w:tcPr>
            <w:tcW w:w="3847"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25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74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1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5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4" w:name="d309963dex108.htm"/>
      <w:bookmarkStart w:id="25" w:name="ksd309963dex108"/>
      <w:bookmarkEnd w:id="24"/>
      <w:bookmarkEnd w:id="25"/>
      <w:r>
        <w:rPr>
          <w:rFonts w:ascii="Times New Roman" w:hAnsi="Times New Roman"/>
          <w:b/>
          <w:sz w:val="20"/>
        </w:rPr>
        <w:t xml:space="preserve">Exhibit 10.8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The purpose of the Obsidian Therapeutics, Inc. 2026 Employee Stock Purchase Plan (the “</w:t>
      </w:r>
      <w:r>
        <w:rPr>
          <w:rFonts w:ascii="Times New Roman" w:hAnsi="Times New Roman"/>
          <w:i/>
          <w:sz w:val="20"/>
        </w:rPr>
        <w:t>Plan</w:t>
      </w:r>
      <w:r>
        <w:rPr>
          <w:rFonts w:ascii="Times New Roman" w:hAnsi="Times New Roman"/>
          <w:sz w:val="20"/>
        </w:rPr>
        <w:t>”) is to provide eligible employees of Obsidian Therapeutics, Inc. (the “</w:t>
      </w:r>
      <w:r>
        <w:rPr>
          <w:rFonts w:ascii="Times New Roman" w:hAnsi="Times New Roman"/>
          <w:i/>
          <w:sz w:val="20"/>
        </w:rPr>
        <w:t>Company</w:t>
      </w:r>
      <w:r>
        <w:rPr>
          <w:rFonts w:ascii="Times New Roman" w:hAnsi="Times New Roman"/>
          <w:sz w:val="20"/>
        </w:rPr>
        <w:t>”) and each Designated Company (as defined in Section 11) with opportunities to purchase shares of Stock (as defined in Section 11). A number of shares of Stock equal to the lesser of (x) 1% of the number of fully diluted shares of the Company outstanding immediately following the Effective Time (as defined in the Merger Agreement (as defined in Section 11)) and (y) 759,452 shares (the “</w:t>
      </w:r>
      <w:r>
        <w:rPr>
          <w:rFonts w:ascii="Times New Roman" w:hAnsi="Times New Roman"/>
          <w:i/>
          <w:sz w:val="20"/>
        </w:rPr>
        <w:t>Initial Limit</w:t>
      </w:r>
      <w:r>
        <w:rPr>
          <w:rFonts w:ascii="Times New Roman" w:hAnsi="Times New Roman"/>
          <w:sz w:val="20"/>
        </w:rPr>
        <w:t xml:space="preserve">”) have been approved and reserved for this purpose plus, on January 1, 2027 and each January 1 thereafter through January 1, 2036, the number of shares of Stock reserved and available for issuance under the Plan shall be cumulatively increased by the least of (i) 1% of the number of Outstanding Shares on the immediately preceding December 31st, (ii) the Initial Limit or (iii) such number of shares of Stock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The Plan includes two components: a Code Section 423 Component (the “</w:t>
      </w:r>
      <w:r>
        <w:rPr>
          <w:rFonts w:ascii="Times New Roman" w:hAnsi="Times New Roman"/>
          <w:i/>
          <w:sz w:val="20"/>
        </w:rPr>
        <w:t>423 Component</w:t>
      </w:r>
      <w:r>
        <w:rPr>
          <w:rFonts w:ascii="Times New Roman" w:hAnsi="Times New Roman"/>
          <w:sz w:val="20"/>
        </w:rPr>
        <w:t>”) and a non-Code Section 423 Component (the “</w:t>
      </w:r>
      <w:r>
        <w:rPr>
          <w:rFonts w:ascii="Times New Roman" w:hAnsi="Times New Roman"/>
          <w:i/>
          <w:sz w:val="20"/>
        </w:rPr>
        <w:t>Non-423 Component</w:t>
      </w:r>
      <w:r>
        <w:rPr>
          <w:rFonts w:ascii="Times New Roman" w:hAnsi="Times New Roman"/>
          <w:sz w:val="20"/>
        </w:rPr>
        <w:t>”). It is intended for the 423 Component to constitute an “employee stock purchase plan” within the meaning of Section 423(b) of the U.S. Internal Revenue Code of 1986, as amended (the “</w:t>
      </w:r>
      <w:r>
        <w:rPr>
          <w:rFonts w:ascii="Times New Roman" w:hAnsi="Times New Roman"/>
          <w:i/>
          <w:sz w:val="20"/>
        </w:rPr>
        <w:t>Code</w:t>
      </w:r>
      <w:r>
        <w:rPr>
          <w:rFonts w:ascii="Times New Roman" w:hAnsi="Times New Roman"/>
          <w:sz w:val="20"/>
        </w:rPr>
        <w:t xml:space="preserv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Administration</w:t>
      </w:r>
      <w:r>
        <w:rPr>
          <w:rFonts w:ascii="Times New Roman" w:hAnsi="Times New Roman"/>
          <w:sz w:val="20"/>
        </w:rPr>
        <w:t>. The Plan will be administered by the person or persons (the “</w:t>
      </w:r>
      <w:r>
        <w:rPr>
          <w:rFonts w:ascii="Times New Roman" w:hAnsi="Times New Roman"/>
          <w:i/>
          <w:sz w:val="20"/>
        </w:rPr>
        <w:t>Administrator</w:t>
      </w:r>
      <w:r>
        <w:rPr>
          <w:rFonts w:ascii="Times New Roman" w:hAnsi="Times New Roman"/>
          <w:sz w:val="20"/>
        </w:rPr>
        <w:t>”) appointed by the Company’s Board of Directors (the “</w:t>
      </w:r>
      <w:r>
        <w:rPr>
          <w:rFonts w:ascii="Times New Roman" w:hAnsi="Times New Roman"/>
          <w:i/>
          <w:sz w:val="20"/>
        </w:rPr>
        <w:t>Board</w:t>
      </w:r>
      <w:r>
        <w:rPr>
          <w:rFonts w:ascii="Times New Roman" w:hAnsi="Times New Roman"/>
          <w:sz w:val="20"/>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Offerings</w:t>
      </w:r>
      <w:r>
        <w:rPr>
          <w:rFonts w:ascii="Times New Roman" w:hAnsi="Times New Roman"/>
          <w:sz w:val="20"/>
        </w:rPr>
        <w:t>. The Company may make one or more offerings to eligible employees to purchase shares of Stock under the Plan (“</w:t>
      </w:r>
      <w:r>
        <w:rPr>
          <w:rFonts w:ascii="Times New Roman" w:hAnsi="Times New Roman"/>
          <w:i/>
          <w:sz w:val="20"/>
        </w:rPr>
        <w:t>Offerings</w:t>
      </w:r>
      <w:r>
        <w:rPr>
          <w:rFonts w:ascii="Times New Roman" w:hAnsi="Times New Roman"/>
          <w:sz w:val="20"/>
        </w:rPr>
        <w:t xml:space="preserve">”),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Eligibility</w:t>
      </w:r>
      <w:r>
        <w:rPr>
          <w:rFonts w:ascii="Times New Roman" w:hAnsi="Times New Roman"/>
          <w:sz w:val="20"/>
        </w:rPr>
        <w:t>. All individuals classified as employees on the payroll records of the Company or a Designated Company as of the first day of the applicable Offering (the “</w:t>
      </w:r>
      <w:r>
        <w:rPr>
          <w:rFonts w:ascii="Times New Roman" w:hAnsi="Times New Roman"/>
          <w:i/>
          <w:sz w:val="20"/>
        </w:rPr>
        <w:t>Offering Date</w:t>
      </w:r>
      <w:r>
        <w:rPr>
          <w:rFonts w:ascii="Times New Roman" w:hAnsi="Times New Roman"/>
          <w:sz w:val="20"/>
        </w:rPr>
        <w:t xml:space="preserve">”)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Participation</w:t>
      </w:r>
      <w:r>
        <w:rPr>
          <w:rFonts w:ascii="Times New Roman" w:hAnsi="Times New Roman"/>
          <w:sz w:val="20"/>
        </w:rPr>
        <w:t xml:space="preserve">.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the deadline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Employee Contributions</w:t>
      </w:r>
      <w:r>
        <w:rPr>
          <w:rFonts w:ascii="Times New Roman" w:hAnsi="Times New Roman"/>
          <w:sz w:val="20"/>
        </w:rPr>
        <w:t xml:space="preserve">.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Contribution Changes</w:t>
      </w:r>
      <w:r>
        <w:rPr>
          <w:rFonts w:ascii="Times New Roman" w:hAnsi="Times New Roman"/>
          <w:sz w:val="20"/>
        </w:rPr>
        <w:t xml:space="preserve">. Unless otherwise determined by the Administrator, except in the case of withdrawal as described in Section 7, a Participant may not increase or decrease such Participant’s payroll deductions during any Offering, but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rules permitting a Participant to increase, decrease or terminate such Participant’s payroll deductions during an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Withdrawal</w:t>
      </w:r>
      <w:r>
        <w:rPr>
          <w:rFonts w:ascii="Times New Roman" w:hAnsi="Times New Roman"/>
          <w:sz w:val="20"/>
        </w:rPr>
        <w:t xml:space="preserve">.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Grant of Options</w:t>
      </w:r>
      <w:r>
        <w:rPr>
          <w:rFonts w:ascii="Times New Roman" w:hAnsi="Times New Roman"/>
          <w:sz w:val="20"/>
        </w:rPr>
        <w:t>. On each Offering Date, the Company will grant to each eligible employee who is then a Participant in the Plan an option (“</w:t>
      </w:r>
      <w:r>
        <w:rPr>
          <w:rFonts w:ascii="Times New Roman" w:hAnsi="Times New Roman"/>
          <w:i/>
          <w:sz w:val="20"/>
        </w:rPr>
        <w:t>Option</w:t>
      </w:r>
      <w:r>
        <w:rPr>
          <w:rFonts w:ascii="Times New Roman" w:hAnsi="Times New Roman"/>
          <w:sz w:val="20"/>
        </w:rPr>
        <w:t>”) to purchase on the last day of a Purchase Period (an “</w:t>
      </w:r>
      <w:r>
        <w:rPr>
          <w:rFonts w:ascii="Times New Roman" w:hAnsi="Times New Roman"/>
          <w:i/>
          <w:sz w:val="20"/>
        </w:rPr>
        <w:t>Exercise Date</w:t>
      </w:r>
      <w:r>
        <w:rPr>
          <w:rFonts w:ascii="Times New Roman" w:hAnsi="Times New Roman"/>
          <w:sz w:val="20"/>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 w:hAnsi="Times New Roman"/>
          <w:i/>
          <w:sz w:val="20"/>
        </w:rPr>
        <w:t>Option Price</w:t>
      </w:r>
      <w:r>
        <w:rPr>
          <w:rFonts w:ascii="Times New Roman" w:hAnsi="Times New Roman"/>
          <w:sz w:val="20"/>
        </w:rPr>
        <w:t xml:space="preserve">”) will be 85% of the Fair Market Value of the Stock on the Offering Date or the Exercise Date,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Exercise of Option and Purchase of Shares</w:t>
      </w:r>
      <w:r>
        <w:rPr>
          <w:rFonts w:ascii="Times New Roman" w:hAnsi="Times New Roman"/>
          <w:sz w:val="20"/>
        </w:rPr>
        <w:t xml:space="preserve">.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Delivery of Shares</w:t>
      </w:r>
      <w:r>
        <w:rPr>
          <w:rFonts w:ascii="Times New Roman" w:hAnsi="Times New Roman"/>
          <w:sz w:val="20"/>
        </w:rPr>
        <w:t xml:space="preserve">.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The following terms shall be defined as set forth below: </w:t>
      </w:r>
    </w:p>
    <w:p>
      <w:pPr>
        <w:pStyle w:val="TextBody"/>
        <w:bidi w:val="0"/>
        <w:spacing w:before="120" w:after="0"/>
        <w:jc w:val="left"/>
        <w:rPr/>
      </w:pPr>
      <w:r>
        <w:rPr/>
        <w:t>“</w:t>
      </w:r>
      <w:r>
        <w:rPr>
          <w:rFonts w:ascii="Times New Roman" w:hAnsi="Times New Roman"/>
          <w:i/>
          <w:sz w:val="20"/>
        </w:rPr>
        <w:t>Affiliate</w:t>
      </w:r>
      <w:r>
        <w:rPr>
          <w:rFonts w:ascii="Times New Roman" w:hAnsi="Times New Roman"/>
          <w:sz w:val="20"/>
        </w:rPr>
        <w:t xml:space="preserve">” means any entity that is directly or indirectly controlled by the Company that does not meet the definition of a Subsidiary below, as determined by the Administrator, whether now or hereafter existing. </w:t>
      </w:r>
    </w:p>
    <w:p>
      <w:pPr>
        <w:pStyle w:val="TextBody"/>
        <w:bidi w:val="0"/>
        <w:spacing w:before="240" w:after="0"/>
        <w:jc w:val="left"/>
        <w:rPr/>
      </w:pPr>
      <w:r>
        <w:rPr/>
        <w:t>“</w:t>
      </w:r>
      <w:r>
        <w:rPr>
          <w:rFonts w:ascii="Times New Roman" w:hAnsi="Times New Roman"/>
          <w:i/>
          <w:sz w:val="20"/>
        </w:rPr>
        <w:t>Compensation</w:t>
      </w:r>
      <w:r>
        <w:rPr>
          <w:rFonts w:ascii="Times New Roman" w:hAnsi="Times New Roman"/>
          <w:sz w:val="20"/>
        </w:rPr>
        <w:t xml:space="preserve">” means the regular or basic rate of compensation. The Administrator shall have the discretion to determine the application of this definition to Participants outside of the United States. </w:t>
      </w:r>
    </w:p>
    <w:p>
      <w:pPr>
        <w:pStyle w:val="TextBody"/>
        <w:bidi w:val="0"/>
        <w:spacing w:before="240" w:after="0"/>
        <w:jc w:val="left"/>
        <w:rPr/>
      </w:pPr>
      <w:r>
        <w:rPr/>
        <w:t>“</w:t>
      </w:r>
      <w:r>
        <w:rPr>
          <w:rFonts w:ascii="Times New Roman" w:hAnsi="Times New Roman"/>
          <w:i/>
          <w:sz w:val="20"/>
        </w:rPr>
        <w:t>Designated Company</w:t>
      </w:r>
      <w:r>
        <w:rPr>
          <w:rFonts w:ascii="Times New Roman" w:hAnsi="Times New Roman"/>
          <w:sz w:val="20"/>
        </w:rPr>
        <w:t xml:space="preserve">”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immediately preceding the closing of the transactions contemplated by the Merger Agreement (as defined below). </w:t>
      </w:r>
    </w:p>
    <w:p>
      <w:pPr>
        <w:pStyle w:val="TextBody"/>
        <w:bidi w:val="0"/>
        <w:spacing w:before="240" w:after="0"/>
        <w:jc w:val="left"/>
        <w:rPr/>
      </w:pPr>
      <w:r>
        <w:rPr/>
        <w:t>“</w:t>
      </w:r>
      <w:r>
        <w:rPr>
          <w:rFonts w:ascii="Times New Roman" w:hAnsi="Times New Roman"/>
          <w:i/>
          <w:sz w:val="20"/>
        </w:rPr>
        <w:t xml:space="preserve">Fair Market Value” </w:t>
      </w:r>
      <w:r>
        <w:rPr>
          <w:rFonts w:ascii="Times New Roman" w:hAnsi="Times New Roman"/>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hAnsi="Times New Roman"/>
          <w:i/>
          <w:sz w:val="20"/>
        </w:rPr>
        <w:t>NASDAQ</w:t>
      </w:r>
      <w:r>
        <w:rPr>
          <w:rFonts w:ascii="Times New Roman" w:hAnsi="Times New Roman"/>
          <w:sz w:val="20"/>
        </w:rPr>
        <w:t xml:space="preserve">”),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dated as of April 14, 2026, by and among Galera Therapeutics, Inc., the Company and certain other parties thereto. </w:t>
      </w:r>
    </w:p>
    <w:p>
      <w:pPr>
        <w:pStyle w:val="TextBody"/>
        <w:bidi w:val="0"/>
        <w:spacing w:before="240" w:after="0"/>
        <w:jc w:val="left"/>
        <w:rPr/>
      </w:pPr>
      <w:r>
        <w:rPr/>
        <w:t>“</w:t>
      </w:r>
      <w:r>
        <w:rPr>
          <w:rFonts w:ascii="Times New Roman" w:hAnsi="Times New Roman"/>
          <w:i/>
          <w:sz w:val="20"/>
        </w:rPr>
        <w:t>New Exercise Date</w:t>
      </w:r>
      <w:r>
        <w:rPr>
          <w:rFonts w:ascii="Times New Roman" w:hAnsi="Times New Roman"/>
          <w:sz w:val="20"/>
        </w:rPr>
        <w:t xml:space="preserve">” means a new Exercise Date if the Administrator shortens any Offering then in progress. </w:t>
      </w:r>
    </w:p>
    <w:p>
      <w:pPr>
        <w:pStyle w:val="TextBody"/>
        <w:bidi w:val="0"/>
        <w:spacing w:before="240" w:after="0"/>
        <w:jc w:val="left"/>
        <w:rPr/>
      </w:pPr>
      <w:r>
        <w:rPr/>
        <w:t>“</w:t>
      </w:r>
      <w:r>
        <w:rPr>
          <w:rFonts w:ascii="Times New Roman" w:hAnsi="Times New Roman"/>
          <w:i/>
          <w:sz w:val="20"/>
        </w:rPr>
        <w:t>Outstanding Shares</w:t>
      </w:r>
      <w:r>
        <w:rPr>
          <w:rFonts w:ascii="Times New Roman" w:hAnsi="Times New Roman"/>
          <w:sz w:val="20"/>
        </w:rPr>
        <w:t xml:space="preserve">” means, as of a specified date, the sum of (a) number of shares of Stock issued and outstanding, (b) the number of shares of Company preferred stock issued and outstanding, and (c) the number of shares of stock issuable pursuant to the exercise of any outstanding warrants to acquire shares of Stock or preferred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Parent</w:t>
      </w:r>
      <w:r>
        <w:rPr>
          <w:rFonts w:ascii="Times New Roman" w:hAnsi="Times New Roman"/>
          <w:sz w:val="20"/>
        </w:rPr>
        <w:t xml:space="preserve">” means a “parent corporation” with respect to the Company, as defined in Section 424(e) of the Code.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an individual who is eligible, as determined pursuant to Section 3, and who has complied with the provisions of Section 4. </w:t>
      </w:r>
    </w:p>
    <w:p>
      <w:pPr>
        <w:pStyle w:val="TextBody"/>
        <w:bidi w:val="0"/>
        <w:spacing w:before="240" w:after="0"/>
        <w:jc w:val="left"/>
        <w:rPr/>
      </w:pPr>
      <w:r>
        <w:rPr/>
        <w:t>“</w:t>
      </w:r>
      <w:r>
        <w:rPr>
          <w:rFonts w:ascii="Times New Roman" w:hAnsi="Times New Roman"/>
          <w:i/>
          <w:sz w:val="20"/>
        </w:rPr>
        <w:t>Purchase Period</w:t>
      </w:r>
      <w:r>
        <w:rPr>
          <w:rFonts w:ascii="Times New Roman" w:hAnsi="Times New Roman"/>
          <w:sz w:val="20"/>
        </w:rPr>
        <w:t xml:space="preserve">” means a period of time specified within an Offering, as determined by the Administrator in accordance with Section 2.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17.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 “subsidiary corporation” with respect to the Company,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Rights on Termination of Employment</w:t>
      </w:r>
      <w:r>
        <w:rPr>
          <w:rFonts w:ascii="Times New Roman" w:hAnsi="Times New Roman"/>
          <w:sz w:val="20"/>
        </w:rPr>
        <w:t xml:space="preserve">.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Special Rules and Sub-Plans</w:t>
      </w:r>
      <w:r>
        <w:rPr>
          <w:rFonts w:ascii="Times New Roman" w:hAnsi="Times New Roman"/>
          <w:sz w:val="20"/>
        </w:rPr>
        <w:t xml:space="preserve">.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Optionees Not Stockholders</w:t>
      </w:r>
      <w:r>
        <w:rPr>
          <w:rFonts w:ascii="Times New Roman" w:hAnsi="Times New Roman"/>
          <w:sz w:val="20"/>
        </w:rPr>
        <w:t xml:space="preserve">.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Rights Not Transferable</w:t>
      </w:r>
      <w:r>
        <w:rPr>
          <w:rFonts w:ascii="Times New Roman" w:hAnsi="Times New Roman"/>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Application of Funds</w:t>
      </w:r>
      <w:r>
        <w:rPr>
          <w:rFonts w:ascii="Times New Roman" w:hAnsi="Times New Roman"/>
          <w:sz w:val="20"/>
        </w:rPr>
        <w:t xml:space="preserve">. All funds received or held by the Company under the Plan may be combined with other corporate funds and may be used for any corporate purpose, unless otherwise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Adjustment in Case of Changes Affecting Stock</w:t>
      </w:r>
      <w:r>
        <w:rPr>
          <w:rFonts w:ascii="Times New Roman" w:hAnsi="Times New Roman"/>
          <w:sz w:val="20"/>
        </w:rPr>
        <w:t xml:space="preserve">.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 </w:t>
      </w:r>
    </w:p>
    <w:p>
      <w:pPr>
        <w:pStyle w:val="TextBody"/>
        <w:bidi w:val="0"/>
        <w:spacing w:before="120" w:after="0"/>
        <w:jc w:val="left"/>
        <w:rPr>
          <w:rFonts w:ascii="Times New Roman" w:hAnsi="Times New Roman"/>
          <w:sz w:val="20"/>
        </w:rPr>
      </w:pPr>
      <w:r>
        <w:rPr>
          <w:rFonts w:ascii="Times New Roman" w:hAnsi="Times New Roman"/>
          <w:sz w:val="20"/>
        </w:rPr>
        <w:t xml:space="preserve">(a)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(b) To provide that the outstanding Options under the Plan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w:t>
      </w:r>
    </w:p>
    <w:p>
      <w:pPr>
        <w:pStyle w:val="TextBody"/>
        <w:bidi w:val="0"/>
        <w:spacing w:before="120" w:after="0"/>
        <w:jc w:val="left"/>
        <w:rPr>
          <w:rFonts w:ascii="Times New Roman" w:hAnsi="Times New Roman"/>
          <w:sz w:val="20"/>
        </w:rPr>
      </w:pPr>
      <w:r>
        <w:rPr>
          <w:rFonts w:ascii="Times New Roman" w:hAnsi="Times New Roman"/>
          <w:sz w:val="20"/>
        </w:rPr>
        <w:t xml:space="preserve">(c) To make adjustments in the number and type of shares of Stock (or other securities or property) subject to outstanding Options under the Plan and/or in the terms and conditions of outstanding Options and Options that may be granted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 </w:t>
      </w:r>
    </w:p>
    <w:p>
      <w:pPr>
        <w:pStyle w:val="TextBody"/>
        <w:bidi w:val="0"/>
        <w:spacing w:before="120" w:after="0"/>
        <w:jc w:val="left"/>
        <w:rPr>
          <w:rFonts w:ascii="Times New Roman" w:hAnsi="Times New Roman"/>
          <w:sz w:val="20"/>
        </w:rPr>
      </w:pPr>
      <w:r>
        <w:rPr>
          <w:rFonts w:ascii="Times New Roman" w:hAnsi="Times New Roman"/>
          <w:sz w:val="20"/>
        </w:rPr>
        <w:t xml:space="preserve">(e) To provide that all outstanding Options will terminate without being exercised and all amounts in the accounts of Participants will be promptly 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Section 409A</w:t>
      </w:r>
      <w:r>
        <w:rPr>
          <w:rFonts w:ascii="Times New Roman" w:hAnsi="Times New Roman"/>
          <w:sz w:val="20"/>
        </w:rPr>
        <w:t xml:space="preserve">.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The Company makes no representation that the Options granted pursuant to the Plan will be exempt from or comply with Section 409A of the Code and makes no undertaking to preclude Section 409A of the Code from applying to any such Option. Participants will be solely responsible for the payment of any taxes and penalties incurred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Amendment of the Plan</w:t>
      </w:r>
      <w:r>
        <w:rPr>
          <w:rFonts w:ascii="Times New Roman" w:hAnsi="Times New Roman"/>
          <w:sz w:val="20"/>
        </w:rPr>
        <w:t xml:space="preserve">.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the Administrator determines would require stockholder approval in order for the 423 Component of the Plan, as amended, to qualify as an “employee stock purchase plan” under Section 423(b) of the Code.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Insufficient Shares</w:t>
      </w:r>
      <w:r>
        <w:rPr>
          <w:rFonts w:ascii="Times New Roman" w:hAnsi="Times New Roman"/>
          <w:sz w:val="20"/>
        </w:rPr>
        <w:t xml:space="preserve">.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Termination of the Plan</w:t>
      </w:r>
      <w:r>
        <w:rPr>
          <w:rFonts w:ascii="Times New Roman" w:hAnsi="Times New Roman"/>
          <w:sz w:val="20"/>
        </w:rPr>
        <w:t xml:space="preserve">. The Plan may be terminated at any time by the Board. Upon termination of the Plan, all amounts in the accounts of Participants shall be promptly refunded.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Governmental Regulations</w:t>
      </w:r>
      <w:r>
        <w:rPr>
          <w:rFonts w:ascii="Times New Roman" w:hAnsi="Times New Roman"/>
          <w:sz w:val="20"/>
        </w:rPr>
        <w:t xml:space="preserve">. The Company’s obligation to sell and deliver shares of Stock under the Plan is subject to obtaining all governmental approvals required in connection with the authorization, issuance or sale of such Stock.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Governing Law</w:t>
      </w:r>
      <w:r>
        <w:rPr>
          <w:rFonts w:ascii="Times New Roman" w:hAnsi="Times New Roman"/>
          <w:sz w:val="20"/>
        </w:rPr>
        <w:t xml:space="preserve">.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Issuance of Shares</w:t>
      </w:r>
      <w:r>
        <w:rPr>
          <w:rFonts w:ascii="Times New Roman" w:hAnsi="Times New Roman"/>
          <w:sz w:val="20"/>
        </w:rPr>
        <w:t xml:space="preserve">. Shares may be issued upon exercise of an Option from authorized but unissued Stock, from shares held in the treasury of the Company or from any other proper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Tax Withholding</w:t>
      </w:r>
      <w:r>
        <w:rPr>
          <w:rFonts w:ascii="Times New Roman" w:hAnsi="Times New Roman"/>
          <w:sz w:val="20"/>
        </w:rPr>
        <w:t xml:space="preserve">.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Notification Upon Sale of Shares Under the 423 Component</w:t>
      </w:r>
      <w:r>
        <w:rPr>
          <w:rFonts w:ascii="Times New Roman" w:hAnsi="Times New Roman"/>
          <w:sz w:val="20"/>
        </w:rPr>
        <w:t xml:space="preserve">.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Effective Date</w:t>
      </w:r>
      <w:r>
        <w:rPr>
          <w:rFonts w:ascii="Times New Roman" w:hAnsi="Times New Roman"/>
          <w:sz w:val="20"/>
        </w:rPr>
        <w:t xml:space="preserve">. This Plan will become effective on the Effective Date, subject to stockholder approval in accordance with applicable state law, the Company’s bylaws and articles of incorporation and applicable stock exchange rules.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Equal Rights and Privileges</w:t>
      </w:r>
      <w:r>
        <w:rPr>
          <w:rFonts w:ascii="Times New Roman" w:hAnsi="Times New Roman"/>
          <w:sz w:val="20"/>
        </w:rPr>
        <w:t xml:space="preserve">. Notwithstanding any provision of the Plan to the contrary and in accordance with Section 423 of the Code, all eligible employees who are granted Options under the 423 Component shall have the same rights and privileges.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No Right to Continued Service</w:t>
      </w:r>
      <w:r>
        <w:rPr>
          <w:rFonts w:ascii="Times New Roman" w:hAnsi="Times New Roman"/>
          <w:sz w:val="20"/>
        </w:rPr>
        <w:t xml:space="preserve">. None of the Plan, participation in any Offering, or any compensation paid hereunder will confer on any Participant the right to continue as an employee or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June 30, 2026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26" w:name="d309963dex109.htm"/>
      <w:bookmarkStart w:id="27" w:name="ksd309963dex109"/>
      <w:bookmarkEnd w:id="26"/>
      <w:bookmarkEnd w:id="27"/>
      <w:r>
        <w:rPr>
          <w:rFonts w:ascii="Times New Roman" w:hAnsi="Times New Roman"/>
          <w:b/>
          <w:sz w:val="20"/>
        </w:rPr>
        <w:t xml:space="preserve">Exhibit 10.9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The purpose of this Non-Employee Director Compensation Policy (the “</w:t>
      </w:r>
      <w:r>
        <w:rPr>
          <w:rFonts w:ascii="Times New Roman" w:hAnsi="Times New Roman"/>
          <w:i/>
          <w:sz w:val="20"/>
        </w:rPr>
        <w:t>Policy</w:t>
      </w:r>
      <w:r>
        <w:rPr>
          <w:rFonts w:ascii="Times New Roman" w:hAnsi="Times New Roman"/>
          <w:sz w:val="20"/>
        </w:rPr>
        <w:t>”) of Obsidian Therapeutics, Inc. (the “</w:t>
      </w:r>
      <w:r>
        <w:rPr>
          <w:rFonts w:ascii="Times New Roman" w:hAnsi="Times New Roman"/>
          <w:i/>
          <w:sz w:val="20"/>
        </w:rPr>
        <w:t>Company</w:t>
      </w:r>
      <w:r>
        <w:rPr>
          <w:rFonts w:ascii="Times New Roman" w:hAnsi="Times New Roman"/>
          <w:sz w:val="20"/>
        </w:rPr>
        <w:t>”) is to provide a total compensation package that enables the Company to attract and retain, on a long-term basis, high-caliber directors who are not employees or officers of the Company or its subsidiaries (“</w:t>
      </w:r>
      <w:r>
        <w:rPr>
          <w:rFonts w:ascii="Times New Roman" w:hAnsi="Times New Roman"/>
          <w:i/>
          <w:sz w:val="20"/>
        </w:rPr>
        <w:t>Outside Directors</w:t>
      </w:r>
      <w:r>
        <w:rPr>
          <w:rFonts w:ascii="Times New Roman" w:hAnsi="Times New Roman"/>
          <w:sz w:val="20"/>
        </w:rPr>
        <w:t>”). This Policy will become effective as of the closing of the transactions contemplated by that certain Agreement and Plan of Merger, dated as of April 14, 2026, by and among Galera Therapeutics, Inc., the Company and certain other parties thereto (the “</w:t>
      </w:r>
      <w:r>
        <w:rPr>
          <w:rFonts w:ascii="Times New Roman" w:hAnsi="Times New Roman"/>
          <w:i/>
          <w:sz w:val="20"/>
        </w:rPr>
        <w:t>Effective Date</w:t>
      </w:r>
      <w:r>
        <w:rPr>
          <w:rFonts w:ascii="Times New Roman" w:hAnsi="Times New Roman"/>
          <w:sz w:val="20"/>
        </w:rPr>
        <w:t xml:space="preserve">”). In furtherance of the purpose stated above, all Outside Directors shall be paid compensation for services provided to the Company as Outside Directors as set forth below: </w:t>
      </w:r>
    </w:p>
    <w:p>
      <w:pPr>
        <w:pStyle w:val="TextBody"/>
        <w:bidi w:val="0"/>
        <w:spacing w:before="360" w:after="0"/>
        <w:jc w:val="left"/>
        <w:rPr>
          <w:rFonts w:ascii="Times New Roman" w:hAnsi="Times New Roman"/>
          <w:b/>
          <w:sz w:val="20"/>
        </w:rPr>
      </w:pPr>
      <w:r>
        <w:rPr>
          <w:rFonts w:ascii="Times New Roman" w:hAnsi="Times New Roman"/>
          <w:b/>
          <w:sz w:val="20"/>
          <w:u w:val="single"/>
        </w:rPr>
        <w:t>Cash Retainers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Annual Retainer for Board Membership</w:t>
      </w:r>
      <w:r>
        <w:rPr>
          <w:rFonts w:ascii="Times New Roman" w:hAnsi="Times New Roman"/>
          <w:sz w:val="20"/>
        </w:rPr>
        <w:t xml:space="preserve">: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98"/>
        <w:gridCol w:w="223"/>
        <w:gridCol w:w="818"/>
      </w:tblGrid>
      <w:tr>
        <w:trPr/>
        <w:tc>
          <w:tcPr>
            <w:tcW w:w="589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5898" w:type="dxa"/>
            <w:tcBorders/>
            <w:shd w:fill="CCEEFF" w:val="clear"/>
          </w:tcPr>
          <w:p>
            <w:pPr>
              <w:pStyle w:val="TableContents"/>
              <w:bidi w:val="0"/>
              <w:spacing w:before="0" w:after="283"/>
              <w:jc w:val="left"/>
              <w:rPr>
                <w:u w:val="single"/>
              </w:rPr>
            </w:pPr>
            <w:r>
              <w:rPr>
                <w:u w:val="single"/>
              </w:rPr>
              <w:t>Additional Annual Retainer for Non-Executive Chair:</w:t>
            </w:r>
          </w:p>
        </w:tc>
        <w:tc>
          <w:tcPr>
            <w:tcW w:w="223" w:type="dxa"/>
            <w:tcBorders/>
            <w:shd w:fill="CCEEFF" w:val="clear"/>
            <w:vAlign w:val="bottom"/>
          </w:tcPr>
          <w:p>
            <w:pPr>
              <w:pStyle w:val="TableContents"/>
              <w:bidi w:val="0"/>
              <w:spacing w:before="0" w:after="283"/>
              <w:jc w:val="left"/>
              <w:rPr/>
            </w:pPr>
            <w:r>
              <w:rPr/>
              <w:t>  </w:t>
            </w:r>
          </w:p>
        </w:tc>
        <w:tc>
          <w:tcPr>
            <w:tcW w:w="818" w:type="dxa"/>
            <w:tcBorders/>
            <w:shd w:fill="CCEEFF" w:val="clear"/>
          </w:tcPr>
          <w:p>
            <w:pPr>
              <w:pStyle w:val="TableContents"/>
              <w:bidi w:val="0"/>
              <w:spacing w:before="0" w:after="283"/>
              <w:jc w:val="left"/>
              <w:rPr/>
            </w:pPr>
            <w:r>
              <w:rPr/>
              <w:t>$30,000</w:t>
            </w:r>
          </w:p>
        </w:tc>
      </w:tr>
      <w:tr>
        <w:trPr/>
        <w:tc>
          <w:tcPr>
            <w:tcW w:w="5898" w:type="dxa"/>
            <w:tcBorders/>
          </w:tcPr>
          <w:p>
            <w:pPr>
              <w:pStyle w:val="TableContents"/>
              <w:bidi w:val="0"/>
              <w:spacing w:before="0" w:after="283"/>
              <w:jc w:val="left"/>
              <w:rPr>
                <w:u w:val="single"/>
              </w:rPr>
            </w:pPr>
            <w:r>
              <w:rPr>
                <w:u w:val="single"/>
              </w:rPr>
              <w:t>Additional Annual Retainers for Committee Membership:</w:t>
            </w:r>
          </w:p>
        </w:tc>
        <w:tc>
          <w:tcPr>
            <w:tcW w:w="223"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sz w:val="4"/>
                <w:szCs w:val="4"/>
              </w:rPr>
            </w:pPr>
            <w:r>
              <w:rPr>
                <w:sz w:val="4"/>
                <w:szCs w:val="4"/>
              </w:rPr>
            </w:r>
          </w:p>
        </w:tc>
      </w:tr>
      <w:tr>
        <w:trPr/>
        <w:tc>
          <w:tcPr>
            <w:tcW w:w="5898" w:type="dxa"/>
            <w:tcBorders/>
            <w:shd w:fill="CCEEFF" w:val="clear"/>
          </w:tcPr>
          <w:p>
            <w:pPr>
              <w:pStyle w:val="TableContents"/>
              <w:bidi w:val="0"/>
              <w:spacing w:before="0" w:after="283"/>
              <w:jc w:val="left"/>
              <w:rPr>
                <w:u w:val="single"/>
              </w:rPr>
            </w:pPr>
            <w:r>
              <w:rPr>
                <w:u w:val="single"/>
              </w:rPr>
              <w:t>Audit Committee Chair:</w:t>
            </w:r>
          </w:p>
        </w:tc>
        <w:tc>
          <w:tcPr>
            <w:tcW w:w="223" w:type="dxa"/>
            <w:tcBorders/>
            <w:shd w:fill="CCEEFF" w:val="clear"/>
            <w:vAlign w:val="bottom"/>
          </w:tcPr>
          <w:p>
            <w:pPr>
              <w:pStyle w:val="TableContents"/>
              <w:bidi w:val="0"/>
              <w:spacing w:before="0" w:after="283"/>
              <w:jc w:val="left"/>
              <w:rPr/>
            </w:pPr>
            <w:r>
              <w:rPr/>
              <w:t>  </w:t>
            </w:r>
          </w:p>
        </w:tc>
        <w:tc>
          <w:tcPr>
            <w:tcW w:w="818" w:type="dxa"/>
            <w:tcBorders/>
            <w:shd w:fill="CCEEFF" w:val="clear"/>
          </w:tcPr>
          <w:p>
            <w:pPr>
              <w:pStyle w:val="TableContents"/>
              <w:bidi w:val="0"/>
              <w:spacing w:before="0" w:after="283"/>
              <w:jc w:val="left"/>
              <w:rPr/>
            </w:pPr>
            <w:r>
              <w:rPr/>
              <w:t>$20,000</w:t>
            </w:r>
          </w:p>
        </w:tc>
      </w:tr>
      <w:tr>
        <w:trPr/>
        <w:tc>
          <w:tcPr>
            <w:tcW w:w="5898" w:type="dxa"/>
            <w:tcBorders/>
          </w:tcPr>
          <w:p>
            <w:pPr>
              <w:pStyle w:val="TableContents"/>
              <w:bidi w:val="0"/>
              <w:spacing w:before="0" w:after="283"/>
              <w:jc w:val="left"/>
              <w:rPr>
                <w:u w:val="single"/>
              </w:rPr>
            </w:pPr>
            <w:r>
              <w:rPr>
                <w:u w:val="single"/>
              </w:rPr>
              <w:t>Audit Committee member:</w:t>
            </w:r>
          </w:p>
        </w:tc>
        <w:tc>
          <w:tcPr>
            <w:tcW w:w="223"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$10,000</w:t>
            </w:r>
          </w:p>
        </w:tc>
      </w:tr>
      <w:tr>
        <w:trPr/>
        <w:tc>
          <w:tcPr>
            <w:tcW w:w="5898" w:type="dxa"/>
            <w:tcBorders/>
            <w:shd w:fill="CCEEFF" w:val="clear"/>
          </w:tcPr>
          <w:p>
            <w:pPr>
              <w:pStyle w:val="TableContents"/>
              <w:bidi w:val="0"/>
              <w:spacing w:before="0" w:after="283"/>
              <w:jc w:val="left"/>
              <w:rPr>
                <w:u w:val="single"/>
              </w:rPr>
            </w:pPr>
            <w:r>
              <w:rPr>
                <w:u w:val="single"/>
              </w:rPr>
              <w:t>Compensation Committee Chair:</w:t>
            </w:r>
          </w:p>
        </w:tc>
        <w:tc>
          <w:tcPr>
            <w:tcW w:w="223" w:type="dxa"/>
            <w:tcBorders/>
            <w:shd w:fill="CCEEFF" w:val="clear"/>
            <w:vAlign w:val="bottom"/>
          </w:tcPr>
          <w:p>
            <w:pPr>
              <w:pStyle w:val="TableContents"/>
              <w:bidi w:val="0"/>
              <w:spacing w:before="0" w:after="283"/>
              <w:jc w:val="left"/>
              <w:rPr/>
            </w:pPr>
            <w:r>
              <w:rPr/>
              <w:t>  </w:t>
            </w:r>
          </w:p>
        </w:tc>
        <w:tc>
          <w:tcPr>
            <w:tcW w:w="818" w:type="dxa"/>
            <w:tcBorders/>
            <w:shd w:fill="CCEEFF" w:val="clear"/>
          </w:tcPr>
          <w:p>
            <w:pPr>
              <w:pStyle w:val="TableContents"/>
              <w:bidi w:val="0"/>
              <w:spacing w:before="0" w:after="283"/>
              <w:jc w:val="left"/>
              <w:rPr/>
            </w:pPr>
            <w:r>
              <w:rPr/>
              <w:t>$15,000</w:t>
            </w:r>
          </w:p>
        </w:tc>
      </w:tr>
      <w:tr>
        <w:trPr/>
        <w:tc>
          <w:tcPr>
            <w:tcW w:w="5898" w:type="dxa"/>
            <w:tcBorders/>
          </w:tcPr>
          <w:p>
            <w:pPr>
              <w:pStyle w:val="TableContents"/>
              <w:bidi w:val="0"/>
              <w:spacing w:before="0" w:after="283"/>
              <w:jc w:val="left"/>
              <w:rPr>
                <w:u w:val="single"/>
              </w:rPr>
            </w:pPr>
            <w:r>
              <w:rPr>
                <w:u w:val="single"/>
              </w:rPr>
              <w:t>Compensation Committee member:</w:t>
            </w:r>
          </w:p>
        </w:tc>
        <w:tc>
          <w:tcPr>
            <w:tcW w:w="223"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$7,500</w:t>
            </w:r>
          </w:p>
        </w:tc>
      </w:tr>
      <w:tr>
        <w:trPr/>
        <w:tc>
          <w:tcPr>
            <w:tcW w:w="5898" w:type="dxa"/>
            <w:tcBorders/>
            <w:shd w:fill="CCEEFF" w:val="clear"/>
          </w:tcPr>
          <w:p>
            <w:pPr>
              <w:pStyle w:val="TableContents"/>
              <w:bidi w:val="0"/>
              <w:spacing w:before="0" w:after="283"/>
              <w:jc w:val="left"/>
              <w:rPr>
                <w:u w:val="single"/>
              </w:rPr>
            </w:pPr>
            <w:r>
              <w:rPr>
                <w:u w:val="single"/>
              </w:rPr>
              <w:t>Nominating and Corporate Governance Committee Chair:</w:t>
            </w:r>
          </w:p>
        </w:tc>
        <w:tc>
          <w:tcPr>
            <w:tcW w:w="223" w:type="dxa"/>
            <w:tcBorders/>
            <w:shd w:fill="CCEEFF" w:val="clear"/>
            <w:vAlign w:val="bottom"/>
          </w:tcPr>
          <w:p>
            <w:pPr>
              <w:pStyle w:val="TableContents"/>
              <w:bidi w:val="0"/>
              <w:spacing w:before="0" w:after="283"/>
              <w:jc w:val="left"/>
              <w:rPr/>
            </w:pPr>
            <w:r>
              <w:rPr/>
              <w:t>  </w:t>
            </w:r>
          </w:p>
        </w:tc>
        <w:tc>
          <w:tcPr>
            <w:tcW w:w="818" w:type="dxa"/>
            <w:tcBorders/>
            <w:shd w:fill="CCEEFF" w:val="clear"/>
          </w:tcPr>
          <w:p>
            <w:pPr>
              <w:pStyle w:val="TableContents"/>
              <w:bidi w:val="0"/>
              <w:spacing w:before="0" w:after="283"/>
              <w:jc w:val="left"/>
              <w:rPr/>
            </w:pPr>
            <w:r>
              <w:rPr/>
              <w:t>$10,000</w:t>
            </w:r>
          </w:p>
        </w:tc>
      </w:tr>
      <w:tr>
        <w:trPr/>
        <w:tc>
          <w:tcPr>
            <w:tcW w:w="5898" w:type="dxa"/>
            <w:tcBorders/>
          </w:tcPr>
          <w:p>
            <w:pPr>
              <w:pStyle w:val="TableContents"/>
              <w:bidi w:val="0"/>
              <w:spacing w:before="0" w:after="283"/>
              <w:jc w:val="left"/>
              <w:rPr>
                <w:u w:val="single"/>
              </w:rPr>
            </w:pPr>
            <w:r>
              <w:rPr>
                <w:u w:val="single"/>
              </w:rPr>
              <w:t>Nominating and Corporate Governance Committee member:</w:t>
            </w:r>
          </w:p>
        </w:tc>
        <w:tc>
          <w:tcPr>
            <w:tcW w:w="223"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$5,000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Chair and committee member retainers are in addition to retainers for members of the Board of Directors. No additional compensation will be paid for attending individual committee meetings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Equity Retainers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grants of equity retainer awards to Outside Directors pursuant to this Policy will be automatic and nondiscretionary and will be made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u w:val="single"/>
        </w:rPr>
        <w:t>Public Company Award</w:t>
      </w:r>
      <w:r>
        <w:rPr>
          <w:rFonts w:ascii="Times New Roman" w:hAnsi="Times New Roman"/>
          <w:sz w:val="20"/>
        </w:rPr>
        <w:t>. Upon the Effective Date, (i) each Outside Director as of such date will receive an Annual Award (as defined below) (each, a “</w:t>
      </w:r>
      <w:r>
        <w:rPr>
          <w:rFonts w:ascii="Times New Roman" w:hAnsi="Times New Roman"/>
          <w:i/>
          <w:sz w:val="20"/>
        </w:rPr>
        <w:t>Closing Award</w:t>
      </w:r>
      <w:r>
        <w:rPr>
          <w:rFonts w:ascii="Times New Roman" w:hAnsi="Times New Roman"/>
          <w:sz w:val="20"/>
        </w:rPr>
        <w:t>”). Closing Awards will have an exercise price per share equal to the Fair Market Value (as defined in the Company’s 2026 Equity Incentive Plan (the “</w:t>
      </w:r>
      <w:r>
        <w:rPr>
          <w:rFonts w:ascii="Times New Roman" w:hAnsi="Times New Roman"/>
          <w:i/>
          <w:sz w:val="20"/>
        </w:rPr>
        <w:t>2026 Plan</w:t>
      </w:r>
      <w:r>
        <w:rPr>
          <w:rFonts w:ascii="Times New Roman" w:hAnsi="Times New Roman"/>
          <w:sz w:val="20"/>
        </w:rPr>
        <w:t xml:space="preserve">”)) of the Company’s common stock on the date of grant, expire ten years from the date of grant and vest in full on the earlier of (A) the one-year anniversary of the grant date or (B) the Company’s Annual Meeting of Stockholders following the grant date; provided, however, that all vesting will cease if the Outside Director ceases to have a Service Relationship (as defined in the 2026 Plan), unless otherwise determined by the Board of Directors. </w:t>
      </w:r>
    </w:p>
    <w:p>
      <w:pPr>
        <w:pStyle w:val="TextBody"/>
        <w:bidi w:val="0"/>
        <w:spacing w:before="120" w:after="0"/>
        <w:jc w:val="left"/>
        <w:rPr>
          <w:rFonts w:ascii="Times New Roman" w:hAnsi="Times New Roman"/>
          <w:sz w:val="20"/>
        </w:rPr>
      </w:pPr>
      <w:r>
        <w:rPr>
          <w:rFonts w:ascii="Times New Roman" w:hAnsi="Times New Roman"/>
          <w:sz w:val="20"/>
          <w:u w:val="single"/>
        </w:rPr>
        <w:t>Initial Award</w:t>
      </w:r>
      <w:r>
        <w:rPr>
          <w:rFonts w:ascii="Times New Roman" w:hAnsi="Times New Roman"/>
          <w:sz w:val="20"/>
        </w:rPr>
        <w:t>: On the date of an Outside Director’s initial election or appointment to the Board of Directors, each Outside Director will receive a one-time stock option award (each, an “</w:t>
      </w:r>
      <w:r>
        <w:rPr>
          <w:rFonts w:ascii="Times New Roman" w:hAnsi="Times New Roman"/>
          <w:i/>
          <w:sz w:val="20"/>
        </w:rPr>
        <w:t>Initial Award</w:t>
      </w:r>
      <w:r>
        <w:rPr>
          <w:rFonts w:ascii="Times New Roman" w:hAnsi="Times New Roman"/>
          <w:sz w:val="20"/>
        </w:rPr>
        <w:t xml:space="preserve">”) to purchase a number of shares of the Company’s common stock equal to 0.122% of the total number of outstanding shares of the Company’s common stock on the date of grant, which will vest in equal monthly installments over the three years following the date of grant; provided, however, that all vesting will cease if the Outside Director ceases to have a Service Relationship, unless otherwise determined by the Board of Directors. Initial Awards will expire ten years from the date of grant and have a per share exercise price equal to the Fair Market Value of the Company’s common stock on the date of grant. Initial Awards apply only to Outside Directors who are first elected to the Board of Directors subsequent to the Effective Date. </w:t>
      </w:r>
    </w:p>
    <w:p>
      <w:pPr>
        <w:pStyle w:val="TextBody"/>
        <w:bidi w:val="0"/>
        <w:spacing w:before="120" w:after="0"/>
        <w:jc w:val="left"/>
        <w:rPr>
          <w:rFonts w:ascii="Times New Roman" w:hAnsi="Times New Roman"/>
          <w:sz w:val="20"/>
        </w:rPr>
      </w:pPr>
      <w:r>
        <w:rPr>
          <w:rFonts w:ascii="Times New Roman" w:hAnsi="Times New Roman"/>
          <w:sz w:val="20"/>
          <w:u w:val="single"/>
        </w:rPr>
        <w:t>Annual Award</w:t>
      </w:r>
      <w:r>
        <w:rPr>
          <w:rFonts w:ascii="Times New Roman" w:hAnsi="Times New Roman"/>
          <w:sz w:val="20"/>
        </w:rPr>
        <w:t>: On the date of each Annual Meeting of Stockholders of the Company (each, an “</w:t>
      </w:r>
      <w:r>
        <w:rPr>
          <w:rFonts w:ascii="Times New Roman" w:hAnsi="Times New Roman"/>
          <w:i/>
          <w:sz w:val="20"/>
        </w:rPr>
        <w:t>Annual Meeting</w:t>
      </w:r>
      <w:r>
        <w:rPr>
          <w:rFonts w:ascii="Times New Roman" w:hAnsi="Times New Roman"/>
          <w:sz w:val="20"/>
        </w:rPr>
        <w:t>”) following the Effective Date, each continuing Outside Director, other than a director receiving an Initial Award, will receive an annual stock option award (each, an “</w:t>
      </w:r>
      <w:r>
        <w:rPr>
          <w:rFonts w:ascii="Times New Roman" w:hAnsi="Times New Roman"/>
          <w:i/>
          <w:sz w:val="20"/>
        </w:rPr>
        <w:t>Annual Award</w:t>
      </w:r>
      <w:r>
        <w:rPr>
          <w:rFonts w:ascii="Times New Roman" w:hAnsi="Times New Roman"/>
          <w:sz w:val="20"/>
        </w:rPr>
        <w:t>”) to purchase a number of shares of the Company’s common stock equal to 0.061% of the total number of outstanding shares of the Company’s common stock on the date of grant, which will vest in full upon the earlier of (i) the first anniversary of the date of grant or (ii) the date of the next Annual Meeting following the date of grant; provided, however, that all vesting will cease if the Outside Director ceases to have a Service Relationship, unless otherwise determined by the Board of Directors. Annual Awards will expire ten years from the date of grant and have a per share exercise price equal to the Fair Market Value of the Company’s common stock on the date of grant. Notwithstanding the foregoing, if a Outside Director joins the Board of Directors on a date other than the date of an Annual Meeting, then in lieu of the above, such Outside Director will be granted a pro-rata portion of the Annual Award at the next Annual Meeting following the Outside Director’s appointment, based on the time between the Outside Director’s appointment and the next Annual Meeting following the Outside Director’s appointment (each, a “</w:t>
      </w:r>
      <w:r>
        <w:rPr>
          <w:rFonts w:ascii="Times New Roman" w:hAnsi="Times New Roman"/>
          <w:i/>
          <w:sz w:val="20"/>
        </w:rPr>
        <w:t>Pro-Rated Annual Award</w:t>
      </w:r>
      <w:r>
        <w:rPr>
          <w:rFonts w:ascii="Times New Roman" w:hAnsi="Times New Roman"/>
          <w:sz w:val="20"/>
        </w:rPr>
        <w:t xml:space="preserve">”). Pro-Rated Annual Awards will vest in full upon the earlier of (i) the first anniversary of the date of grant or (ii) the date of the next Annual Meeting; provided, however, that all vesting will ceases if the Outside Director ceases to have a Service Relationship, unless otherwise determined by the Board of Directors. Pro-Rated Annual Awards will expire ten years from the date of grant and have a per share exercise price equal to the Fair Market Value of the Company’s common stock on the date of grant. </w:t>
      </w:r>
    </w:p>
    <w:p>
      <w:pPr>
        <w:pStyle w:val="TextBody"/>
        <w:bidi w:val="0"/>
        <w:spacing w:before="120" w:after="0"/>
        <w:jc w:val="left"/>
        <w:rPr>
          <w:rFonts w:ascii="Times New Roman" w:hAnsi="Times New Roman"/>
          <w:sz w:val="20"/>
        </w:rPr>
      </w:pPr>
      <w:r>
        <w:rPr>
          <w:rFonts w:ascii="Times New Roman" w:hAnsi="Times New Roman"/>
          <w:sz w:val="20"/>
          <w:u w:val="single"/>
        </w:rPr>
        <w:t>Sale Event Acceleration</w:t>
      </w:r>
      <w:r>
        <w:rPr>
          <w:rFonts w:ascii="Times New Roman" w:hAnsi="Times New Roman"/>
          <w:sz w:val="20"/>
        </w:rPr>
        <w:t xml:space="preserve">: All outstanding Closing Awards, Initial Awards, Annual Awards and Pro-Rated Annual Awards held by an Outside Director will become fully vested and exercisable upon a Sale Event (as defined in the 2026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Expenses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reimburse all reasonable out-of-pocket expenses incurred by Outside Directors in attending meetings of the Board of Directors or any committee thereof.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Maximum Annual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3(d) of the 2026 Plan or any similar provision of a successor plan). For this purpose, the “amount” of equity compensation paid in a calendar year will be determined based on the grant date fair value thereof, as determined in accordance with FASB ASC Topic 718 or its successor provision, but excluding the impact of estimated forfeitures related to service-based vesting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Adopted </w:t>
      </w:r>
      <w:r>
        <w:rPr>
          <w:rFonts w:ascii="Times New Roman" w:hAnsi="Times New Roman"/>
          <w:sz w:val="20"/>
          <w:u w:val="single"/>
        </w:rPr>
        <w:t> June 21, 2026  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8" w:name="d309963dex1010.htm"/>
      <w:bookmarkStart w:id="29" w:name="ksd309963dex1010"/>
      <w:bookmarkEnd w:id="28"/>
      <w:bookmarkEnd w:id="29"/>
      <w:r>
        <w:rPr>
          <w:rFonts w:ascii="Times New Roman" w:hAnsi="Times New Roman"/>
          <w:b/>
          <w:sz w:val="20"/>
        </w:rPr>
        <w:t xml:space="preserve">Exhibit 10.10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SENIOR EXECUTIVE CASH INCENTIVE BONUS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Senior Executive Cash Incentive Bonus Plan (the “</w:t>
      </w:r>
      <w:r>
        <w:rPr>
          <w:rFonts w:ascii="Times New Roman" w:hAnsi="Times New Roman"/>
          <w:i/>
          <w:sz w:val="20"/>
        </w:rPr>
        <w:t>Incentive</w:t>
      </w:r>
      <w:r>
        <w:rPr>
          <w:rFonts w:ascii="Times New Roman" w:hAnsi="Times New Roman"/>
          <w:sz w:val="20"/>
        </w:rPr>
        <w:t xml:space="preserve"> </w:t>
      </w:r>
      <w:r>
        <w:rPr>
          <w:rFonts w:ascii="Times New Roman" w:hAnsi="Times New Roman"/>
          <w:i/>
          <w:sz w:val="20"/>
        </w:rPr>
        <w:t>Plan</w:t>
      </w:r>
      <w:r>
        <w:rPr>
          <w:rFonts w:ascii="Times New Roman" w:hAnsi="Times New Roman"/>
          <w:sz w:val="20"/>
        </w:rPr>
        <w:t>”) is intended to provide an incentive for superior work and to motivate eligible executives of Obsidian Therapeutics, Inc. (the “</w:t>
      </w:r>
      <w:r>
        <w:rPr>
          <w:rFonts w:ascii="Times New Roman" w:hAnsi="Times New Roman"/>
          <w:i/>
          <w:sz w:val="20"/>
        </w:rPr>
        <w:t>Company</w:t>
      </w:r>
      <w:r>
        <w:rPr>
          <w:rFonts w:ascii="Times New Roman" w:hAnsi="Times New Roman"/>
          <w:sz w:val="20"/>
        </w:rPr>
        <w:t xml:space="preserve">”) and its affiliates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Covered Executives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From time to time, the Compensation Committee of the Board of Directors of the Company (the “</w:t>
      </w:r>
      <w:r>
        <w:rPr>
          <w:rFonts w:ascii="Times New Roman" w:hAnsi="Times New Roman"/>
          <w:i/>
          <w:sz w:val="20"/>
        </w:rPr>
        <w:t>Compensation</w:t>
      </w:r>
      <w:r>
        <w:rPr>
          <w:rFonts w:ascii="Times New Roman" w:hAnsi="Times New Roman"/>
          <w:sz w:val="20"/>
        </w:rPr>
        <w:t xml:space="preserve"> </w:t>
      </w:r>
      <w:r>
        <w:rPr>
          <w:rFonts w:ascii="Times New Roman" w:hAnsi="Times New Roman"/>
          <w:i/>
          <w:sz w:val="20"/>
        </w:rPr>
        <w:t>Committee</w:t>
      </w:r>
      <w:r>
        <w:rPr>
          <w:rFonts w:ascii="Times New Roman" w:hAnsi="Times New Roman"/>
          <w:sz w:val="20"/>
        </w:rPr>
        <w:t>”) may select certain key executives (the “</w:t>
      </w:r>
      <w:r>
        <w:rPr>
          <w:rFonts w:ascii="Times New Roman" w:hAnsi="Times New Roman"/>
          <w:i/>
          <w:sz w:val="20"/>
        </w:rPr>
        <w:t>Covered</w:t>
      </w:r>
      <w:r>
        <w:rPr>
          <w:rFonts w:ascii="Times New Roman" w:hAnsi="Times New Roman"/>
          <w:sz w:val="20"/>
        </w:rPr>
        <w:t xml:space="preserve"> </w:t>
      </w:r>
      <w:r>
        <w:rPr>
          <w:rFonts w:ascii="Times New Roman" w:hAnsi="Times New Roman"/>
          <w:i/>
          <w:sz w:val="20"/>
        </w:rPr>
        <w:t>Executives</w:t>
      </w:r>
      <w:r>
        <w:rPr>
          <w:rFonts w:ascii="Times New Roman" w:hAnsi="Times New Roman"/>
          <w:sz w:val="20"/>
        </w:rPr>
        <w:t xml:space="preserve">”) to be eligible to receive bonuses hereunder. Participation in this Plan does not change the “at will” nature of a Covered Executive’s employment with the Company or an affiliate.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Administration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shall have the sole discretion and authority to administer and interpret the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Bonus Determinations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Performance Goals</w:t>
      </w:r>
      <w:r>
        <w:rPr>
          <w:rFonts w:ascii="Times New Roman" w:hAnsi="Times New Roman"/>
          <w:sz w:val="20"/>
        </w:rPr>
        <w:t>. A Covered Executive may receive a bonus payment under the Incentive Plan based upon the attainment of one or more performance objectives that are established by the Compensation Committee in its sole discretion and relate to financial and operational metrics with respect to the Company or any of its affiliates (the “</w:t>
      </w:r>
      <w:r>
        <w:rPr>
          <w:rFonts w:ascii="Times New Roman" w:hAnsi="Times New Roman"/>
          <w:i/>
          <w:sz w:val="20"/>
        </w:rPr>
        <w:t>Corporate Performance Goals</w:t>
      </w:r>
      <w:r>
        <w:rPr>
          <w:rFonts w:ascii="Times New Roman" w:hAnsi="Times New Roman"/>
          <w:sz w:val="20"/>
        </w:rPr>
        <w:t xml:space="preserve">”), including: research and development, publication, clinical and/or regulatory milestones;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including licenses, collaborations, joint ventures or promotion arrangements;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(i) measured in absolute terms or compared to any incremental increase, (ii) measured in terms of growth, (iii) compared to another company or companies or to results of a peer group, (iv) measured against the market as a whole and/or as compared to applicable market indices and/or (v) measured on a pre-tax or post-tax basis (if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Calculation of Corporate Performance Goals</w:t>
      </w:r>
      <w:r>
        <w:rPr>
          <w:rFonts w:ascii="Times New Roman" w:hAnsi="Times New Roman"/>
          <w:sz w:val="20"/>
        </w:rPr>
        <w:t xml:space="preserve">. The Compensation Committee will determine whether any significant element(s) will be included in or excluded from the calculation of any Corporate Performance Goal with respect to any Covered Executive. In addition, the Compensation Committee may adjust the Corporate Performance Goals or results to account for unexpected or unusual events such as significant acquisitions or disposals of a business or significant, unforeseen market or regulatory developments. In all other respects, Corporate Performance Goals will be calculated in accordance with the Company’s financial statements, generally accepted accounting principles or under a methodology established by the Compensation Committee that is consistently applied with respect to a Corporate Performance Goal in the relevant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Target; Minimum; Maximum</w:t>
      </w:r>
      <w:r>
        <w:rPr>
          <w:rFonts w:ascii="Times New Roman" w:hAnsi="Times New Roman"/>
          <w:sz w:val="20"/>
        </w:rPr>
        <w:t xml:space="preserve">. Each Corporate Performance Goal shall have a “target” (100% attainment of the Corporate Performance Goal) and may also have a “minimum” hurdle and/or a “maximum”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Bonus Requirements; Individual Goals</w:t>
      </w:r>
      <w:r>
        <w:rPr>
          <w:rFonts w:ascii="Times New Roman" w:hAnsi="Times New Roman"/>
          <w:sz w:val="20"/>
        </w:rPr>
        <w:t xml:space="preserve">.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Individual Target Bonuses</w:t>
      </w:r>
      <w:r>
        <w:rPr>
          <w:rFonts w:ascii="Times New Roman" w:hAnsi="Times New Roman"/>
          <w:sz w:val="20"/>
        </w:rPr>
        <w:t xml:space="preserve">. The Compensation Committee shall establish a target bonus opportunity for each Covered Executive for each performance period. For each Covered Executive, the Compensation Committee shall have the authority to apportion the target award so that a portion of the target award is tied to attainment of Corporate Performance Goals and a portion of the target award is tied to attainment of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Employment Requirement</w:t>
      </w:r>
      <w:r>
        <w:rPr>
          <w:rFonts w:ascii="Times New Roman" w:hAnsi="Times New Roman"/>
          <w:sz w:val="20"/>
        </w:rPr>
        <w:t xml:space="preserve">. Subject to any additional terms contained in a written agreement between the Covered Executive and the Company, the payment of a bonus to a Covered Executive with respect to a performance period shall be conditioned upon the Covered Executive’s employment by the Company through the bonus payment date. If a Covered Executive was not employed for an entire performance period, the Compensation Committee may pro-rate the bonus based on the number of days employed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With respect to Corporate Performance Goals established and measured on a basis more frequently than annually (e.g., quarterly or semi-annually), the Corporate Performance Goals will be measured at the end of each performance period. If the Corporate Performance Goals and/or individual goals for such period are met, payments will be made as soon as practicable following the end of such period, but not later 2.5 months after the end of the fiscal year in which such performance period ends.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Corporate Performance Goals established and measured on an annual or multi-year basis, Corporate Performance Goals will be measured as of the end of each such performance period (e.g., the end of each fiscal year). If the Corporate Performance Goals and/or individual goals for any such period are met, bonus payments will be made as soon as practicable, but not later than 2.5 months after the end of the relevant 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and Termination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amend or terminate the Incentive Plan at any time in its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Recoupment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including, without limitation, the Company’s Compensation Recovery Policy (as such policy may be amended and/or restated), or other agreement or arrangement with a Covered Executive or (ii)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Adopted June 21,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30" w:name="d309963dex1011.htm"/>
      <w:bookmarkStart w:id="31" w:name="ksd309963dex1011"/>
      <w:bookmarkEnd w:id="30"/>
      <w:bookmarkEnd w:id="31"/>
      <w:r>
        <w:rPr>
          <w:rFonts w:ascii="Times New Roman" w:hAnsi="Times New Roman"/>
          <w:b/>
          <w:sz w:val="20"/>
        </w:rPr>
        <w:t xml:space="preserve">Exhibit 10.11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SEVERANCE PLAN AND </w:t>
      </w:r>
    </w:p>
    <w:p>
      <w:pPr>
        <w:pStyle w:val="TextBody"/>
        <w:bidi w:val="0"/>
        <w:spacing w:before="0" w:after="0"/>
        <w:jc w:val="center"/>
        <w:rPr>
          <w:rFonts w:ascii="Times New Roman" w:hAnsi="Times New Roman"/>
          <w:b/>
          <w:sz w:val="20"/>
        </w:rPr>
      </w:pPr>
      <w:r>
        <w:rPr>
          <w:rFonts w:ascii="Times New Roman" w:hAnsi="Times New Roman"/>
          <w:b/>
          <w:sz w:val="20"/>
        </w:rPr>
        <w:t xml:space="preserve">SUMMARY PLAN DESCRIPTION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and Purpose </w:t>
            </w:r>
          </w:p>
        </w:tc>
      </w:tr>
    </w:tbl>
    <w:p>
      <w:pPr>
        <w:pStyle w:val="TextBody"/>
        <w:bidi w:val="0"/>
        <w:spacing w:before="240" w:after="0"/>
        <w:jc w:val="left"/>
        <w:rPr>
          <w:rFonts w:ascii="Times New Roman" w:hAnsi="Times New Roman"/>
          <w:sz w:val="20"/>
        </w:rPr>
      </w:pPr>
      <w:r>
        <w:rPr>
          <w:rFonts w:ascii="Times New Roman" w:hAnsi="Times New Roman"/>
          <w:sz w:val="20"/>
        </w:rPr>
        <w:t>This document serves as the Plan document and Summary Plan Description (“</w:t>
      </w:r>
      <w:r>
        <w:rPr>
          <w:rFonts w:ascii="Times New Roman" w:hAnsi="Times New Roman"/>
          <w:b/>
          <w:i/>
          <w:sz w:val="20"/>
        </w:rPr>
        <w:t>SPD</w:t>
      </w:r>
      <w:r>
        <w:rPr>
          <w:rFonts w:ascii="Times New Roman" w:hAnsi="Times New Roman"/>
          <w:sz w:val="20"/>
        </w:rPr>
        <w:t>”) for the severance pay and benefits provided under the Obsidian Therapeutics, Inc. Executive Severance Plan (the “</w:t>
      </w:r>
      <w:r>
        <w:rPr>
          <w:rFonts w:ascii="Times New Roman" w:hAnsi="Times New Roman"/>
          <w:b/>
          <w:i/>
          <w:sz w:val="20"/>
        </w:rPr>
        <w:t>Plan</w:t>
      </w:r>
      <w:r>
        <w:rPr>
          <w:rFonts w:ascii="Times New Roman" w:hAnsi="Times New Roman"/>
          <w:sz w:val="20"/>
        </w:rPr>
        <w:t>”). Obsidian Therapeutics, Inc., a Delaware corporation (including its successors, the “</w:t>
      </w:r>
      <w:r>
        <w:rPr>
          <w:rFonts w:ascii="Times New Roman" w:hAnsi="Times New Roman"/>
          <w:b/>
          <w:i/>
          <w:sz w:val="20"/>
        </w:rPr>
        <w:t>Company</w:t>
      </w:r>
      <w:r>
        <w:rPr>
          <w:rFonts w:ascii="Times New Roman" w:hAnsi="Times New Roman"/>
          <w:sz w:val="20"/>
        </w:rPr>
        <w:t xml:space="preserve">”), considers it essential to foster the continuous employment of key management personnel. The Company acknowledges the possibility of an involuntary termination of employment exists and that such possibility, and the uncertainty and questions that it may raise among management, may result in the departure or distraction of management personnel to the detriment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Therefore, the Board has adopted this Plan to reinforce and encourage the continued attention and dedication of the Covered Executives to their assigned duties without distraction. This Plan contains information that will help Covered Executives understand the severance pay and benefits being offered hereunder. The Company encourages all Covered Executives to read the Plan carefully. Note that capitalized words and phrases used throughout this document are generally defined in Section 4. If you have any questions regarding the Plan, please contact the Company’s Chief People Officer.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Establishment of Plan </w:t>
            </w:r>
          </w:p>
        </w:tc>
      </w:tr>
    </w:tbl>
    <w:p>
      <w:pPr>
        <w:pStyle w:val="TextBody"/>
        <w:bidi w:val="0"/>
        <w:spacing w:before="240" w:after="0"/>
        <w:jc w:val="left"/>
        <w:rPr>
          <w:rFonts w:ascii="Times New Roman" w:hAnsi="Times New Roman"/>
          <w:sz w:val="20"/>
        </w:rPr>
      </w:pPr>
      <w:r>
        <w:rPr>
          <w:rFonts w:ascii="Times New Roman" w:hAnsi="Times New Roman"/>
          <w:sz w:val="20"/>
        </w:rPr>
        <w:t>Effective as of the Effective Date, the Board hereby establishes an unfunded severance benefits plan that is intended to be a welfare benefit plan within the meaning of Section 3(1) of the Employee Retirement Income Security Act of 1974, as amended (“</w:t>
      </w:r>
      <w:r>
        <w:rPr>
          <w:rFonts w:ascii="Times New Roman" w:hAnsi="Times New Roman"/>
          <w:b/>
          <w:i/>
          <w:sz w:val="20"/>
        </w:rPr>
        <w:t>ERISA</w:t>
      </w:r>
      <w:r>
        <w:rPr>
          <w:rFonts w:ascii="Times New Roman" w:hAnsi="Times New Roman"/>
          <w:sz w:val="20"/>
        </w:rPr>
        <w:t xml:space="preserve">”). This Plan supersedes any and all severance plans, policies, agreements and provisions and all change in control plans, policies, agreements and provisions applying to a Covered Executive that may have been in effect before the Effective Date, including without limitation, any Severance and Change in Control Agreement between the Company and a Covered Executive.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Covered Executives who have executed and submitted to the Company a Participation Agreement, and satisfied such other requirements as may be determined by the Plan Administrator, are eligible to participate in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following definitions shall apply: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Accelerated Vesting Date</w:t>
      </w:r>
      <w:r>
        <w:rPr>
          <w:rFonts w:ascii="Times New Roman" w:hAnsi="Times New Roman"/>
          <w:sz w:val="20"/>
        </w:rPr>
        <w:t xml:space="preserve">” means the later of the (i) Covered Executive’s Date of Termination or (ii) effective date of the Covered Executive’s Separation Agreement and Release (as defined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Accounting Firm</w:t>
      </w:r>
      <w:r>
        <w:rPr>
          <w:rFonts w:ascii="Times New Roman" w:hAnsi="Times New Roman"/>
          <w:sz w:val="20"/>
        </w:rPr>
        <w:t xml:space="preserve">” means a nationally recognized accounting or outside firm selected by the Company prior to a Change in Control.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Adverse Benefit Determination</w:t>
      </w:r>
      <w:r>
        <w:rPr>
          <w:rFonts w:ascii="Times New Roman" w:hAnsi="Times New Roman"/>
          <w:sz w:val="20"/>
        </w:rPr>
        <w:t xml:space="preserve">” means any of the following: a denial, reduction or termination of, or a failure to provide or make payment (in whole or in part) for, a benefit, including any such denial, reduction, termination or failure to provide or make payment that is based on a determination of a Covered Executive’s or beneficiary’s eligibility to participate in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Affiliate</w:t>
      </w:r>
      <w:r>
        <w:rPr>
          <w:rFonts w:ascii="Times New Roman" w:hAnsi="Times New Roman"/>
          <w:sz w:val="20"/>
        </w:rPr>
        <w:t xml:space="preserve">” means any “parent” or “subsidiary” of the Company as such terms are defined in Rule 405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Base Salary</w:t>
      </w:r>
      <w:r>
        <w:rPr>
          <w:rFonts w:ascii="Times New Roman" w:hAnsi="Times New Roman"/>
          <w:sz w:val="20"/>
        </w:rPr>
        <w:t xml:space="preserve">” means the of higher of the Covered Executive’s annual base salary in effect immediately prior to (i) the Covered Executive’s Date of Termination or (ii) a Change in Control.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Plan Sponsor.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Tier 1 Executive: (A) conduct by the Covered Executive constituting a material act of misconduct in connection with the performance of the Covered Executive duties to the Company, including, without limitation, misappropriation of funds or property of the Company or any of its Affiliates other than the occasional, customary and de minimis use of Company property for personal purposes; (B) the commission by the Covered Executive of acts satisfying the elements of any felony or a misdemeanor involving moral turpitude, deceit, dishonesty or fraud or any conduct by the Covered Executive that would be reasonably expected to result in material injury or reputational harm to the Company or any of its Affiliates; (C) continued non-performance by the Covered Executive of the Covered Executive’s duties to the Company or its Affiliates (other than by reason of the Covered Executive’s physical or mental illness, incapacity or disability) following written notice to the Covered Executive of such non-performance and, if such non-performance is curable, not less than 30 days to cure any such non-performance; (D) a breach by the Covered Executive of any of the provisions contained in any agreement between the Covered Executive and the Company or any of its Affiliates relating to confidentiality, non-solicitation of customers and employees, assignment of inventions or other restrictive covenants following written notice to the Covered Executive of such breach and, if such breach is curable, not less than 30 days to cure such breach; (E) a material violation by the Covered Executive of the Company’s or its Affiliates’ written employment policies following written notice to the Covered Executive of such breach and, if such breach is curable, not less than 30 days to cure such breach; or (F) the Covered Executive’s failure to cooperate with a bona fide internal investigation of the Company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Tier 2 Executives: (A) conduct by the Covered Executive constituting a material act of misconduct in connection with the performance of the Covered Executive duties to the Company, including, without limitation, misappropriation of funds or property of the Company or any of its Affiliates other than the occasional, customary and de minimis use of Company property for personal purposes; (B) the commission by the Covered Executive of acts satisfying the elements of any felony or a misdemeanor involving moral turpitude, deceit, dishonesty or fraud or any conduct by the Covered Executive that would be reasonably expected to result in material injury or reputational harm to the Company or any of its Affiliates; (C) continued non-performance by the Covered Executive of the Covered Executive’s duties to the Company or its Affiliates (other than by reason of the Covered Executive’s physical or mental illness, incapacity or disability); (D) a breach by the Covered Executive of any of the provisions contained in any agreement between the Covered Executive and the Company or any of its Affiliates relating to confidentiality, non-solicitation of customers and employees, assignment of inventions or other restrictive covenants; (E) a material violation by the Covered Executive of the Company’s or its Affiliates’ written employment policies; or (F) the Covered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w:t>
            </w:r>
          </w:p>
        </w:tc>
      </w:tr>
    </w:tbl>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a Sale Event, as defined in the Company’s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Change in Control Period</w:t>
      </w:r>
      <w:r>
        <w:rPr>
          <w:rFonts w:ascii="Times New Roman" w:hAnsi="Times New Roman"/>
          <w:sz w:val="20"/>
        </w:rPr>
        <w:t xml:space="preserve">” means the period beginning three months prior to a Change in Control and ending on the one-year anniversary of the Change in Control.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CIC Severance Period</w:t>
      </w:r>
      <w:r>
        <w:rPr>
          <w:rFonts w:ascii="Times New Roman" w:hAnsi="Times New Roman"/>
          <w:sz w:val="20"/>
        </w:rPr>
        <w:t xml:space="preserve">” means (i) for the Tier 1 Executive, 18 months; and (ii) for the Tier 2 Executives, 12 months.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i/>
          <w:sz w:val="20"/>
        </w:rPr>
        <w:t>Closing</w:t>
      </w:r>
      <w:r>
        <w:rPr>
          <w:rFonts w:ascii="Times New Roman" w:hAnsi="Times New Roman"/>
          <w:sz w:val="20"/>
        </w:rPr>
        <w:t xml:space="preserve">” means the closing of the transactions contemplated by that certain Agreement and Plan of Merger, dated as of April 14, 2026, by and among Galera Therapeutics, Inc., the Company and certain other parties thereto.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Continuing Obligations</w:t>
      </w:r>
      <w:r>
        <w:rPr>
          <w:rFonts w:ascii="Times New Roman" w:hAnsi="Times New Roman"/>
          <w:sz w:val="20"/>
        </w:rPr>
        <w:t xml:space="preserve">” means the Covered Executive’s obligations to the Company pursuant to any agreement relating to confidentiality, non-solicitation of customers and employees, assignment of inventions or other restrictive covenants.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Covered Executives</w:t>
      </w:r>
      <w:r>
        <w:rPr>
          <w:rFonts w:ascii="Times New Roman" w:hAnsi="Times New Roman"/>
          <w:sz w:val="20"/>
        </w:rPr>
        <w:t xml:space="preserve">” means the Tier 1 Executive and the Tier 2 Executives, in each case, who meet the eligibility requirements set forth in Section 3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b/>
          <w:i/>
          <w:sz w:val="20"/>
        </w:rPr>
        <w:t>Date of Termination</w:t>
      </w:r>
      <w:r>
        <w:rPr>
          <w:rFonts w:ascii="Times New Roman" w:hAnsi="Times New Roman"/>
          <w:sz w:val="20"/>
        </w:rPr>
        <w:t xml:space="preserve">” means the date that a Covered Executive’s employment with the Company and its Affiliates ends, which date shall be specified in the Notice of Termination. Notwithstanding the foregoing, a Covered Executive’s employment will not be deemed to have been terminated solely as a result of the Covered Executive becoming an employee of any direct or indirect successor to the business or assets of the Company or any Affiliate.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Effective Date</w:t>
      </w:r>
      <w:r>
        <w:rPr>
          <w:rFonts w:ascii="Times New Roman" w:hAnsi="Times New Roman"/>
          <w:sz w:val="20"/>
        </w:rPr>
        <w:t xml:space="preserve">” means the date of Closing.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Disability</w:t>
      </w:r>
      <w:r>
        <w:rPr>
          <w:rFonts w:ascii="Times New Roman" w:hAnsi="Times New Roman"/>
          <w:sz w:val="20"/>
        </w:rPr>
        <w:t xml:space="preserve">” means the Covered Executive is disabled and unable to perform or expected to be unable to perform the essential functions of the Covered Executive’s then existing position or positions with or without reasonable accommodation for a period of 180 days (which need not be consecutive) in any 12-month period. If any question shall arise as to whether during any period the Covered Executive is disabled so as to be unable to perform the essential functions of the Covered Executive’s then existing position or positions with or without reasonable accommodation, the Covered Executive may, and at the request of the Company shall, submit to the Company a certification in reasonable detail by a physician selected by the Company to whom the Covered Executive or the Covered Executive’s guardian has no reasonable objection as to whether the Covered Executive is so disabled or how long such disability is expected to continue, and such certification shall for the purposes of this Plan be conclusive of the issue. The Covered Executive shall cooperate with any reasonable request of the physician in connection with such certification. If such question arises and the Covered Executive fails to submit such certification, the Company’s determination of such issue shall be binding on the Covered Executive. Nothing in this definition shall be construed to waive the Covered Executive’s rights, if any, under existing law including, without limitation, the Family and Medical Leave Act of 1993, 29 U.S.C. §2601 et seq. and the Americans with Disabilities Act, 42 U.S.C. §12101 et seq.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Good Reason</w:t>
      </w:r>
      <w:r>
        <w:rPr>
          <w:rFonts w:ascii="Times New Roman" w:hAnsi="Times New Roman"/>
          <w:sz w:val="20"/>
        </w:rPr>
        <w:t>” means that the Covered Executive has completed all steps of the Good Reason Process following the occurrence of any of the following events without the Covered Executive’s consent (each, a “</w:t>
      </w:r>
      <w:r>
        <w:rPr>
          <w:rFonts w:ascii="Times New Roman" w:hAnsi="Times New Roman"/>
          <w:b/>
          <w:i/>
          <w:sz w:val="20"/>
        </w:rPr>
        <w:t>Good Reason Condition</w:t>
      </w:r>
      <w:r>
        <w:rPr>
          <w:rFonts w:ascii="Times New Roman" w:hAnsi="Times New Roman"/>
          <w:sz w:val="20"/>
        </w:rPr>
        <w:t xml:space="preserve">”): (i) a material diminution in the Covered Executive’s responsibilities, authority or duties; (ii) a material diminution in the Covered Executive’s base salary except for across-the-board salary reductions of not more than 10% based on the Company’s financial performance similarly affecting all or substantially all senior management employees of the Company; (iii) a breach by the Company of the material terms of any written agreement between the Covered Executive and the Company; or (iv) a required change of 30 miles or greater in the geographic location of the Covered Executive’s principal work location for the Company, not including business travel or short-term assignments (provided, however, that the Company may require Covered Executives who (A) reside within with 30 miles of a Company office and (B) are working remotely, to work in-person in such office on a full-time or part-time basis and such requirement shall not constitute a Good Reason).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Good Reason Process</w:t>
      </w:r>
      <w:r>
        <w:rPr>
          <w:rFonts w:ascii="Times New Roman" w:hAnsi="Times New Roman"/>
          <w:sz w:val="20"/>
        </w:rPr>
        <w:t>” consists of the following steps: (i) the Covered Executive reasonably determines in good faith that a Good Reason Condition has occurred; (ii) the Covered Executive notifies the Company in writing of the first occurrence of the Good Reason Condition within 60 days of the first occurrence of such condition; (iii) the Covered Executive cooperates in good faith with the Company’s efforts, for a period of not less than 30 days following such notice (the “</w:t>
      </w:r>
      <w:r>
        <w:rPr>
          <w:rFonts w:ascii="Times New Roman" w:hAnsi="Times New Roman"/>
          <w:b/>
          <w:i/>
          <w:sz w:val="20"/>
        </w:rPr>
        <w:t>Good Reason</w:t>
      </w:r>
      <w:r>
        <w:rPr>
          <w:rFonts w:ascii="Times New Roman" w:hAnsi="Times New Roman"/>
          <w:sz w:val="20"/>
        </w:rPr>
        <w:t xml:space="preserve"> </w:t>
      </w:r>
      <w:r>
        <w:rPr>
          <w:rFonts w:ascii="Times New Roman" w:hAnsi="Times New Roman"/>
          <w:b/>
          <w:i/>
          <w:sz w:val="20"/>
        </w:rPr>
        <w:t>Cure Period</w:t>
      </w:r>
      <w:r>
        <w:rPr>
          <w:rFonts w:ascii="Times New Roman" w:hAnsi="Times New Roman"/>
          <w:sz w:val="20"/>
        </w:rPr>
        <w:t xml:space="preserve">”), to remedy the Good Reason Condition; (iv) notwithstanding such efforts, the Good Reason Condition continues to exist at the end of the Good Reason Cure Period; and (v) the Covered Executive terminates employment within 60 days after the end of the Good Reason Cure Period. If the Company cures the Good Reason Condition during the Good Reason Cure Period, Good Reason shall be deemed not to have occurred.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b/>
          <w:i/>
          <w:sz w:val="20"/>
        </w:rPr>
        <w:t>Notice</w:t>
      </w:r>
      <w:r>
        <w:rPr>
          <w:rFonts w:ascii="Times New Roman" w:hAnsi="Times New Roman"/>
          <w:sz w:val="20"/>
        </w:rPr>
        <w:t>” or “</w:t>
      </w:r>
      <w:r>
        <w:rPr>
          <w:rFonts w:ascii="Times New Roman" w:hAnsi="Times New Roman"/>
          <w:b/>
          <w:i/>
          <w:sz w:val="20"/>
        </w:rPr>
        <w:t>Notification</w:t>
      </w:r>
      <w:r>
        <w:rPr>
          <w:rFonts w:ascii="Times New Roman" w:hAnsi="Times New Roman"/>
          <w:sz w:val="20"/>
        </w:rPr>
        <w:t xml:space="preserve">” means the delivery or furnishing of information to an individual in a manner that is reasonably calculated to ensure actual receipt by the individual.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Notice</w:t>
      </w:r>
      <w:r>
        <w:rPr>
          <w:rFonts w:ascii="Times New Roman" w:hAnsi="Times New Roman"/>
          <w:sz w:val="20"/>
        </w:rPr>
        <w:t xml:space="preserve"> </w:t>
      </w:r>
      <w:r>
        <w:rPr>
          <w:rFonts w:ascii="Times New Roman" w:hAnsi="Times New Roman"/>
          <w:b/>
          <w:i/>
          <w:sz w:val="20"/>
        </w:rPr>
        <w:t>of Termination</w:t>
      </w:r>
      <w:r>
        <w:rPr>
          <w:rFonts w:ascii="Times New Roman" w:hAnsi="Times New Roman"/>
          <w:sz w:val="20"/>
        </w:rPr>
        <w:t xml:space="preserve">” means a written Notice that indicates the specific termination provision in this Plan relied upon for the termination of a Covered Executive’s employment and the Date of Termination.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Participation Agreement</w:t>
      </w:r>
      <w:r>
        <w:rPr>
          <w:rFonts w:ascii="Times New Roman" w:hAnsi="Times New Roman"/>
          <w:sz w:val="20"/>
        </w:rPr>
        <w:t xml:space="preserve">” means an agreement between a Covered Executive and the Company that acknowledges the Covered Executive’s participation in the Plan.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Plan</w:t>
      </w:r>
      <w:r>
        <w:rPr>
          <w:rFonts w:ascii="Times New Roman" w:hAnsi="Times New Roman"/>
          <w:sz w:val="20"/>
        </w:rPr>
        <w:t xml:space="preserve"> </w:t>
      </w:r>
      <w:r>
        <w:rPr>
          <w:rFonts w:ascii="Times New Roman" w:hAnsi="Times New Roman"/>
          <w:b/>
          <w:i/>
          <w:sz w:val="20"/>
        </w:rPr>
        <w:t>Administrator</w:t>
      </w:r>
      <w:r>
        <w:rPr>
          <w:rFonts w:ascii="Times New Roman" w:hAnsi="Times New Roman"/>
          <w:sz w:val="20"/>
        </w:rPr>
        <w:t xml:space="preserve">” means the Board or a committee thereof designated by the Board to administer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Plan Administrator may in its sole discretion appoint a new Plan Administrator to administer the Plan at any time.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Plan Sponsor</w:t>
      </w:r>
      <w:r>
        <w:rPr>
          <w:rFonts w:ascii="Times New Roman" w:hAnsi="Times New Roman"/>
          <w:sz w:val="20"/>
        </w:rPr>
        <w:t xml:space="preserve">” means the Company.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Qualified Termination</w:t>
      </w:r>
      <w:r>
        <w:rPr>
          <w:rFonts w:ascii="Times New Roman" w:hAnsi="Times New Roman"/>
          <w:sz w:val="20"/>
        </w:rPr>
        <w:t xml:space="preserve">” means (i) a termination of the Covered Executive’s employment by the Company other than for Cause, death or Disability or (ii) the Covered Executive’s resignation from the Company for Good Reason.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Separation Obligations</w:t>
      </w:r>
      <w:r>
        <w:rPr>
          <w:rFonts w:ascii="Times New Roman" w:hAnsi="Times New Roman"/>
          <w:sz w:val="20"/>
        </w:rPr>
        <w:t>” means: (i) execution of a separation agreement and release in a form and manner satisfactory to and provided by the Company that contains, among other provisions, a general release of claims in favor of the Company and all related persons and entities that shall not release the Covered Executive’s rights under this Plan, a reaffirmation of the Covered Executive’s Continuing Obligations, confidentiality, return of property and non-disparagement provisions and provides that if the Covered Executive breaches any of the Continuing Obligations, then, among other remedies available to the Company, all severance payments and benefits shall immediately cease (the “</w:t>
      </w:r>
      <w:r>
        <w:rPr>
          <w:rFonts w:ascii="Times New Roman" w:hAnsi="Times New Roman"/>
          <w:b/>
          <w:i/>
          <w:sz w:val="20"/>
        </w:rPr>
        <w:t>Separation Agreement and Release</w:t>
      </w:r>
      <w:r>
        <w:rPr>
          <w:rFonts w:ascii="Times New Roman" w:hAnsi="Times New Roman"/>
          <w:sz w:val="20"/>
        </w:rPr>
        <w:t xml:space="preserve">”) and (ii) the Separation Agreement and Release becoming irrevocable, all within 60 days after the Date of Termination (or such shorter period set forth in the Separation Agreement and Release).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Severance Period</w:t>
      </w:r>
      <w:r>
        <w:rPr>
          <w:rFonts w:ascii="Times New Roman" w:hAnsi="Times New Roman"/>
          <w:sz w:val="20"/>
        </w:rPr>
        <w:t xml:space="preserve">” means 12 months.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Target Bonus</w:t>
      </w:r>
      <w:r>
        <w:rPr>
          <w:rFonts w:ascii="Times New Roman" w:hAnsi="Times New Roman"/>
          <w:sz w:val="20"/>
        </w:rPr>
        <w:t xml:space="preserve">” means the higher of the Covered Executive’s target annual cash incentive compensation in effect immediately prior to (i) the Covered Executive’s Date of Termination or (ii) the Change in Control.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i/>
          <w:sz w:val="20"/>
        </w:rPr>
        <w:t>Tier 1 Executive</w:t>
      </w:r>
      <w:r>
        <w:rPr>
          <w:rFonts w:ascii="Times New Roman" w:hAnsi="Times New Roman"/>
          <w:sz w:val="20"/>
        </w:rPr>
        <w:t xml:space="preserve">” means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Tier 2 Executives</w:t>
      </w:r>
      <w:r>
        <w:rPr>
          <w:rFonts w:ascii="Times New Roman" w:hAnsi="Times New Roman"/>
          <w:sz w:val="20"/>
        </w:rPr>
        <w:t xml:space="preserve">” means employees of the Company holding a title above Senior Vice President, other than the Tier 1 Executive.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b/>
          <w:i/>
          <w:sz w:val="20"/>
        </w:rPr>
        <w:t>Time-Based</w:t>
      </w:r>
      <w:r>
        <w:rPr>
          <w:rFonts w:ascii="Times New Roman" w:hAnsi="Times New Roman"/>
          <w:sz w:val="20"/>
        </w:rPr>
        <w:t xml:space="preserve"> </w:t>
      </w:r>
      <w:r>
        <w:rPr>
          <w:rFonts w:ascii="Times New Roman" w:hAnsi="Times New Roman"/>
          <w:b/>
          <w:i/>
          <w:sz w:val="20"/>
        </w:rPr>
        <w:t>Equity Awards</w:t>
      </w:r>
      <w:r>
        <w:rPr>
          <w:rFonts w:ascii="Times New Roman" w:hAnsi="Times New Roman"/>
          <w:sz w:val="20"/>
        </w:rPr>
        <w:t xml:space="preserve">” means all outstanding stock options, restricted stock units, restricted stock awards and other stock-based awards with respect to the Company’s common stock that are subject solely to time-based vesting.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Obligations </w:t>
            </w:r>
          </w:p>
        </w:tc>
      </w:tr>
    </w:tbl>
    <w:p>
      <w:pPr>
        <w:pStyle w:val="TextBody"/>
        <w:bidi w:val="0"/>
        <w:spacing w:before="240" w:after="0"/>
        <w:jc w:val="left"/>
        <w:rPr>
          <w:rFonts w:ascii="Times New Roman" w:hAnsi="Times New Roman"/>
          <w:sz w:val="20"/>
        </w:rPr>
      </w:pPr>
      <w:r>
        <w:rPr>
          <w:rFonts w:ascii="Times New Roman" w:hAnsi="Times New Roman"/>
          <w:sz w:val="20"/>
        </w:rPr>
        <w:t>If the Covered Executive’s employment with the Company and its Affiliates is terminated for any reason, the Company shall pay or provide to the Covered Executive (or to the Covered Executive’s authorized representative or estate) (i) any base salary earned but unpaid through the Date of Termination; (ii) unpaid expense reimbursements (subject to, and in accordance with, the Company’s expense reimbursement policy then in effect); and (iii) any vested benefits the Covered Executive may have under any employee benefit plan of the Company through the Date of Termination, which vested benefits shall be paid and/or provided in accordance with the terms of such employee benefit plans (collectively, the “</w:t>
      </w:r>
      <w:r>
        <w:rPr>
          <w:rFonts w:ascii="Times New Roman" w:hAnsi="Times New Roman"/>
          <w:b/>
          <w:i/>
          <w:sz w:val="20"/>
        </w:rPr>
        <w:t>Accrued Obligations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not in Connection with a Change in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Covered Executive experiences a Qualified Termination outside of the Change in Control Period, then, in addition to the Accrued Obligations, and subject to the Covered Executive’s fulfillment of the Separation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continue to pay to the Covered Executive the Covered Executive’s Base Salary for the Severance Period and, for the Tier 1 Executive, the Company shall pay to the Tier 1 Executive an amount equal to the Tier 1 Executive’s pro-rated Target Bonus based on the days worked in the calendar year in which the Qualified Termination occurs; </w:t>
      </w:r>
    </w:p>
    <w:p>
      <w:pPr>
        <w:pStyle w:val="TextBody"/>
        <w:bidi w:val="0"/>
        <w:spacing w:before="240" w:after="0"/>
        <w:jc w:val="left"/>
        <w:rPr>
          <w:rFonts w:ascii="Times New Roman" w:hAnsi="Times New Roman"/>
          <w:sz w:val="20"/>
        </w:rPr>
      </w:pPr>
      <w:r>
        <w:rPr>
          <w:rFonts w:ascii="Times New Roman" w:hAnsi="Times New Roman"/>
          <w:sz w:val="20"/>
        </w:rPr>
        <w:t xml:space="preserve">(b) for the Tier 1 Executive, the Company shall pay to the Tier 1 Executive any earned but unpaid annual cash incentive compensation for the year prior to the year in which the Qualified Termination occurs; and </w:t>
      </w:r>
    </w:p>
    <w:p>
      <w:pPr>
        <w:pStyle w:val="TextBody"/>
        <w:bidi w:val="0"/>
        <w:spacing w:before="240" w:after="0"/>
        <w:jc w:val="left"/>
        <w:rPr>
          <w:rFonts w:ascii="Times New Roman" w:hAnsi="Times New Roman"/>
          <w:sz w:val="20"/>
        </w:rPr>
      </w:pPr>
      <w:r>
        <w:rPr>
          <w:rFonts w:ascii="Times New Roman" w:hAnsi="Times New Roman"/>
          <w:sz w:val="20"/>
        </w:rPr>
        <w:t>(c) subject to the Covered Executive’s copayment of premium amounts at the applicable active employees’ rate and the Covered Executive’s proper election to receive benefits under the Consolidated Omnibus Budget Reconciliation Act of 1985, as amended (“</w:t>
      </w:r>
      <w:r>
        <w:rPr>
          <w:rFonts w:ascii="Times New Roman" w:hAnsi="Times New Roman"/>
          <w:b/>
          <w:i/>
          <w:sz w:val="20"/>
        </w:rPr>
        <w:t>COBRA</w:t>
      </w:r>
      <w:r>
        <w:rPr>
          <w:rFonts w:ascii="Times New Roman" w:hAnsi="Times New Roman"/>
          <w:sz w:val="20"/>
        </w:rPr>
        <w:t xml:space="preserve">”), the Company shall pay to the group health plan provider or the COBRA provider a monthly payment equal to the monthly employer contribution that the Company would have made to provide health insurance to the Covered Executive if the Covered Executive had remained employed by the Company until the earliest of (i) the end of the Severance Period; (ii) the date that the Covered Executive becomes eligible for group medical plan benefits under any other employer’s group medical plan; or (iii) the cessation of the Covered Executive’s health continuation rights under COBRA;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Covered Executive for the time period specified above. Such payments to the Covered Executive shall be subject to tax-related deductions and withholdings and paid on the Company’s regular payroll 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amounts payable under Section 6(a) and 6(c) will be paid out in substantially equal installments in accordance with the Company’s payroll practice over the Severance Period, commencing within 60 days after the Date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60-day period begins in one calendar year and ends in a second calendar year, such payments, to the extent they qualify as “non-qualified deferred compensation” within the meaning of Section 409A of the Code, shall begin to be paid in the second calendar year by the last day of such 60-day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initial payment shall include a catch-up payment to cover amounts retroactive to the day immediately following the Date of Termination. The amount payable under Section 6(b) shall be paid out in a lump sum within 60 days after the Date of Termination; provided, however, that if the 60-day period begins in one calendar year and ends in a second calendar year, such payment, to the extent it qualifies as “non-qualified deferred compensation” within the meaning of Section 409A of the Code, shall be paid in the second calendar year by the last day of such 60-day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in Connection with a Change in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Covered Executive experiences a Qualified Termination within the Change in Control Period, then, in addition to the Accrued Obligations, and subject to the Covered Executive’s fulfillment of the Separation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pay to the Covered Executive an amount equal to (i) for the Tier 1 Executive, 1.5 times and (ii) for Tier 2 Executives 1.0 times, the sum of (A) the Covered Executive’s Base Salary and (B) the Covered Executive’s Target Bonus;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to the Covered Executive any earned but unpaid bonus for the calendar year prior to the year in which the Qualified Termination occurs;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Covered Executive’s copayment of premium amounts at the applicable active employees’ rate and the Covered Executive’s proper election to receive benefits under COBRA, the Company shall pay to the group health plan provider or the COBRA provider a monthly payment equal to the monthly employer contribution that the Company would have made to provide health insurance to the Covered Executive if the Covered Executive had remained employed by the Company until the earliest of (i) the end of the CIC Severance Period; (ii) the date that the Covered Executive becomes eligible for group medical plan benefits under any other employer’s group medical plan; or (iii) the cessation of the Covered Executive’s health continuation rights under COBRA;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Covered Executive for the time period specified above. Such payments to the Covered Executive shall be subject to tax-related deductions and withholdings and paid on the Company’s regular payroll 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in any applicable Time-Based Equity Award agreement or in any applicable Company equity incentive plan, all Time-Based Equity Awards shall immediately accelerate and become fully vested and exercisable or nonforfeitable as of the later of the Accelerated Vesting Date or the date of a Change in Control, provided that in order to effectuate the accelerated vesting contemplated by this subsection, the unvested portion of the Covered Executive’s Time-Based Equity Awards that would otherwise terminate or be forfeited on the Date of Termination will be delayed until the earlier of (i) the effective date of the Separation Agreement and Release or the date of the Change in Control, as applicable (at which time acceleration will occur), or (ii) the date that the Separation Agreement and Release can no longer become fully effective (at which time the unvested portion of the Covered Executive’s Time-Based Equity Awards will terminate or be forfeited). For the avoidance of doubt, upon a Qualifying Termination prior to the consummation of a Change in Control (1) all Time-Based Equity Awards held by the Covered Executive as of the Date of Termination will remain outstanding for a period of three months thereafter (unless such Time-Based Equity Awards are forfeited prior to such date pursuant to clause (ii) of the preceding sentence) and remain eligible to become vested upon the consummation of such Change in Control and, to the extent such Time-Based Equity Awards do not become vested in accordance with the terms set forth in this Section 7(d) on or prior to the date that is three months following the Date of Termination, all then-unvested Time-Based Equity Awards held by such Covered Executive will automatically and without further action be canceled and forfeited on the three-month anniversary of the Date of Termination. Notwithstanding the foregoing, no additional vesting of the Time-Based Equity Awards will occur during the period between the Date of Termination and the Accelerated Vesting Date or the date of the Change in Control,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(e) for the Tier 1 Executive, all vested stock options shall remain exercisable until the earlier of six months following the Date of Termination and the original expiration date of the stock option. </w:t>
      </w:r>
    </w:p>
    <w:p>
      <w:pPr>
        <w:pStyle w:val="TextBody"/>
        <w:bidi w:val="0"/>
        <w:spacing w:before="240" w:after="0"/>
        <w:jc w:val="left"/>
        <w:rPr>
          <w:rFonts w:ascii="Times New Roman" w:hAnsi="Times New Roman"/>
          <w:sz w:val="20"/>
        </w:rPr>
      </w:pPr>
      <w:r>
        <w:rPr>
          <w:rFonts w:ascii="Times New Roman" w:hAnsi="Times New Roman"/>
          <w:sz w:val="20"/>
        </w:rPr>
        <w:t xml:space="preserve">The amounts payable under Section 7(a) and 7(b) shall be paid out in a lump sum within 60 days after the Date of Termination and the amounts payable under Section 7(c) will be paid out in substantially equal installments in accordance with the Company’s payroll practice over the CIC Severance Period, commencing within 60 days after the Date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60-day period begins in one calendar year and ends in a second calendar year, such payments, to the extent they qualify as “non-qualified deferred compensation” within the meaning of Section 409A of the Code, shall be paid or begin to be paid in the second calendar year by the last day of such 60-day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initial payment shall include a catch-up payment to cover amounts retroactive to the day immediately following the Date of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Section 409A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Payments under this Plan are intended to be exempt from Section 409A of the Code to the greatest extent possible. Otherwise, this Plan is intended to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Each payment pursuant to this Plan is intended to constitute a separate payment for purposes of Treasury Regulation Section 1.409A-2(b)(2). This Plan may be amended as may be necessary to fully comply with Section 409A of the Code and all related rules and regulations in order to preserve the payments and benefits provided hereunder without additional cost.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(d) Anything in this Plan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on account of the Covered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makes no representation or warranty and shall have no liability to any Covered Executive or any other person if any provisions of this Plan are determined to constitute deferred compensation subject to Section 409A of the Code but do not satisfy the conditions of such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Limitation </w:t>
            </w:r>
          </w:p>
        </w:tc>
      </w:tr>
    </w:tbl>
    <w:p>
      <w:pPr>
        <w:pStyle w:val="TextBody"/>
        <w:bidi w:val="0"/>
        <w:spacing w:before="240" w:after="0"/>
        <w:jc w:val="left"/>
        <w:rPr>
          <w:rFonts w:ascii="Times New Roman" w:hAnsi="Times New Roman"/>
          <w:sz w:val="20"/>
        </w:rPr>
      </w:pPr>
      <w:r>
        <w:rPr>
          <w:rFonts w:ascii="Times New Roman" w:hAnsi="Times New Roman"/>
          <w:sz w:val="20"/>
        </w:rPr>
        <w:t>(a) 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 w:hAnsi="Times New Roman"/>
          <w:b/>
          <w:i/>
          <w:sz w:val="20"/>
        </w:rPr>
        <w:t>Aggregate Payments</w:t>
      </w:r>
      <w:r>
        <w:rPr>
          <w:rFonts w:ascii="Times New Roman" w:hAnsi="Times New Roman"/>
          <w:sz w:val="20"/>
        </w:rPr>
        <w:t xml:space="preserve">”),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w:t>
      </w:r>
      <w:r>
        <w:rPr>
          <w:rFonts w:ascii="Times New Roman" w:hAnsi="Times New Roman"/>
          <w:i/>
          <w:sz w:val="20"/>
        </w:rPr>
        <w:t>provided</w:t>
      </w:r>
      <w:r>
        <w:rPr>
          <w:rFonts w:ascii="Times New Roman" w:hAnsi="Times New Roman"/>
          <w:sz w:val="20"/>
        </w:rPr>
        <w:t xml:space="preserve"> that such reduction will only occur if it would result in the Covered Executive receiving a higher After Tax Amount (as defined below) than the Covered Executive would receive if the Aggregate Payments were not subject to such reduction. In the event of a reduction, the Aggregate Payments will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w:t>
      </w:r>
      <w:r>
        <w:rPr>
          <w:rFonts w:ascii="Times New Roman" w:hAnsi="Times New Roman"/>
          <w:i/>
          <w:sz w:val="20"/>
        </w:rPr>
        <w:t>provided</w:t>
      </w:r>
      <w:r>
        <w:rPr>
          <w:rFonts w:ascii="Times New Roman" w:hAnsi="Times New Roman"/>
          <w:sz w:val="20"/>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For purposes of this Section, the “</w:t>
      </w:r>
      <w:r>
        <w:rPr>
          <w:rFonts w:ascii="Times New Roman" w:hAnsi="Times New Roman"/>
          <w:b/>
          <w:i/>
          <w:sz w:val="20"/>
        </w:rPr>
        <w:t>After Tax Amount</w:t>
      </w:r>
      <w:r>
        <w:rPr>
          <w:rFonts w:ascii="Times New Roman" w:hAnsi="Times New Roman"/>
          <w:sz w:val="20"/>
        </w:rPr>
        <w:t xml:space="preserve">”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taxes at the highest marginal rates of individual taxation in each applicable state and locality, net of the maximum reduction in federal income taxes (if any) that could be obtained from deduction of such state and local taxes. </w:t>
      </w:r>
    </w:p>
    <w:p>
      <w:pPr>
        <w:pStyle w:val="TextBody"/>
        <w:bidi w:val="0"/>
        <w:spacing w:before="240" w:after="0"/>
        <w:jc w:val="left"/>
        <w:rPr>
          <w:rFonts w:ascii="Times New Roman" w:hAnsi="Times New Roman"/>
          <w:sz w:val="20"/>
        </w:rPr>
      </w:pPr>
      <w:r>
        <w:rPr>
          <w:rFonts w:ascii="Times New Roman" w:hAnsi="Times New Roman"/>
          <w:sz w:val="20"/>
        </w:rPr>
        <w:t xml:space="preserve">(c) The determination as to whether a reduction in the Aggregate Payments shall be made pursuant to Section 9(a) shall be made by the Accounting Firm,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Tax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payments made under this Plan shall be net of any tax or other amounts required to be withheld by the Company under applicable law. Nothing in this Plan shall be construed to require the Company to make any payments to compensate the Covered Executive for any adverse tax effect associated with any payments or benefits or for any deduction or withholding from any payment or benefit.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Death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Covered Executive dies after the Date of Termination, but before all payments or benefits to which such Covered Executive is entitled pursuant to the Plan have been paid or provided, any remaining payments and benefits will be made to any beneficiary designated by the Covered Executive prior to the Covered Executive’s death (or the Covered Executive’s estate, if the Covered Executive fails to make such designation).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Administration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Plan Administrator</w:t>
      </w:r>
      <w:r>
        <w:rPr>
          <w:rFonts w:ascii="Times New Roman" w:hAnsi="Times New Roman"/>
          <w:sz w:val="20"/>
        </w:rPr>
        <w:t xml:space="preserve">. The Plan Administrator and Plan Sponsor shall serve as the “named fiduciaries” of the Plan under ERISA. The Plan Administrator shall be the “administrator” within the meaning of Section 3(16) of ERISA and shall have all the responsibilities and duties contained therein.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Decisions, Powers and Duties</w:t>
      </w:r>
      <w:r>
        <w:rPr>
          <w:rFonts w:ascii="Times New Roman" w:hAnsi="Times New Roman"/>
          <w:sz w:val="20"/>
        </w:rPr>
        <w:t xml:space="preserve">. The general administration of the Plan and the responsibility for carrying out its provisions shall be vested in the Plan Administrator. The Plan Administrator shall have the maximum discretionary authority permitted by law to discharge such duties and responsibilities, which also include, but are not limited to, interpretation and construction of the Plan, the determination of all questions of fact, including, without limitation, eligibility, participation and benefits, the resolution of any ambiguities and all other related or incidental matters, and such duties and powers of the Plan administration that are not assumed from time to time by any other appropriate entity, individual or institution. The Plan Administrator may adopt rules and regulations of uniform applicability in its interpretation and implementation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Covered Executive, and the Covered Executive’s spouse or other dependent or beneficiary and any other interested parties whether or not in being or under a disability.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Reports</w:t>
      </w:r>
      <w:r>
        <w:rPr>
          <w:rFonts w:ascii="Times New Roman" w:hAnsi="Times New Roman"/>
          <w:sz w:val="20"/>
        </w:rPr>
        <w:t xml:space="preserve">. The Plan Administrator shall be responsible for the preparation and delivery of all reports, notices, plan summaries and plan descriptions required to be filed with any governmental office or to be given to any employee, former employee or beneficiary.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Company to Furnish Information</w:t>
      </w:r>
      <w:r>
        <w:rPr>
          <w:rFonts w:ascii="Times New Roman" w:hAnsi="Times New Roman"/>
          <w:sz w:val="20"/>
        </w:rPr>
        <w:t xml:space="preserve">. Upon request of the Plan Administrator, the Company shall furnish such information in its possession and aid the Plan Administrator in the performance of its duties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Claims Procedure and Payment of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Application for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w:t>
      </w:r>
      <w:r>
        <w:rPr>
          <w:rFonts w:ascii="Times New Roman" w:hAnsi="Times New Roman"/>
          <w:sz w:val="20"/>
        </w:rPr>
        <w:t xml:space="preserve">. All applications for benefits under the Plan shall be submitted to the Plan Administrator at such location as designated by the Plan Administrator from time to time. Applications for benefits must be in writing on forms acceptable to the Plan Administrator and must be signed by the Covered Executive. The Plan Administrator reserves the right to require the Covered Executive to furnish such other information and documents as the Plan Administrator determines are necessary or appropriate. Each application shall be acted upon and approved or disapproved by the Plan Administrator within 90 days following its receipt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Notification</w:t>
      </w:r>
      <w:r>
        <w:rPr>
          <w:rFonts w:ascii="Times New Roman" w:hAnsi="Times New Roman"/>
          <w:sz w:val="20"/>
        </w:rPr>
        <w:t xml:space="preserve">. The Plan Administrator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reason or reasons for the Adverse Benefit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the specific Plan provisions on which the Adverse Benefit Determination is based;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additional material or information necessary for the claimant to perfect the claim and an explanation of why such material or information is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Plan’s review procedures and the time limits applicable to such procedures, including a statement of the claimant’s right to bring a civil action under Section 502(a) of ERISA following an Adverse Benefit Determination on review.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Review of Benefit Denials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Appeal</w:t>
      </w:r>
      <w:r>
        <w:rPr>
          <w:rFonts w:ascii="Times New Roman" w:hAnsi="Times New Roman"/>
          <w:sz w:val="20"/>
        </w:rPr>
        <w:t xml:space="preserve">.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13(a)(ii) and may be the Plan Administrator. Such full and fair review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claimants at least 60 days following receipt of a Notification of an Adverse Benefit Determination within which to appeal the Adverse Benefit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claimants the opportunity to submit written comments, documents, records and other information relating to the claim for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claimant shall be provided, upon request and free of charge, reasonable access to, and copies of, all documents, records and other information relevant to the claimant’s claim for benefits;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review of the initial Adverse Benefit Determination that takes into account all comments, documents, records and other information submitted by the claimant relating to the claim, without regard to whether such information was submitted or considered in the initial Adverse Benefit Determination.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Timing of Benefit Determination on Review</w:t>
      </w:r>
      <w:r>
        <w:rPr>
          <w:rFonts w:ascii="Times New Roman" w:hAnsi="Times New Roman"/>
          <w:sz w:val="20"/>
        </w:rPr>
        <w:t xml:space="preserve">. The Board shall notify the Covered Executive, in accordance with Section 13(b)(iv), of the Plan Administrator’s benefit determination on review within a reasonable period of time. Such Notification shall be provided not later than 60 days after receipt by the Plan Administrator of the Covered Executive’s request for review of the Adverse Benefit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Furnishing Documents</w:t>
      </w:r>
      <w:r>
        <w:rPr>
          <w:rFonts w:ascii="Times New Roman" w:hAnsi="Times New Roman"/>
          <w:sz w:val="20"/>
        </w:rPr>
        <w:t xml:space="preserve">. In the case of an Adverse Benefit Determination on review, the Board shall provide such access to, and copies of, documents, records and other information described in Section 13(b)(iv) as is appropriate.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Content of Notification on Review</w:t>
      </w:r>
      <w:r>
        <w:rPr>
          <w:rFonts w:ascii="Times New Roman" w:hAnsi="Times New Roman"/>
          <w:sz w:val="20"/>
        </w:rPr>
        <w:t xml:space="preserve">. The Board shall provide a claimant with written or electronic Notification of a Plan Administrator’s benefit determination following an appeal described in Section 13(b)(i). Any electronic Notification shall comply with the standards imposed by 29 C.F.R. 2520.104b-l(c)(l)(i), (iii) and (iv). In the case of an Adverse Benefit Determination on review, the Notification shall set forth, in a manner calculated to be understood by the claimant: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reason or reasons for the Adverse Benefit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the specific Plan provisions on which the Adverse Benefit Determination is based;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claimant is entitled to receive, upon request and free of charge, reasonable access to, and copies of, all documents, records and other information relevant to the claimant’s claim for benefits;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of the claimant’s right to bring an action under Section 502(a) of ERISA.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Calculating Time Periods</w:t>
      </w:r>
      <w:r>
        <w:rPr>
          <w:rFonts w:ascii="Times New Roman" w:hAnsi="Times New Roman"/>
          <w:sz w:val="20"/>
        </w:rPr>
        <w:t xml:space="preserve">. The period of time within which a benefit determination (including an Adverse Benefit Determination on review) is 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Extension of Notice Period</w:t>
      </w:r>
      <w:r>
        <w:rPr>
          <w:rFonts w:ascii="Times New Roman" w:hAnsi="Times New Roman"/>
          <w:sz w:val="20"/>
        </w:rPr>
        <w:t xml:space="preserve">. The 90-day and 60-day periods applicable to the Notice furnished by the Plan Administrator in Sections 13(a) and 13(b) above may be extended at the discretion of the Plan Administrator for a second 90 or 60-day period, as the case may be, provided that written Notice of the extension is furnished to the claimant prior to the termination of the initial period, indicating the special circumstances requiring such extension of time and the date by which a final decision is expected.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Facility of Payment</w:t>
      </w:r>
      <w:r>
        <w:rPr>
          <w:rFonts w:ascii="Times New Roman" w:hAnsi="Times New Roman"/>
          <w:sz w:val="20"/>
        </w:rPr>
        <w:t xml:space="preserve">. Whenever any person entitled to payments hereunder is determined to be a minor or under other legal disability or otherwise incapacitated in any way so as to be unable to manage the person’s financial affairs, the Company, in its discretion, may direct that all or any portion of the benefit payments be made: (i) to such person; (ii) to such person’s legal guardian or conservator; or (iii) to such person’s spouse. The decision of the Plan Administrator shall, in each case, be final and binding upon all persons. Any payment made pursuant to the authority herein conferred shall operate as a complete discharge of the obligations of the Company under the Plan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Responsibility for Payment</w:t>
      </w:r>
      <w:r>
        <w:rPr>
          <w:rFonts w:ascii="Times New Roman" w:hAnsi="Times New Roman"/>
          <w:sz w:val="20"/>
        </w:rPr>
        <w:t xml:space="preserve">. The Company shall be liable for the payment of benefits in accordance with the terms of the Plan. The benefits under the Plan shall be payable solely by the Company and each Covered Executive who shall claim the right to any payment under the Plan shall be entitled to look only to the Company for such payment.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Benefits</w:t>
      </w:r>
      <w:r>
        <w:rPr>
          <w:rFonts w:ascii="Times New Roman" w:hAnsi="Times New Roman"/>
          <w:sz w:val="20"/>
        </w:rPr>
        <w:t xml:space="preserve">. The Company shall have no obligation to set aside, earmark or entrust any fund, policy or money with which to pay its obligations under this Plan. The Covered Executive, or any successor in interest, shall be and remain simply a general, unsecured creditor of the Company with respect to the benefits under this Plan in the same manner as any other creditor who has a general claim for an unpaid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law, all employees, officers, directors, agents and representatives of the Company shall be indemnified by the Company and held harmless against any claims and the expenses of defending against such claims, resulting from any action or conduct relating to the administration of the Plan, whether as a member of the Plan Administrator or otherwise, except to the extent that such claims arise from gross negligence, willful neglect or willful misconduct.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Not an Employment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is not a contract between the Company and any employee, nor is it a condition of employment or services of any employee. Nothing contained in the Plan gives, or is intended to give, any employee the right to be retained in the service of the Company, or to interfere with the right of the Company to discharge or terminate the employment or services of any employee at any time and for any reason. No employee shall have the right or claim to benefits beyond those expressly provided in this Plan, if any. All rights and claims are limited as set forth in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portion or provision of this Plan (including, without limitation, any portion or provision of any Section of this Plan) is to any extent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Successors and Assigns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right or interest of any Covered Executive in the Plan shall be assignable or transferable in whole or in part either directly or by operation of law or otherwise, including, but not limited to, execution, levy, garnishment, attachment, pledge or bankruptcy. The Plan Sponsor may assign or otherwise transfer this Plan without any Covered Executive’s consent to any affiliate or to any person or entity with whom the Plan Sponsor shall hereafter effect a reorganization or consolidation, into which the Plan Sponsor merges or to whom it transfers all or substantially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properties or assets; </w:t>
      </w:r>
      <w:r>
        <w:rPr>
          <w:rFonts w:ascii="Times New Roman" w:hAnsi="Times New Roman"/>
          <w:i/>
          <w:sz w:val="20"/>
        </w:rPr>
        <w:t>provided</w:t>
      </w:r>
      <w:r>
        <w:rPr>
          <w:rFonts w:ascii="Times New Roman" w:hAnsi="Times New Roman"/>
          <w:sz w:val="20"/>
        </w:rPr>
        <w:t xml:space="preserve"> that if the Covered Executive remains employed or becomes employed by the Company, the purchaser or any of their affiliates in connection with any such transaction, then the Covered Executive shall not be entitled to any payments or benefits pursuant to Sections 6 or 7 of this Plan solely as a result of such transaction. This Plan shall inure to the benefit of and be binding upon the Covered Executive and the Plan Sponsor, and each of the Covered Executive’s and the Plan Sponsor’s respective successors, executors, administrators, heirs and permitted assigns.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Non-Duplication of Benefits and Effect on Other Plans20.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Plan to the contrary, the benefits provided hereunder are in lieu of any other severance payments and/or benefits provided by the Company, including any such payments and/or benefits pursuant to an employment agreement, severance agreement or offer letter between the Company and any Covered Executive.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Sponsor may amend, modify or terminate the Plan at any time in its sole discretion; </w:t>
      </w:r>
      <w:r>
        <w:rPr>
          <w:rFonts w:ascii="Times New Roman" w:hAnsi="Times New Roman"/>
          <w:i/>
          <w:sz w:val="20"/>
        </w:rPr>
        <w:t>provided, however</w:t>
      </w:r>
      <w:r>
        <w:rPr>
          <w:rFonts w:ascii="Times New Roman" w:hAnsi="Times New Roman"/>
          <w:sz w:val="20"/>
        </w:rPr>
        <w:t xml:space="preserve">, that no such amendment, modification or termination may affect the rights of a Covered Executive then receiving payments or benefits under the Plan without the consent of such person. Notwithstanding the foregoing, a Covered Executive’s rights to receive payments and benefits pursuant to this Plan in connection with a Qualified Termination may not be adversely affected by an amendment or termination of this Plan without the consent of such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Limitation on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and the rights of all persons hereunder shall be construed in accordance with and under applicable provisions of ERISA, and the regulations thereunder, and the Plan and the rights of all persons under the Plan shall be construed in accordance with and under applicable provisions the laws of the Commonwealth of Massachusetts (without regard to conflict of laws provisions), to the extent not preempted by federal law. No action (whether at law, in equity or otherwise) shall be brought by or on behalf of any person for or with respect to benefits due under this Plan unless the person bringing such action has timely exhausted the Plan’s claim review procedure. Any action (whether at law, in equity or otherwise) must be filed and litigated in the U.S. District Court for the District of Massachusetts, and must be commenced within one year. This one-year period shall be computed from the earlier of (i) the date a final determination denying such benefit, in whole or in part, is issued under the Plan’s claim review procedure and (ii) the date such person’s cause of action first accrued. If a person does not bring such an action within such one-year period, the person will be barred from bringing such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ERISA Required Information </w:t>
            </w:r>
          </w:p>
        </w:tc>
      </w:tr>
    </w:tbl>
    <w:p>
      <w:pPr>
        <w:pStyle w:val="TextBody"/>
        <w:bidi w:val="0"/>
        <w:spacing w:before="240" w:after="0"/>
        <w:jc w:val="left"/>
        <w:rPr>
          <w:rFonts w:ascii="Times New Roman" w:hAnsi="Times New Roman"/>
          <w:sz w:val="20"/>
        </w:rPr>
      </w:pPr>
      <w:r>
        <w:rPr>
          <w:rFonts w:ascii="Times New Roman" w:hAnsi="Times New Roman"/>
          <w:i/>
          <w:sz w:val="20"/>
        </w:rPr>
        <w:t>Official Plan Name</w:t>
      </w:r>
      <w:r>
        <w:rPr>
          <w:rFonts w:ascii="Times New Roman" w:hAnsi="Times New Roman"/>
          <w:sz w:val="20"/>
        </w:rPr>
        <w:t xml:space="preserve">: The official name of the Plan is the Obsidian Therapeutics, Inc. Executive Severance Plan. </w:t>
      </w:r>
    </w:p>
    <w:p>
      <w:pPr>
        <w:pStyle w:val="TextBody"/>
        <w:bidi w:val="0"/>
        <w:spacing w:before="240" w:after="0"/>
        <w:jc w:val="left"/>
        <w:rPr>
          <w:rFonts w:ascii="Times New Roman" w:hAnsi="Times New Roman"/>
          <w:sz w:val="20"/>
        </w:rPr>
      </w:pPr>
      <w:r>
        <w:rPr>
          <w:rFonts w:ascii="Times New Roman" w:hAnsi="Times New Roman"/>
          <w:i/>
          <w:sz w:val="20"/>
        </w:rPr>
        <w:t>Plan Administrator</w:t>
      </w:r>
      <w:r>
        <w:rPr>
          <w:rFonts w:ascii="Times New Roman" w:hAnsi="Times New Roman"/>
          <w:sz w:val="20"/>
        </w:rPr>
        <w:t xml:space="preserve">: The Plan Administrator is the Board (or its designee) of the Plan Sponsor.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Plan Sponsor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02138 </w:t>
      </w:r>
    </w:p>
    <w:p>
      <w:pPr>
        <w:pStyle w:val="TextBody"/>
        <w:bidi w:val="0"/>
        <w:spacing w:before="0" w:after="0"/>
        <w:jc w:val="left"/>
        <w:rPr>
          <w:rFonts w:ascii="Times New Roman" w:hAnsi="Times New Roman"/>
          <w:sz w:val="20"/>
        </w:rPr>
      </w:pPr>
      <w:r>
        <w:rPr>
          <w:rFonts w:ascii="Times New Roman" w:hAnsi="Times New Roman"/>
          <w:sz w:val="20"/>
        </w:rPr>
        <w:t xml:space="preserve">(781) 806-6245 </w:t>
      </w:r>
    </w:p>
    <w:p>
      <w:pPr>
        <w:pStyle w:val="TextBody"/>
        <w:bidi w:val="0"/>
        <w:spacing w:before="240" w:after="0"/>
        <w:jc w:val="left"/>
        <w:rPr>
          <w:rFonts w:ascii="Times New Roman" w:hAnsi="Times New Roman"/>
          <w:sz w:val="20"/>
        </w:rPr>
      </w:pPr>
      <w:r>
        <w:rPr>
          <w:rFonts w:ascii="Times New Roman" w:hAnsi="Times New Roman"/>
          <w:i/>
          <w:sz w:val="20"/>
        </w:rPr>
        <w:t>Plan Number</w:t>
      </w:r>
      <w:r>
        <w:rPr>
          <w:rFonts w:ascii="Times New Roman" w:hAnsi="Times New Roman"/>
          <w:sz w:val="20"/>
        </w:rPr>
        <w:t xml:space="preserve">: Documents and reports for the Plan are filed with the U.S. Department of Labor under Obsidian Therapeutics, Inc. Employer Identification Number (EIN) and the Plan Number (PN). The EIN for Obsidian Therapeutics, Inc. is 81-1334989, and the PN is 503. </w:t>
      </w:r>
    </w:p>
    <w:p>
      <w:pPr>
        <w:pStyle w:val="TextBody"/>
        <w:bidi w:val="0"/>
        <w:spacing w:before="240" w:after="0"/>
        <w:jc w:val="left"/>
        <w:rPr>
          <w:rFonts w:ascii="Times New Roman" w:hAnsi="Times New Roman"/>
          <w:sz w:val="20"/>
        </w:rPr>
      </w:pPr>
      <w:r>
        <w:rPr>
          <w:rFonts w:ascii="Times New Roman" w:hAnsi="Times New Roman"/>
          <w:i/>
          <w:sz w:val="20"/>
        </w:rPr>
        <w:t>The Plan Year</w:t>
      </w:r>
      <w:r>
        <w:rPr>
          <w:rFonts w:ascii="Times New Roman" w:hAnsi="Times New Roman"/>
          <w:sz w:val="20"/>
        </w:rPr>
        <w:t xml:space="preserve">: The Plan year is January 1 through December 31. </w:t>
      </w:r>
    </w:p>
    <w:p>
      <w:pPr>
        <w:pStyle w:val="TextBody"/>
        <w:bidi w:val="0"/>
        <w:spacing w:before="240" w:after="0"/>
        <w:jc w:val="left"/>
        <w:rPr>
          <w:rFonts w:ascii="Times New Roman" w:hAnsi="Times New Roman"/>
          <w:sz w:val="20"/>
        </w:rPr>
      </w:pPr>
      <w:r>
        <w:rPr>
          <w:rFonts w:ascii="Times New Roman" w:hAnsi="Times New Roman"/>
          <w:i/>
          <w:sz w:val="20"/>
        </w:rPr>
        <w:t>Agent for Service of Legal Process</w:t>
      </w:r>
      <w:r>
        <w:rPr>
          <w:rFonts w:ascii="Times New Roman" w:hAnsi="Times New Roman"/>
          <w:sz w:val="20"/>
        </w:rPr>
        <w:t xml:space="preserve">: Obsidian Therapeutics, Inc. is the Plan’s agent for service of legal process and may be served at the address indicated in the section entitled “Plan Administrator and Sponsor” above. </w:t>
      </w:r>
    </w:p>
    <w:p>
      <w:pPr>
        <w:pStyle w:val="TextBody"/>
        <w:bidi w:val="0"/>
        <w:spacing w:before="240" w:after="0"/>
        <w:jc w:val="left"/>
        <w:rPr>
          <w:rFonts w:ascii="Times New Roman" w:hAnsi="Times New Roman"/>
          <w:sz w:val="20"/>
        </w:rPr>
      </w:pPr>
      <w:r>
        <w:rPr>
          <w:rFonts w:ascii="Times New Roman" w:hAnsi="Times New Roman"/>
          <w:i/>
          <w:sz w:val="20"/>
        </w:rPr>
        <w:t>Funding</w:t>
      </w:r>
      <w:r>
        <w:rPr>
          <w:rFonts w:ascii="Times New Roman" w:hAnsi="Times New Roman"/>
          <w:sz w:val="20"/>
        </w:rPr>
        <w:t xml:space="preserve">: All severance payments and benefits are paid from the Company’s general assets and, thus the Plan is considered unfunded for tax purposes under Title I of ERISA. </w:t>
      </w:r>
    </w:p>
    <w:p>
      <w:pPr>
        <w:pStyle w:val="TextBody"/>
        <w:bidi w:val="0"/>
        <w:spacing w:before="240" w:after="0"/>
        <w:jc w:val="left"/>
        <w:rPr>
          <w:rFonts w:ascii="Times New Roman" w:hAnsi="Times New Roman"/>
          <w:sz w:val="20"/>
        </w:rPr>
      </w:pPr>
      <w:r>
        <w:rPr>
          <w:rFonts w:ascii="Times New Roman" w:hAnsi="Times New Roman"/>
          <w:i/>
          <w:sz w:val="20"/>
        </w:rPr>
        <w:t>ERISA Rights</w:t>
      </w:r>
      <w:r>
        <w:rPr>
          <w:rFonts w:ascii="Times New Roman" w:hAnsi="Times New Roman"/>
          <w:sz w:val="20"/>
        </w:rPr>
        <w:t xml:space="preserve">: The Plan is subject to ERISA. As a Covered Executive, you are entitled to certain rights and protections under ERISA. Under ERISA, you are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Examine, without charge at the Plan Administrator’s office, all official Plan documents (including insurance contracts) and copies of all documents filed with the U.S. Department of Labor, such as detailed Summary Annual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copies of all official Plan documents and other Plan information upon written request to the Plan Administrator. The Plan Administrator may charge a reasonable fee for the copies.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a summary of the Plan’s annual financial report. The Plan Administrator is required to furnish each participant with a copy of this Summary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also have the right to expect “fiduciaries,” the people who are responsible for the management of the Plan, to act prudently and to act in the interest of you and other Plan participants and beneficiaries. Another one of your ERISA-guaranteed rights means that no one – including the Company or any other person – may fire you or otherwise discriminate against you in any way to prevent you from obtaining a Plan benefit or exercising your rights under ERISA. </w:t>
      </w:r>
    </w:p>
    <w:p>
      <w:pPr>
        <w:pStyle w:val="TextBody"/>
        <w:bidi w:val="0"/>
        <w:spacing w:before="240" w:after="0"/>
        <w:jc w:val="left"/>
        <w:rPr>
          <w:rFonts w:ascii="Times New Roman" w:hAnsi="Times New Roman"/>
          <w:sz w:val="20"/>
        </w:rPr>
      </w:pPr>
      <w:r>
        <w:rPr>
          <w:rFonts w:ascii="Times New Roman" w:hAnsi="Times New Roman"/>
          <w:sz w:val="20"/>
        </w:rPr>
        <w:t xml:space="preserve">ERISA also guarantees your rights to written notice if any part of a claim is denied or ignored, in whole or in part. Because your rights under ERISA are protected by law, you also can file suit if a right is denied. For example, if you request certain Plan-related materials from the Plan Administrator and do not receive them within 30 days, you may file suit in a federal court. In such a case, the court may require the Plan Administrator to provide the materials and pay a fine of up to $110 a day until you receive the materials, unless the materials were not sent because of reasons beyond the control of the Plan Administrator. You may file suit in a federal court if you have a claim for benefits under the Plan that is denied or ignored, in whole or in part. You also can seek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assistance from the U.S. Department of Labor or file suit in a federal court if a Plan fiduciary has misused Plan funds or if you are discriminated against for asserting your rights. The court will decide who should pay court costs and legal fees. If you are successful, the court may order the person you have sued to pay these costs and fees. If you lose because, for example, the court finds your claim frivolous, you may be ordered to pay all these costs and fees on your own, including any court costs and attorney fees.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Employee Benefits Security Administration’s publications hotline at 1-866-444-3272. </w:t>
      </w:r>
    </w:p>
    <w:p>
      <w:pPr>
        <w:pStyle w:val="TextBody"/>
        <w:bidi w:val="0"/>
        <w:spacing w:before="0" w:after="0"/>
        <w:jc w:val="right"/>
        <w:rPr>
          <w:rFonts w:ascii="Times New Roman" w:hAnsi="Times New Roman"/>
          <w:b/>
          <w:sz w:val="20"/>
        </w:rPr>
      </w:pPr>
      <w:bookmarkStart w:id="32" w:name="d309963dex1012.htm"/>
      <w:bookmarkStart w:id="33" w:name="ksd309963dex1012"/>
      <w:bookmarkEnd w:id="32"/>
      <w:bookmarkEnd w:id="33"/>
      <w:r>
        <w:rPr>
          <w:rFonts w:ascii="Times New Roman" w:hAnsi="Times New Roman"/>
          <w:b/>
          <w:sz w:val="20"/>
        </w:rPr>
        <w:t xml:space="preserve">Exhibit 10.12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EXECUTIVE EMPLOYMENT AGREEMENT </w:t>
      </w:r>
    </w:p>
    <w:p>
      <w:pPr>
        <w:pStyle w:val="TextBody"/>
        <w:bidi w:val="0"/>
        <w:spacing w:before="240" w:after="0"/>
        <w:jc w:val="left"/>
        <w:rPr>
          <w:rFonts w:ascii="Times New Roman" w:hAnsi="Times New Roman"/>
          <w:sz w:val="20"/>
        </w:rPr>
      </w:pPr>
      <w:r>
        <w:rPr>
          <w:rFonts w:ascii="Times New Roman" w:hAnsi="Times New Roman"/>
          <w:sz w:val="20"/>
        </w:rPr>
        <w:t>This Executive Employment Agreement (“</w:t>
      </w:r>
      <w:r>
        <w:rPr>
          <w:rFonts w:ascii="Times New Roman" w:hAnsi="Times New Roman"/>
          <w:sz w:val="20"/>
          <w:u w:val="single"/>
        </w:rPr>
        <w:t>Agreement</w:t>
      </w:r>
      <w:r>
        <w:rPr>
          <w:rFonts w:ascii="Times New Roman" w:hAnsi="Times New Roman"/>
          <w:sz w:val="20"/>
        </w:rPr>
        <w:t>”) is made by and between Obsidian Therapeutics, Inc. (the “</w:t>
      </w:r>
      <w:r>
        <w:rPr>
          <w:rFonts w:ascii="Times New Roman" w:hAnsi="Times New Roman"/>
          <w:sz w:val="20"/>
          <w:u w:val="single"/>
        </w:rPr>
        <w:t>Company</w:t>
      </w:r>
      <w:r>
        <w:rPr>
          <w:rFonts w:ascii="Times New Roman" w:hAnsi="Times New Roman"/>
          <w:sz w:val="20"/>
        </w:rPr>
        <w:t>”) and [NAME] (the “</w:t>
      </w:r>
      <w:r>
        <w:rPr>
          <w:rFonts w:ascii="Times New Roman" w:hAnsi="Times New Roman"/>
          <w:sz w:val="20"/>
          <w:u w:val="single"/>
        </w:rPr>
        <w:t>Executive</w:t>
      </w:r>
      <w:r>
        <w:rPr>
          <w:rFonts w:ascii="Times New Roman" w:hAnsi="Times New Roman"/>
          <w:sz w:val="20"/>
        </w:rPr>
        <w:t>” and, together with the Company, the “</w:t>
      </w:r>
      <w:r>
        <w:rPr>
          <w:rFonts w:ascii="Times New Roman" w:hAnsi="Times New Roman"/>
          <w:sz w:val="20"/>
          <w:u w:val="single"/>
        </w:rPr>
        <w:t>Parties</w:t>
      </w:r>
      <w:r>
        <w:rPr>
          <w:rFonts w:ascii="Times New Roman" w:hAnsi="Times New Roman"/>
          <w:sz w:val="20"/>
        </w:rPr>
        <w:t>”), and shall be effective, subject to, and as of, the consummation of the transactions contemplated by the Agreement and Plan of Merger, dated as of April 14, 2026, by and among the Company, Galera Therapeutics, Inc., Gazelle Parent, Inc., Onyx MergerSub, Inc. and Gazelle Merger Subsidiary, Inc.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continue employing the Executive and the Executive desires to continue to be employed by the Company on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WHEREAS, except with respect to the Employee Confidentiality, Assignment and Noncompetition Agreement executed by the Executive on [DATE] (the “</w:t>
      </w:r>
      <w:r>
        <w:rPr>
          <w:rFonts w:ascii="Times New Roman" w:hAnsi="Times New Roman"/>
          <w:sz w:val="20"/>
          <w:u w:val="single"/>
        </w:rPr>
        <w:t>ECANA</w:t>
      </w:r>
      <w:r>
        <w:rPr>
          <w:rFonts w:ascii="Times New Roman" w:hAnsi="Times New Roman"/>
          <w:sz w:val="20"/>
        </w:rPr>
        <w:t>”), this Agreement supersedes in all respects all prior agreements between the Executive and the Company regarding the subject matter herein, including without limitation the offer letter between the Executive and the Company, dated [DATE] (the “</w:t>
      </w:r>
      <w:r>
        <w:rPr>
          <w:rFonts w:ascii="Times New Roman" w:hAnsi="Times New Roman"/>
          <w:sz w:val="20"/>
          <w:u w:val="single"/>
        </w:rPr>
        <w:t>Offer Letter</w:t>
      </w:r>
      <w:r>
        <w:rPr>
          <w:rFonts w:ascii="Times New Roman" w:hAnsi="Times New Roman"/>
          <w:sz w:val="20"/>
        </w:rPr>
        <w:t>”) and the Severance and Change in Control Agreement between the Executive and the Company, executed by the Executive on [DATE] (together with the Offer Letter, the “</w:t>
      </w:r>
      <w:r>
        <w:rPr>
          <w:rFonts w:ascii="Times New Roman" w:hAnsi="Times New Roman"/>
          <w:sz w:val="20"/>
          <w:u w:val="single"/>
        </w:rPr>
        <w:t>Prior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 contained and other good and valuable consideration, the receipt and sufficiency of which is hereby acknowledged,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hAnsi="Times New Roman"/>
          <w:sz w:val="20"/>
          <w:u w:val="single"/>
        </w:rPr>
        <w:t>Term</w:t>
      </w:r>
      <w:r>
        <w:rPr>
          <w:rFonts w:ascii="Times New Roman" w:hAnsi="Times New Roman"/>
          <w:sz w:val="20"/>
        </w:rPr>
        <w:t xml:space="preserve">”). The Executive’s employment with the Company shall be “at will,” meaning that the Executive’s employment may be terminated by the Company or the Executive at any time and for any reason subject to the terms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Position and Duties</w:t>
      </w:r>
      <w:r>
        <w:rPr>
          <w:rFonts w:ascii="Times New Roman" w:hAnsi="Times New Roman"/>
          <w:sz w:val="20"/>
        </w:rPr>
        <w:t>. During the Term, the Executive shall serve as the [TITLE] of the Company and report directly to the Company’s [SUPERVISOR / BOARD]. The Executive shall have such powers and duties as may from time to time be prescribed by the Company. The Executive shall devote the Executive’s full working time and efforts to the business and affairs of the Company. Notwithstanding the foregoing, the Executive may serve on other boards of directors, with prior written approval of the Company’s Board of Directors (the “</w:t>
      </w:r>
      <w:r>
        <w:rPr>
          <w:rFonts w:ascii="Times New Roman" w:hAnsi="Times New Roman"/>
          <w:sz w:val="20"/>
          <w:u w:val="single"/>
        </w:rPr>
        <w:t>Board</w:t>
      </w:r>
      <w:r>
        <w:rPr>
          <w:rFonts w:ascii="Times New Roman" w:hAnsi="Times New Roman"/>
          <w:sz w:val="20"/>
        </w:rPr>
        <w:t xml:space="preserve">”), and/or engage in religious, charitable or other community activities as long as such services and activities do not interfere with the Executive’s performance of the Executive’s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Work Location</w:t>
      </w:r>
      <w:r>
        <w:rPr>
          <w:rFonts w:ascii="Times New Roman" w:hAnsi="Times New Roman"/>
          <w:sz w:val="20"/>
        </w:rPr>
        <w:t xml:space="preserve">. The Executive’s primary work location will be [the Company’s headquarters, currently located in Cambridge, MA]. Additional travel to other locations may be required from time to time, consistent with business needs.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Compensation and 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Base Salary</w:t>
      </w:r>
      <w:r>
        <w:rPr>
          <w:rFonts w:ascii="Times New Roman" w:hAnsi="Times New Roman"/>
          <w:sz w:val="20"/>
        </w:rPr>
        <w:t>. As of the Effective Date, the Executive’s base salary shall be paid at the rate of $[SALARY] per year, less applicable deductions and withholdings. The Executive’s base salary shall be subject to annual review by the Board or the Compensation Committee of the Board (the “</w:t>
      </w:r>
      <w:r>
        <w:rPr>
          <w:rFonts w:ascii="Times New Roman" w:hAnsi="Times New Roman"/>
          <w:sz w:val="20"/>
          <w:u w:val="single"/>
        </w:rPr>
        <w:t>Compensation Committee</w:t>
      </w:r>
      <w:r>
        <w:rPr>
          <w:rFonts w:ascii="Times New Roman" w:hAnsi="Times New Roman"/>
          <w:sz w:val="20"/>
        </w:rPr>
        <w:t>”). The Executive’s annual base salary in effect at any given time is referred to herein as “</w:t>
      </w:r>
      <w:r>
        <w:rPr>
          <w:rFonts w:ascii="Times New Roman" w:hAnsi="Times New Roman"/>
          <w:sz w:val="20"/>
          <w:u w:val="single"/>
        </w:rPr>
        <w:t>Base Salary</w:t>
      </w:r>
      <w:r>
        <w:rPr>
          <w:rFonts w:ascii="Times New Roman" w:hAnsi="Times New Roman"/>
          <w:sz w:val="20"/>
        </w:rPr>
        <w:t xml:space="preserve">.” The Base Salary shall be payable in a manner that is consistent with the Company’s usual payroll practices for its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Incentive Compensation</w:t>
      </w:r>
      <w:r>
        <w:rPr>
          <w:rFonts w:ascii="Times New Roman" w:hAnsi="Times New Roman"/>
          <w:sz w:val="20"/>
        </w:rPr>
        <w:t>. The Executive shall be eligible to receive cash incentive compensation as determined by the Board or the Compensation Committee from time to time. The Executive’s initial target annual incentive compensation shall be [TARGET]% of the Executive’s Base Salary. The Executive’s target annual incentive compensation shall be subject to annual review by the Board or the Compensation Committee. The target in effect at any given time is referred to herein as “</w:t>
      </w:r>
      <w:r>
        <w:rPr>
          <w:rFonts w:ascii="Times New Roman" w:hAnsi="Times New Roman"/>
          <w:sz w:val="20"/>
          <w:u w:val="single"/>
        </w:rPr>
        <w:t>Target Bonus</w:t>
      </w:r>
      <w:r>
        <w:rPr>
          <w:rFonts w:ascii="Times New Roman" w:hAnsi="Times New Roman"/>
          <w:sz w:val="20"/>
        </w:rPr>
        <w:t>.” The actual amount of the Executive’s annual incentive compensation, if any, shall be determined in the sole discretion of the Board or the Compensation Committee, subject to the terms of any applicable incentive compensation plan that may be in effect from time to time (the “</w:t>
      </w:r>
      <w:r>
        <w:rPr>
          <w:rFonts w:ascii="Times New Roman" w:hAnsi="Times New Roman"/>
          <w:sz w:val="20"/>
          <w:u w:val="single"/>
        </w:rPr>
        <w:t>Bonus</w:t>
      </w:r>
      <w:r>
        <w:rPr>
          <w:rFonts w:ascii="Times New Roman" w:hAnsi="Times New Roman"/>
          <w:sz w:val="20"/>
        </w:rPr>
        <w:t xml:space="preserve">”). Except as otherwise provided herein, to earn incentive compensation, the Executive must be employed by the Company on the day such incentive compensation is paid. [The incentive compensation for each fiscal year will be paid no later than two and a half months following the end of such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Options</w:t>
      </w:r>
      <w:r>
        <w:rPr>
          <w:rFonts w:ascii="Times New Roman" w:hAnsi="Times New Roman"/>
          <w:sz w:val="20"/>
        </w:rPr>
        <w:t>. Subject to the approval of the Board or the Compensation Committee, the Executive will be granted an initial option to purchase [NUMBER] shares of the Company’s common stock (the “</w:t>
      </w:r>
      <w:r>
        <w:rPr>
          <w:rFonts w:ascii="Times New Roman" w:hAnsi="Times New Roman"/>
          <w:sz w:val="20"/>
          <w:u w:val="single"/>
        </w:rPr>
        <w:t>Option</w:t>
      </w:r>
      <w:r>
        <w:rPr>
          <w:rFonts w:ascii="Times New Roman" w:hAnsi="Times New Roman"/>
          <w:sz w:val="20"/>
        </w:rPr>
        <w:t>”). The exercise price per share of the Option will be equal to the fair market value per share of the Company’s common stock as of the date on which the Option is granted, as determined by the Board or the Compensation Committee. The Option is subject in all respect to the applicable Company equity incentive plan and the associated stock option agreement required to be entered into by the Executive and the Company, which shall include vesting conditions (the “</w:t>
      </w:r>
      <w:r>
        <w:rPr>
          <w:rFonts w:ascii="Times New Roman" w:hAnsi="Times New Roman"/>
          <w:sz w:val="20"/>
          <w:u w:val="single"/>
        </w:rPr>
        <w:t>Equity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w:t>
      </w:r>
      <w:r>
        <w:rPr>
          <w:rFonts w:ascii="Times New Roman" w:hAnsi="Times New Roman"/>
          <w:sz w:val="20"/>
        </w:rPr>
        <w:t xml:space="preserve">. The Executive shall be entitled to receive reimbursement for all reasonable expenses incurred by the Executive during the Term in performing services hereunder, in accordance with the policies and procedures then in effect and established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Benefits</w:t>
      </w:r>
      <w:r>
        <w:rPr>
          <w:rFonts w:ascii="Times New Roman" w:hAnsi="Times New Roman"/>
          <w:sz w:val="20"/>
        </w:rPr>
        <w:t xml:space="preserve">. The Executive shall be eligible to participate in or receive benefits under the Company’s employee benefit plans in effect from time to time, subject to the terms of such plans.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Paid Time Off</w:t>
      </w:r>
      <w:r>
        <w:rPr>
          <w:rFonts w:ascii="Times New Roman" w:hAnsi="Times New Roman"/>
          <w:sz w:val="20"/>
        </w:rPr>
        <w:t xml:space="preserve">. The Executive shall be entitled to take paid time off in accordance with the Company’s applicable paid time off policy,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w:t>
      </w:r>
      <w:r>
        <w:rPr>
          <w:rFonts w:ascii="Times New Roman" w:hAnsi="Times New Roman"/>
          <w:sz w:val="20"/>
        </w:rPr>
        <w:t xml:space="preserve">. The Executive’s employment hereunder may be terminated without any breach of this Agreement under the following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Death</w:t>
      </w:r>
      <w:r>
        <w:rPr>
          <w:rFonts w:ascii="Times New Roman" w:hAnsi="Times New Roman"/>
          <w:sz w:val="20"/>
        </w:rPr>
        <w:t xml:space="preserve">. The Executive’s employment hereunder shall terminate upon the Executive’s death.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Disability</w:t>
      </w:r>
      <w:r>
        <w:rPr>
          <w:rFonts w:ascii="Times New Roman" w:hAnsi="Times New Roman"/>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arises and the Executive fails to submit such certification, the Company’s determination of such issue shall be binding on the Executive. Nothing in this Section 3(b) shall be construed to waive the Executive’s rights, if any, under </w:t>
      </w:r>
    </w:p>
    <w:p>
      <w:pPr>
        <w:pStyle w:val="TextBody"/>
        <w:bidi w:val="0"/>
        <w:spacing w:before="0" w:after="0"/>
        <w:jc w:val="left"/>
        <w:rPr>
          <w:rFonts w:ascii="Times New Roman" w:hAnsi="Times New Roman"/>
          <w:sz w:val="20"/>
        </w:rPr>
      </w:pPr>
      <w:r>
        <w:rPr>
          <w:rFonts w:ascii="Times New Roman" w:hAnsi="Times New Roman"/>
          <w:sz w:val="20"/>
        </w:rPr>
        <w:t xml:space="preserve">existing law including, without limitation, the Family and Medical Leave Act of 1993, 29 U.S.C. §2601 </w:t>
      </w:r>
      <w:r>
        <w:rPr>
          <w:rFonts w:ascii="Times New Roman" w:hAnsi="Times New Roman"/>
          <w:i/>
          <w:sz w:val="20"/>
        </w:rPr>
        <w:t>et seq</w:t>
      </w:r>
      <w:r>
        <w:rPr>
          <w:rFonts w:ascii="Times New Roman" w:hAnsi="Times New Roman"/>
          <w:sz w:val="20"/>
        </w:rPr>
        <w:t xml:space="preserve">., and the Americans with Disabilities Act, 42 U.S.C. §12101 </w:t>
      </w:r>
      <w:r>
        <w:rPr>
          <w:rFonts w:ascii="Times New Roman" w:hAnsi="Times New Roman"/>
          <w:i/>
          <w:sz w:val="20"/>
        </w:rPr>
        <w:t>et seq.</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by the Company for Cause</w:t>
      </w:r>
      <w:r>
        <w:rPr>
          <w:rFonts w:ascii="Times New Roman" w:hAnsi="Times New Roman"/>
          <w:sz w:val="20"/>
        </w:rPr>
        <w:t>. The Company may terminate the Executive’s employment hereunder for Cause (as defined in the Company’s Executive Severance Plan (the “</w:t>
      </w:r>
      <w:r>
        <w:rPr>
          <w:rFonts w:ascii="Times New Roman" w:hAnsi="Times New Roman"/>
          <w:sz w:val="20"/>
          <w:u w:val="single"/>
        </w:rPr>
        <w:t>Severance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by the Company without Cause</w:t>
      </w:r>
      <w:r>
        <w:rPr>
          <w:rFonts w:ascii="Times New Roman" w:hAnsi="Times New Roman"/>
          <w:sz w:val="20"/>
        </w:rPr>
        <w:t xml:space="preserve">.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by the Executive</w:t>
      </w:r>
      <w:r>
        <w:rPr>
          <w:rFonts w:ascii="Times New Roman" w:hAnsi="Times New Roman"/>
          <w:sz w:val="20"/>
        </w:rPr>
        <w:t xml:space="preserve">. The Executive may terminate employment hereunder at any time for any reason, including but not limited to, Good Reason (as defined in the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Matters Related to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of Termination</w:t>
      </w:r>
      <w:r>
        <w:rPr>
          <w:rFonts w:ascii="Times New Roman" w:hAnsi="Times New Roman"/>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hAnsi="Times New Roman"/>
          <w:sz w:val="20"/>
          <w:u w:val="single"/>
        </w:rPr>
        <w:t>Notice of Termination</w:t>
      </w:r>
      <w:r>
        <w:rPr>
          <w:rFonts w:ascii="Times New Roman" w:hAnsi="Times New Roman"/>
          <w:sz w:val="20"/>
        </w:rPr>
        <w:t xml:space="preserve">” shall mean a notice that indicates the specific termination provision in this Agreement relied upon.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Date of Termination</w:t>
      </w:r>
      <w:r>
        <w:rPr>
          <w:rFonts w:ascii="Times New Roman" w:hAnsi="Times New Roman"/>
          <w:sz w:val="20"/>
        </w:rPr>
        <w:t>. “</w:t>
      </w:r>
      <w:r>
        <w:rPr>
          <w:rFonts w:ascii="Times New Roman" w:hAnsi="Times New Roman"/>
          <w:sz w:val="20"/>
          <w:u w:val="single"/>
        </w:rPr>
        <w:t>Date of Termination</w:t>
      </w:r>
      <w:r>
        <w:rPr>
          <w:rFonts w:ascii="Times New Roman" w:hAnsi="Times New Roman"/>
          <w:sz w:val="20"/>
        </w:rPr>
        <w:t xml:space="preserve">” shall mean: (i) if the Executive’s employment is terminated by death under Section 3(a),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Good Reason Cure Period (as defined in the Severance Plan). Notwithstanding the foregoing, in the event that the Executive gives a Notice of Termination to the Company, the Company may unilaterally accelerate the Date of Termination, and such acceleration shall not result in a termination by the Company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Accrued Obligations</w:t>
      </w:r>
      <w:r>
        <w:rPr>
          <w:rFonts w:ascii="Times New Roman" w:hAnsi="Times New Roman"/>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hAnsi="Times New Roman"/>
          <w:sz w:val="20"/>
          <w:u w:val="single"/>
        </w:rPr>
        <w:t>Accrued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Resignation of All Other Positions</w:t>
      </w:r>
      <w:r>
        <w:rPr>
          <w:rFonts w:ascii="Times New Roman" w:hAnsi="Times New Roman"/>
          <w:sz w:val="20"/>
        </w:rPr>
        <w:t xml:space="preserve">.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Severance Plan</w:t>
      </w:r>
      <w:r>
        <w:rPr>
          <w:rFonts w:ascii="Times New Roman" w:hAnsi="Times New Roman"/>
          <w:sz w:val="20"/>
        </w:rPr>
        <w:t xml:space="preserve">. The Executive shall be eligible as a Tier [1/2] Executive for severance payments and benefits pursuant to, and subject to the terms and conditions of, the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Restrictions and Continuing Obligations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Restrictive Covenants Agreement; Continuing Obligations</w:t>
      </w:r>
      <w:r>
        <w:rPr>
          <w:rFonts w:ascii="Times New Roman" w:hAnsi="Times New Roman"/>
          <w:sz w:val="20"/>
        </w:rPr>
        <w:t xml:space="preserve">. In consideration of and as a condition of, among other things, continued employment with the Company under this Agreement and eligibility for the Target Bonus, the Option and severance benefits under the Severance Plan, the Executive shall be required to enter into the Company’s standard form of Employee Confidentiality, Assignment, and Restrictive Covenants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Restrictive Covenants Agreement</w:t>
      </w:r>
      <w:r>
        <w:rPr>
          <w:rFonts w:ascii="Times New Roman" w:hAnsi="Times New Roman"/>
          <w:sz w:val="20"/>
        </w:rPr>
        <w:t>”). The Executive agrees that the Executive’s eligibility for the Target Bonus, the Option and severance benefits described in this Agreement and in the Severance Plan constitute mutually-agreed upon, fair and reasonable consideration for each of the restrictions in the Restrictive Covenant Agreement that is separate from the Executive’s employment with the Company. For purposes of this Agreement, the obligations in this Section 6, the ECANA and the Restrictive Covenants Agreement together with any other agreement relating to confidentiality, assignment of inventions, or other restrictive covenants shall collectively be referred to as the “</w:t>
      </w:r>
      <w:r>
        <w:rPr>
          <w:rFonts w:ascii="Times New Roman" w:hAnsi="Times New Roman"/>
          <w:sz w:val="20"/>
          <w:u w:val="single"/>
        </w:rPr>
        <w:t>Continuing Obligations</w:t>
      </w:r>
      <w:r>
        <w:rPr>
          <w:rFonts w:ascii="Times New Roman" w:hAnsi="Times New Roman"/>
          <w:sz w:val="20"/>
        </w:rPr>
        <w:t xml:space="preserve">.” For the avoidance of doubt, all restrictive covenants obligations are supplemental to one another, and in the event of any conflict between restrictive covenants obligations, the most restrictive provision that is enforceable shall govern.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Third-Party Agreements and Rights</w:t>
      </w:r>
      <w:r>
        <w:rPr>
          <w:rFonts w:ascii="Times New Roman" w:hAnsi="Times New Roman"/>
          <w:sz w:val="20"/>
        </w:rPr>
        <w:t xml:space="preserve">.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Litigation and Regulatory Cooperation</w:t>
      </w:r>
      <w:r>
        <w:rPr>
          <w:rFonts w:ascii="Times New Roman" w:hAnsi="Times New Roman"/>
          <w:sz w:val="20"/>
        </w:rPr>
        <w:t xml:space="preserve">.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 after the Severance Period or the CIC Severance Period, as applicable (each as defined in the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Relief</w:t>
      </w:r>
      <w:r>
        <w:rPr>
          <w:rFonts w:ascii="Times New Roman" w:hAnsi="Times New Roman"/>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hAnsi="Times New Roman"/>
          <w:b/>
          <w:sz w:val="20"/>
        </w:rPr>
        <w:t>,</w:t>
      </w:r>
      <w:r>
        <w:rPr>
          <w:rFonts w:ascii="Times New Roman" w:hAnsi="Times New Roman"/>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Consent to Jurisdiction</w:t>
      </w:r>
      <w:r>
        <w:rPr>
          <w:rFonts w:ascii="Times New Roman" w:hAnsi="Times New Roman"/>
          <w:sz w:val="20"/>
        </w:rPr>
        <w:t xml:space="preserve">. The Parties hereby consent to the jurisdiction of the state and federal courts of the [State of Florida / State of Tennessee /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 of Jury Trial</w:t>
      </w:r>
      <w:r>
        <w:rPr>
          <w:rFonts w:ascii="Times New Roman" w:hAnsi="Times New Roman"/>
          <w:sz w:val="20"/>
        </w:rPr>
        <w:t xml:space="preserve">.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together with the Restrictive Covenants Agreement, the Continuing Obligations, the Severance Plan and the Equity Documents, constitutes the entire agreement between the Parties with respect to the subject matter hereof and supersedes all prior agreements between the Parties concerning such subject matter, including the Prior Agreements.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Withholding; Tax Effect</w:t>
      </w:r>
      <w:r>
        <w:rPr>
          <w:rFonts w:ascii="Times New Roman" w:hAnsi="Times New Roman"/>
          <w:sz w:val="20"/>
        </w:rPr>
        <w:t xml:space="preserve">.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Assignment; Successors and Assigns</w:t>
      </w:r>
      <w:r>
        <w:rPr>
          <w:rFonts w:ascii="Times New Roman" w:hAnsi="Times New Roman"/>
          <w:sz w:val="20"/>
        </w:rPr>
        <w:t xml:space="preserve">. Neither the Executive nor the Company may make any assignment of this Agreement or any interest in it, by operation of law or otherwise, without the prior written consent of the other; </w:t>
      </w:r>
      <w:r>
        <w:rPr>
          <w:rFonts w:ascii="Times New Roman" w:hAnsi="Times New Roman"/>
          <w:i/>
          <w:sz w:val="20"/>
        </w:rPr>
        <w:t>provided, however</w:t>
      </w:r>
      <w:r>
        <w:rPr>
          <w:rFonts w:ascii="Times New Roman" w:hAnsi="Times New Roman"/>
          <w:sz w:val="20"/>
        </w:rPr>
        <w:t xml:space="preserve">, that the Company may assign its rights and obligations under this Agreement (including the Restrictive Covenants Agreements)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Enforceability</w:t>
      </w:r>
      <w:r>
        <w:rPr>
          <w:rFonts w:ascii="Times New Roman" w:hAnsi="Times New Roman"/>
          <w:sz w:val="20"/>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provisions of this Agreement shall survive the termination of this Agreement and/or the termination of the Executive’s employment to the extent necessary to effectuate the terms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Notices</w:t>
      </w:r>
      <w:r>
        <w:rPr>
          <w:rFonts w:ascii="Times New Roman" w:hAnsi="Times New Roman"/>
          <w:sz w:val="20"/>
        </w:rPr>
        <w:t xml:space="preserve">.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or, in the case of the Company, at its main offices, attention of the [Chief Executive Officer (“</w:t>
      </w:r>
      <w:r>
        <w:rPr>
          <w:rFonts w:ascii="Times New Roman" w:hAnsi="Times New Roman"/>
          <w:sz w:val="20"/>
          <w:u w:val="single"/>
        </w:rPr>
        <w:t>CEO</w:t>
      </w:r>
      <w:r>
        <w:rPr>
          <w:rFonts w:ascii="Times New Roman" w:hAnsi="Times New Roman"/>
          <w:sz w:val="20"/>
        </w:rPr>
        <w:t xml:space="preserve">”) / Chairperson of the Board]. Notices, requests, demands and other communications provided for by this Agreement shall also be sufficient if sent by email to the Company email address of the Executive or, in the case of Company, the Company email address of the [CEO / Chairperson of the Board], with confirmation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Amendment</w:t>
      </w:r>
      <w:r>
        <w:rPr>
          <w:rFonts w:ascii="Times New Roman" w:hAnsi="Times New Roman"/>
          <w:sz w:val="20"/>
        </w:rPr>
        <w:t xml:space="preserve">. This Agreement may be amended or modified only by a written instrument signed by the Executive and by a duly authorized representative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Effect on Other Plans and Agreements</w:t>
      </w:r>
      <w:r>
        <w:rPr>
          <w:rFonts w:ascii="Times New Roman" w:hAnsi="Times New Roman"/>
          <w:sz w:val="20"/>
        </w:rPr>
        <w:t xml:space="preserve">. An election by the Executive to resign for Good Reason under the provisions of this Agreement and the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Notwithstanding anything to the contrary in this Agreement, all severance pay and benefits provided to the Executive pursuant to the Severance Plan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agreement and under this Agreement, the terms of this Agreement shall govern and the Executive may receive payment under this Agreement only and not both.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Governing Law</w:t>
      </w:r>
      <w:r>
        <w:rPr>
          <w:rFonts w:ascii="Times New Roman" w:hAnsi="Times New Roman"/>
          <w:sz w:val="20"/>
        </w:rPr>
        <w:t xml:space="preserve">.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Clawback Acknowledgement</w:t>
      </w:r>
      <w:r>
        <w:rPr>
          <w:rFonts w:ascii="Times New Roman" w:hAnsi="Times New Roman"/>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 w:hAnsi="Times New Roman"/>
          <w:sz w:val="20"/>
          <w:u w:val="single"/>
        </w:rPr>
        <w:t>Clawback Policy</w:t>
      </w:r>
      <w:r>
        <w:rPr>
          <w:rFonts w:ascii="Times New Roman" w:hAnsi="Times New Roman"/>
          <w:sz w:val="20"/>
        </w:rPr>
        <w:t xml:space="preserve">”).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(as defined in the Severance Plan)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Conditions</w:t>
      </w:r>
      <w:r>
        <w:rPr>
          <w:rFonts w:ascii="Times New Roman" w:hAnsi="Times New Roman"/>
          <w:sz w:val="20"/>
        </w:rPr>
        <w:t xml:space="preserve">.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when so executed and delivered shall be taken to be an original; but such counterparts shall together constitute one and the same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effective on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04"/>
        <w:gridCol w:w="267"/>
        <w:gridCol w:w="2411"/>
      </w:tblGrid>
      <w:tr>
        <w:trPr/>
        <w:tc>
          <w:tcPr>
            <w:tcW w:w="140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1404" w:type="dxa"/>
            <w:tcBorders/>
            <w:vAlign w:val="center"/>
          </w:tcPr>
          <w:p>
            <w:pPr>
              <w:pStyle w:val="TableContents"/>
              <w:bidi w:val="0"/>
              <w:spacing w:before="0" w:after="283"/>
              <w:jc w:val="left"/>
              <w:rPr>
                <w:sz w:val="4"/>
                <w:szCs w:val="4"/>
              </w:rPr>
            </w:pPr>
            <w:r>
              <w:rPr>
                <w:sz w:val="4"/>
                <w:szCs w:val="4"/>
              </w:rPr>
            </w:r>
          </w:p>
        </w:tc>
        <w:tc>
          <w:tcPr>
            <w:tcW w:w="2678" w:type="dxa"/>
            <w:gridSpan w:val="2"/>
            <w:tcBorders/>
            <w:vAlign w:val="center"/>
          </w:tcPr>
          <w:p>
            <w:pPr>
              <w:pStyle w:val="TableContents"/>
              <w:bidi w:val="0"/>
              <w:spacing w:before="0" w:after="283"/>
              <w:jc w:val="left"/>
              <w:rPr>
                <w:sz w:val="4"/>
                <w:szCs w:val="4"/>
              </w:rPr>
            </w:pPr>
            <w:r>
              <w:rPr>
                <w:sz w:val="4"/>
                <w:szCs w:val="4"/>
              </w:rPr>
            </w:r>
          </w:p>
        </w:tc>
      </w:tr>
      <w:tr>
        <w:trPr/>
        <w:tc>
          <w:tcPr>
            <w:tcW w:w="1404" w:type="dxa"/>
            <w:tcBorders/>
          </w:tcPr>
          <w:p>
            <w:pPr>
              <w:pStyle w:val="TableContents"/>
              <w:bidi w:val="0"/>
              <w:spacing w:before="0" w:after="283"/>
              <w:jc w:val="left"/>
              <w:rPr/>
            </w:pPr>
            <w:r>
              <w:rPr/>
              <w:t>By:</w:t>
            </w:r>
          </w:p>
        </w:tc>
        <w:tc>
          <w:tcPr>
            <w:tcW w:w="267" w:type="dxa"/>
            <w:tcBorders/>
            <w:vAlign w:val="bottom"/>
          </w:tcPr>
          <w:p>
            <w:pPr>
              <w:pStyle w:val="TableContents"/>
              <w:bidi w:val="0"/>
              <w:spacing w:before="0" w:after="283"/>
              <w:jc w:val="left"/>
              <w:rPr/>
            </w:pPr>
            <w:r>
              <w:rPr/>
              <w:t> </w:t>
            </w:r>
          </w:p>
        </w:tc>
        <w:tc>
          <w:tcPr>
            <w:tcW w:w="2411" w:type="dxa"/>
            <w:tcBorders/>
          </w:tcPr>
          <w:p>
            <w:pPr>
              <w:pStyle w:val="TableContents"/>
              <w:pBdr>
                <w:bottom w:val="single" w:sz="2" w:space="1" w:color="000000"/>
              </w:pBdr>
              <w:bidi w:val="0"/>
              <w:spacing w:before="0" w:after="20"/>
              <w:jc w:val="left"/>
              <w:rPr/>
            </w:pPr>
            <w:r>
              <w:rPr/>
              <w:t> </w:t>
            </w:r>
          </w:p>
        </w:tc>
      </w:tr>
      <w:tr>
        <w:trPr/>
        <w:tc>
          <w:tcPr>
            <w:tcW w:w="1404" w:type="dxa"/>
            <w:tcBorders/>
          </w:tcPr>
          <w:p>
            <w:pPr>
              <w:pStyle w:val="TableContents"/>
              <w:bidi w:val="0"/>
              <w:spacing w:before="0" w:after="283"/>
              <w:jc w:val="left"/>
              <w:rPr/>
            </w:pPr>
            <w:r>
              <w:rPr/>
              <w:t>Its:</w:t>
            </w:r>
          </w:p>
        </w:tc>
        <w:tc>
          <w:tcPr>
            <w:tcW w:w="267" w:type="dxa"/>
            <w:tcBorders/>
            <w:vAlign w:val="bottom"/>
          </w:tcPr>
          <w:p>
            <w:pPr>
              <w:pStyle w:val="TableContents"/>
              <w:bidi w:val="0"/>
              <w:spacing w:before="0" w:after="283"/>
              <w:jc w:val="left"/>
              <w:rPr/>
            </w:pPr>
            <w:r>
              <w:rPr/>
              <w:t> </w:t>
            </w:r>
          </w:p>
        </w:tc>
        <w:tc>
          <w:tcPr>
            <w:tcW w:w="2411"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Restrictive Covenants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34" w:name="d309963dex1013.htm"/>
      <w:bookmarkStart w:id="35" w:name="ksd309963dex1013"/>
      <w:bookmarkEnd w:id="34"/>
      <w:bookmarkEnd w:id="35"/>
      <w:r>
        <w:rPr>
          <w:rFonts w:ascii="Times New Roman" w:hAnsi="Times New Roman"/>
          <w:b/>
          <w:sz w:val="20"/>
        </w:rPr>
        <w:t xml:space="preserve">Exhibit 10.13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CERTAIN INFORMATION IN THIS DOCUMENT HAS BEEN EXCLUDED PURSUANT TO REGULATION S-K, ITEM 601(B)(10) AND REPLACED WITH [***]. SUCH EXCLUDED INFORMATION IS NOT MATERIAL AND WOULD LIKELY CAUSE COMPETITIVE HARM TO THE REGISTRANT IF PUBLICLY DISCLOSED. </w:t>
      </w:r>
    </w:p>
    <w:p>
      <w:pPr>
        <w:pStyle w:val="TextBody"/>
        <w:bidi w:val="0"/>
        <w:spacing w:before="480" w:after="0"/>
        <w:jc w:val="center"/>
        <w:rPr>
          <w:rFonts w:ascii="Times New Roman" w:hAnsi="Times New Roman"/>
          <w:b/>
          <w:sz w:val="20"/>
        </w:rPr>
      </w:pPr>
      <w:r>
        <w:rPr>
          <w:rFonts w:ascii="Times New Roman" w:hAnsi="Times New Roman"/>
          <w:b/>
          <w:sz w:val="20"/>
        </w:rPr>
        <w:t xml:space="preserve">License Agreement </w:t>
      </w:r>
    </w:p>
    <w:p>
      <w:pPr>
        <w:pStyle w:val="TextBody"/>
        <w:bidi w:val="0"/>
        <w:spacing w:before="240" w:after="0"/>
        <w:jc w:val="left"/>
        <w:rPr>
          <w:rFonts w:ascii="Times New Roman" w:hAnsi="Times New Roman"/>
          <w:sz w:val="20"/>
        </w:rPr>
      </w:pPr>
      <w:r>
        <w:rPr>
          <w:rFonts w:ascii="Times New Roman" w:hAnsi="Times New Roman"/>
          <w:sz w:val="20"/>
        </w:rPr>
        <w:t>This License Agreement (“</w:t>
      </w:r>
      <w:r>
        <w:rPr>
          <w:rFonts w:ascii="Times New Roman" w:hAnsi="Times New Roman"/>
          <w:sz w:val="20"/>
          <w:u w:val="single"/>
        </w:rPr>
        <w:t>Agreement</w:t>
      </w:r>
      <w:r>
        <w:rPr>
          <w:rFonts w:ascii="Times New Roman" w:hAnsi="Times New Roman"/>
          <w:sz w:val="20"/>
        </w:rPr>
        <w:t>”) is made as of the date of the last authorized signature below (the “</w:t>
      </w:r>
      <w:r>
        <w:rPr>
          <w:rFonts w:ascii="Times New Roman" w:hAnsi="Times New Roman"/>
          <w:sz w:val="20"/>
          <w:u w:val="single"/>
        </w:rPr>
        <w:t>Effective Date</w:t>
      </w:r>
      <w:r>
        <w:rPr>
          <w:rFonts w:ascii="Times New Roman" w:hAnsi="Times New Roman"/>
          <w:sz w:val="20"/>
        </w:rPr>
        <w:t>”), by and between The Board of Regents (“</w:t>
      </w:r>
      <w:r>
        <w:rPr>
          <w:rFonts w:ascii="Times New Roman" w:hAnsi="Times New Roman"/>
          <w:sz w:val="20"/>
          <w:u w:val="single"/>
        </w:rPr>
        <w:t>Board</w:t>
      </w:r>
      <w:r>
        <w:rPr>
          <w:rFonts w:ascii="Times New Roman" w:hAnsi="Times New Roman"/>
          <w:sz w:val="20"/>
        </w:rPr>
        <w:t>”) of The University of Texas System (“</w:t>
      </w:r>
      <w:r>
        <w:rPr>
          <w:rFonts w:ascii="Times New Roman" w:hAnsi="Times New Roman"/>
          <w:sz w:val="20"/>
          <w:u w:val="single"/>
        </w:rPr>
        <w:t>System</w:t>
      </w:r>
      <w:r>
        <w:rPr>
          <w:rFonts w:ascii="Times New Roman" w:hAnsi="Times New Roman"/>
          <w:sz w:val="20"/>
        </w:rPr>
        <w:t>”), an agency of the State of Texas, whose address is 210 West 7th Street, Austin, Texas 78701, on behalf of The University of Texas M. D. Anderson Cancer Center (“</w:t>
      </w:r>
      <w:r>
        <w:rPr>
          <w:rFonts w:ascii="Times New Roman" w:hAnsi="Times New Roman"/>
          <w:sz w:val="20"/>
          <w:u w:val="single"/>
        </w:rPr>
        <w:t>MD Anderson</w:t>
      </w:r>
      <w:r>
        <w:rPr>
          <w:rFonts w:ascii="Times New Roman" w:hAnsi="Times New Roman"/>
          <w:sz w:val="20"/>
        </w:rPr>
        <w:t>”), a member institution of System, and Obsidian Therapeutics, Inc., having a principal place of business located at 1030 Massachusetts Avenue, Cambridge, MA 02138 (“</w:t>
      </w:r>
      <w:r>
        <w:rPr>
          <w:rFonts w:ascii="Times New Roman" w:hAnsi="Times New Roman"/>
          <w:sz w:val="20"/>
          <w:u w:val="single"/>
        </w:rPr>
        <w:t>Licensee</w:t>
      </w:r>
      <w:r>
        <w:rPr>
          <w:rFonts w:ascii="Times New Roman" w:hAnsi="Times New Roman"/>
          <w:sz w:val="20"/>
        </w:rPr>
        <w:t>” or “</w:t>
      </w:r>
      <w:r>
        <w:rPr>
          <w:rFonts w:ascii="Times New Roman" w:hAnsi="Times New Roman"/>
          <w:sz w:val="20"/>
          <w:u w:val="single"/>
        </w:rPr>
        <w:t>Obsidian</w:t>
      </w:r>
      <w:r>
        <w:rPr>
          <w:rFonts w:ascii="Times New Roman" w:hAnsi="Times New Roman"/>
          <w:sz w:val="20"/>
        </w:rPr>
        <w:t>”). Board, on behalf of MD Anderson, and Obsidian hereinafter may be referred to each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owns or co-owns MDA Licensed IP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through MD Anderson, has determined that development and commercialization of the MDA Licensed IP is in the public’s best interest and is consistent with Board’s educational and research missions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desires to have the MDA Licensed IP developed and commercialized for the benefit of Licensee, the inventors, Board, System, MD Anderson, and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and Obsidian are parties to that certain Collaborative Research &amp; Option Agreement dated November 16, 2020, whereby MD Anderson granted Obsidian an option to enter into a license agreement for specified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Obsidian now desires to secure a license to practice the MDA Licensed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Obsidian and MD Anderson may in the future desire to enter into a manufacturing agreement whereby MD Anderson manufactures product in furtherance of the Collaborative Research &amp; Option Agreement or this Agreement, and if so, the terms and conditions that would address such manufacturing activity will be the subject of a separate agreement or an amendment to the Collaborative Research &amp; Option Agreement or this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promises herein contained,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subject to the rights of CPRIT as set forth on 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I.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the following terms have the meanings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Achieved Milestone Event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Additional MDA IP </w:t>
            </w:r>
            <w:r>
              <w:rPr>
                <w:rFonts w:ascii="Times New Roman" w:hAnsi="Times New Roman"/>
                <w:sz w:val="20"/>
              </w:rPr>
              <w:t xml:space="preserve">means Board’s rights in technical information, know-how, processes, procedures, compositions, devices, methods, formulas, protocols, techniques, designs, drawings or data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covered by MDA Patent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invented at MD Anderson, solely by one or more of the inventor(s) listed in Appendices 1 or 2 while employed at MD Anderson;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invented before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necessary to practice the New MD Anderson Technology as licensed under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subject to contractual or legal restrictions or encumbrances that are in effect before the Effective Date and that would preclude a license to Licensee under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Board’s rights in patent rights covering the foregoing and other intellectual property rights in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Affiliate </w:t>
            </w:r>
            <w:r>
              <w:rPr>
                <w:rFonts w:ascii="Times New Roman" w:hAnsi="Times New Roman"/>
                <w:sz w:val="20"/>
              </w:rPr>
              <w:t xml:space="preserve">means, with respect to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of which, now or hereafter, more than fifty percent (50%) of the securities or other ownership interests representing the equity, the voting stock or general partnership interest are owned, controlled or held, directly or indirectly, by such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which, now or hereafter, directly or indirectly, owns, controls or holds more than fifty percent (50%) (or the maximum ownership interest permitted by law) of the securities or other ownership interests representing the equity, the voting stock or, if applicable, the general partnership interest, of such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of which, now or hereafter, more than fifty percent (50%) of the securities or other ownership interests representing the equity, the voting stock or general partnership interest are owned, controlled or held, directly or indirectly, by a Person described in (a) or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Aggregate Annual Net Sales </w:t>
            </w:r>
            <w:r>
              <w:rPr>
                <w:rFonts w:ascii="Times New Roman" w:hAnsi="Times New Roman"/>
                <w:sz w:val="20"/>
              </w:rPr>
              <w:t xml:space="preserve">means the Net Sales of all Developed Product(s) and Licensed Product(s) for all Indications during a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Agreement </w:t>
            </w:r>
            <w:r>
              <w:rPr>
                <w:rFonts w:ascii="Times New Roman" w:hAnsi="Times New Roman"/>
                <w:sz w:val="20"/>
              </w:rPr>
              <w:t xml:space="preserve">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Applicable Law </w:t>
            </w:r>
            <w:r>
              <w:rPr>
                <w:rFonts w:ascii="Times New Roman" w:hAnsi="Times New Roman"/>
                <w:sz w:val="20"/>
              </w:rPr>
              <w:t xml:space="preserve">means the laws of any jurisdiction applicable to any of the Parties hereto, and shall include all applicable statutes, enactments, acts of legislature, laws, ordinances, rules, regulations, notifications, guidelines, policies, directions, directives and orders of any statutory authority, tribunal, board, or court having competent jurisdiction, or any applicable Governmental Authority, including if and where applicable,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Food, Drug and Cosmetic Act, (21 U.S.C. §301 et seq.), Prescription Drug Marketing Act, the Generic Drug Enforcement Act of 1992 (21 U.S.C. §335a et seq.), U.S. Patent Act (35 U.S.C. §1 et seq.), Federal Civil False Claims Act (31 U.S.C. §3729 et seq.), and the Anti-Kickback Statute (42 U.S.C. §1320a-7b et seq.);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or regulations that govern human subjects research, patient consent or authorization, privacy or use of information, and the like, including HIPAA as amended by the Health Information Technology for Economic and Clinical Health Act and the US Physician Payment Sunshine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Manufacturing Practices, Good Clinical Practices, Good Laboratory Practices, and ICH guidelines;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requirements and official guidance of any relevant Regulatory Authority;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rules, regulations, and compliance guidance promulgated under any of the foregoing, as well as foreign equivalents of any of the foregoing, in each case as may be amended and as may be in effect from time to time and applicable to conduct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Background IP </w:t>
            </w:r>
            <w:r>
              <w:rPr>
                <w:rFonts w:ascii="Times New Roman" w:hAnsi="Times New Roman"/>
                <w:sz w:val="20"/>
              </w:rPr>
              <w:t xml:space="preserve">means, with respect to MD Anderson or Obsidian, any patents, know-how and other intellectual property: (a) owned, controlled, or generated by or on behalf of such party or its Affiliates before the effective date of the Collaborative Research &amp; Option Agreement; or (b) owned, controlled, or generated by or on behalf of such party or its Affiliates outside the scope of (i) the collaborative research activities identified and described in Exhibit A of the Collaborative Research &amp; Option Agreement, (ii) the responsibilities of the joint development committee under the Collaborative Research &amp; Option Agreement, and (iii) other than exercise of MD Anderson’s rights or obligations under Section 7.9.b of the Collaborative Research &amp; Option Agreement related to any technology listed on Appendix 1 and/or Appendix 2 of Exhibit D of the Collaborative Research &amp; Option Agreement, the exercise by Obsidian or MD Anderson of its prosecution rights or responsibilities under the Collaborative Research &amp; Option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Board </w:t>
            </w:r>
            <w:r>
              <w:rPr>
                <w:rFonts w:ascii="Times New Roman" w:hAnsi="Times New Roman"/>
                <w:sz w:val="20"/>
              </w:rPr>
              <w:t xml:space="preserve">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BPCIA </w:t>
            </w:r>
            <w:r>
              <w:rPr>
                <w:rFonts w:ascii="Times New Roman" w:hAnsi="Times New Roman"/>
                <w:sz w:val="20"/>
              </w:rPr>
              <w:t xml:space="preserve">means the U.S. Biologics Price Competition and Innovation Act of 2009,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1.10</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Calendar Quarter </w:t>
            </w:r>
            <w:r>
              <w:rPr>
                <w:rFonts w:ascii="Times New Roman" w:hAnsi="Times New Roman"/>
                <w:sz w:val="20"/>
              </w:rPr>
              <w:t xml:space="preserve">means respective periods of three (3) consecutive calendar months ending on March 31, June 30, September 30 and December 31; provided, however, that (a) the first Calendar Quarter of the Term shall extend from the Effective Date to the end of the first complete Calendar Quarter thereafter; and (b) the last Calendar Quarter of the Term shall end on the effective date of the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
        <w:gridCol w:w="9756"/>
      </w:tblGrid>
      <w:tr>
        <w:trPr/>
        <w:tc>
          <w:tcPr>
            <w:tcW w:w="449" w:type="dxa"/>
            <w:tcBorders/>
          </w:tcPr>
          <w:p>
            <w:pPr>
              <w:pStyle w:val="TableContents"/>
              <w:bidi w:val="0"/>
              <w:spacing w:before="0" w:after="283"/>
              <w:jc w:val="left"/>
              <w:rPr/>
            </w:pPr>
            <w:r>
              <w:rPr/>
              <w:t>1.11</w:t>
            </w:r>
          </w:p>
        </w:tc>
        <w:tc>
          <w:tcPr>
            <w:tcW w:w="975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Calendar Year </w:t>
            </w:r>
            <w:r>
              <w:rPr>
                <w:rFonts w:ascii="Times New Roman" w:hAnsi="Times New Roman"/>
                <w:sz w:val="20"/>
              </w:rPr>
              <w:t xml:space="preserve">means the period of twelve (12) consecutive calendar months beginning on January 1 and ending on (and including) December 31; provided, however, that (a) the first Calendar Year of the Term will begin on the Effective Date and end on December 31 of the calendar year within which the Effective Date falls, and (b) the last Calendar Year of the Term will end on the effective date of the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1.12</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Clinical Trial </w:t>
            </w:r>
            <w:r>
              <w:rPr>
                <w:rFonts w:ascii="Times New Roman" w:hAnsi="Times New Roman"/>
                <w:sz w:val="20"/>
              </w:rPr>
              <w:t xml:space="preserve">shall mean a Phase I Clinical Trial, Phase II Clinical Trial, Phase III Clinical Trial, or Registrational Trial,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pPr>
            <w:r>
              <w:rPr/>
              <w:t>1.13</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Collaboration Arising IP </w:t>
            </w:r>
            <w:r>
              <w:rPr>
                <w:rFonts w:ascii="Times New Roman" w:hAnsi="Times New Roman"/>
                <w:sz w:val="20"/>
              </w:rPr>
              <w:t xml:space="preserve">means any invention, discovery, or know-how, whether patentable or otherwise, invented or discovered by or on behalf of MD Anderson and/or Obsidian or their respective Affiliates, whether solely or jointly, during the term of the Collaborative Research &amp; Option Agreement and resulting from the performance of (a) the collaborative research activities identified and described in Exhibit A of the Collaborative Research &amp; Option Agreement, (b) the responsibilities of the joint development committee under the Collaborative Research &amp; Option Agreement, or (c) the exercise by Obsidian or MD Anderson of its prosecution rights or responsibilities under the Collaborative Research &amp; Option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subpart (c) shall not include exercise of MD Anderson’s rights or obligations under Section 7.9.b of the Collaborative Research &amp; Option Agreement related to any technology listed on Appendix 1 and/or Appendix 2 of Exhibit D of the Collaborative Research &amp; Option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1.14</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Collaborative Research</w:t>
            </w:r>
            <w:r>
              <w:rPr>
                <w:rFonts w:ascii="Times New Roman" w:hAnsi="Times New Roman"/>
                <w:sz w:val="20"/>
              </w:rPr>
              <w:t> </w:t>
            </w:r>
            <w:r>
              <w:rPr>
                <w:rFonts w:ascii="Times New Roman" w:hAnsi="Times New Roman"/>
                <w:b/>
                <w:sz w:val="20"/>
              </w:rPr>
              <w:t xml:space="preserve">&amp; Option Agreement </w:t>
            </w:r>
            <w:r>
              <w:rPr>
                <w:rFonts w:ascii="Times New Roman" w:hAnsi="Times New Roman"/>
                <w:sz w:val="20"/>
              </w:rPr>
              <w:t xml:space="preserve">means that certain Collaborative Research &amp; Option Agreement between MD Anderson and Obsidian dated November 16,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1.15</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Commercially Reasonable Efforts </w:t>
            </w:r>
            <w:r>
              <w:rPr>
                <w:rFonts w:ascii="Times New Roman" w:hAnsi="Times New Roman"/>
                <w:sz w:val="20"/>
              </w:rPr>
              <w:t xml:space="preserve">shall mean, with respect to Licensee, such efforts that are consistent with the efforts and resources normally used by Licensee in the exercise of its reasonable business discretion relating to the research, development and commercialization of a pharmaceutical product owned by it or to which it has exclusive rights, with similar product characteristics, which is of similar market potential at a similar stage in its development or product life, taking into account issues of patent coverage, safety and efficacy, product profile, the competitiveness of the marketplace, the proprietary position of the compound or product, the regulatory structure involved, the potential or actual profitability of the applicable products (including pricing and reimbursement status achieved or to be achieved), and other relevant factors, including technical, legal, scientific and/or medical factors. For purposes of clarity, Commercially Reasonable Efforts with respect to Licensee shall be determined on a market-by-market and Indication-by-Indication basis for a particular product such that the level of effort may be different for different markets and may change over time, reflecting changes in the status of the product and the market(s)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1.16</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Competitive Infringement </w:t>
            </w:r>
            <w:r>
              <w:rPr>
                <w:rFonts w:ascii="Times New Roman" w:hAnsi="Times New Roman"/>
                <w:sz w:val="20"/>
              </w:rPr>
              <w:t xml:space="preserve">means any infringement or threatened infringement by a Third Party by reason of the making, using, offering to sell, selling or importing of a compound or product that would be competitive with a Licensed Product or Developed Product in the Licensed Field in the Licensed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1.17</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CPRIT </w:t>
            </w:r>
            <w:r>
              <w:rPr>
                <w:rFonts w:ascii="Times New Roman" w:hAnsi="Times New Roman"/>
                <w:sz w:val="20"/>
              </w:rPr>
              <w:t xml:space="preserve">means the Cancer Prevention and Research Institute of Texas, established pursuant to the Texas Health and Safety Code, Title 2, Subtitle E, Chapter 102, as may be amended or superseded.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1.18</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cytoDRiVE Technology </w:t>
            </w:r>
            <w:r>
              <w:rPr>
                <w:rFonts w:ascii="Times New Roman" w:hAnsi="Times New Roman"/>
                <w:sz w:val="20"/>
              </w:rPr>
              <w:t xml:space="preserve">means any Background IP of Obsidian that relates to the research and development of engineered cell and gene therapy to control gene and protein expression in numerous cell types.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1.19</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Development Milestone Event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1.20</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Development Milestone Payment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1.21</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Developed Product means: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engineered TIL therapeutic product, method or process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invented, discovered, created or developed as a result of, and during the performance of, the Collaborative Research &amp; Option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of such product, method, or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1.22</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Dollar </w:t>
            </w:r>
            <w:r>
              <w:rPr>
                <w:rFonts w:ascii="Times New Roman" w:hAnsi="Times New Roman"/>
                <w:sz w:val="20"/>
              </w:rPr>
              <w:t xml:space="preserve">shall mean a U.S. dollar, and “$” shall be interpreted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1.23</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Effective Date</w:t>
            </w:r>
            <w:r>
              <w:rPr>
                <w:rFonts w:ascii="Times New Roman" w:hAnsi="Times New Roman"/>
                <w:sz w:val="20"/>
              </w:rPr>
              <w:t xml:space="preserve"> 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0"/>
        <w:gridCol w:w="9735"/>
      </w:tblGrid>
      <w:tr>
        <w:trPr/>
        <w:tc>
          <w:tcPr>
            <w:tcW w:w="470" w:type="dxa"/>
            <w:tcBorders/>
          </w:tcPr>
          <w:p>
            <w:pPr>
              <w:pStyle w:val="TableContents"/>
              <w:bidi w:val="0"/>
              <w:spacing w:before="0" w:after="283"/>
              <w:jc w:val="left"/>
              <w:rPr/>
            </w:pPr>
            <w:r>
              <w:rPr/>
              <w:t>1.24</w:t>
            </w:r>
          </w:p>
        </w:tc>
        <w:tc>
          <w:tcPr>
            <w:tcW w:w="973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EMA </w:t>
            </w:r>
            <w:r>
              <w:rPr>
                <w:rFonts w:ascii="Times New Roman" w:hAnsi="Times New Roman"/>
                <w:sz w:val="20"/>
              </w:rPr>
              <w:t xml:space="preserve">means the European Medicines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1.25</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Extension Fee </w:t>
            </w:r>
            <w:r>
              <w:rPr>
                <w:rFonts w:ascii="Times New Roman" w:hAnsi="Times New Roman"/>
                <w:sz w:val="20"/>
              </w:rPr>
              <w:t xml:space="preserve">has the meaning set forth in Section 2.6(a).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1.26</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FDA </w:t>
            </w:r>
            <w:r>
              <w:rPr>
                <w:rFonts w:ascii="Times New Roman" w:hAnsi="Times New Roman"/>
                <w:sz w:val="20"/>
              </w:rPr>
              <w:t xml:space="preserve">means the United States Food &amp; Drug Administration or any successor agency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1.27</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First Commercial Sale </w:t>
            </w:r>
            <w:r>
              <w:rPr>
                <w:rFonts w:ascii="Times New Roman" w:hAnsi="Times New Roman"/>
                <w:sz w:val="20"/>
              </w:rPr>
              <w:t xml:space="preserve">means, on a country-by-country and product-by-product basis, the first Sale of a Developed Product or Licensed Product by Licensee or its Sublicensee to an end user or prescriber for use, consumption or resale of such product in a country in the Licensed Territory where Marketing Authorization of such product has been obtained and where the Sale results in a Net Sale. Sale of a Developed Product or Licensed Product under this Agreement by Licensee to its Sublicensee shall not constitute a First Commercial Sale unless such Sublicensee is the end user of such product and such Sale results in a Net Sale. Transfer or sale of a Developed Product or Licensed Product to a Royalty-Free Practitioner shall not constitute a First Commercial Sale. First Commercial Sale excludes any transfer or disposition for use in a Clinical Trial or for compassionate or similar use for which no value is received by Licensee or its Sublicensee.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1.28</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GAAP </w:t>
            </w:r>
            <w:r>
              <w:rPr>
                <w:rFonts w:ascii="Times New Roman" w:hAnsi="Times New Roman"/>
                <w:sz w:val="20"/>
              </w:rPr>
              <w:t xml:space="preserve">means United States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1.29</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GCP </w:t>
            </w:r>
            <w:r>
              <w:rPr>
                <w:rFonts w:ascii="Times New Roman" w:hAnsi="Times New Roman"/>
                <w:sz w:val="20"/>
              </w:rPr>
              <w:t xml:space="preserve">or </w:t>
            </w:r>
            <w:r>
              <w:rPr>
                <w:rFonts w:ascii="Times New Roman" w:hAnsi="Times New Roman"/>
                <w:b/>
                <w:sz w:val="20"/>
              </w:rPr>
              <w:t xml:space="preserve">Good Clinical Practices </w:t>
            </w:r>
            <w:r>
              <w:rPr>
                <w:rFonts w:ascii="Times New Roman" w:hAnsi="Times New Roman"/>
                <w:sz w:val="20"/>
              </w:rPr>
              <w:t xml:space="preserve">means the then-current standards, practices and procedures promulgated or endorsed by the FDA as set forth in the guidelines adopted by the International Conference on Harmonization, titled “Guidance for Industry E6 Good Clinical Practice: Consolidated Guidance,” (or any successor document) including related regulatory requirements imposed by the FDA and comparable regulatory standards, practices and procedures promulgated by the EMA or other Regulatory Authority applicable to the Licensed Territory, as they may be updated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pPr>
            <w:r>
              <w:rPr/>
              <w:t>1.30</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GLP </w:t>
            </w:r>
            <w:r>
              <w:rPr>
                <w:rFonts w:ascii="Times New Roman" w:hAnsi="Times New Roman"/>
                <w:sz w:val="20"/>
              </w:rPr>
              <w:t xml:space="preserve">or </w:t>
            </w:r>
            <w:r>
              <w:rPr>
                <w:rFonts w:ascii="Times New Roman" w:hAnsi="Times New Roman"/>
                <w:b/>
                <w:sz w:val="20"/>
              </w:rPr>
              <w:t xml:space="preserve">Good Laboratory Practice </w:t>
            </w:r>
            <w:r>
              <w:rPr>
                <w:rFonts w:ascii="Times New Roman" w:hAnsi="Times New Roman"/>
                <w:sz w:val="20"/>
              </w:rPr>
              <w:t xml:space="preserve">shall mean the applicable then-current standards for laboratory activities for pharmaceuticals or biologicals, as set forth in the United States Federal Food, Drug and Cosmetic Act, 21 U.S.C. §§ 301 et seq., and/or the Public Health Service Act, 42 U.S.C. §§ 262 et seq., as such may be amended from time to time, together with any similar standards of good laboratory practice as are required by any Regulatory Authority in the Licensed Territory.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pPr>
            <w:r>
              <w:rPr/>
              <w:t>1.31</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GMP </w:t>
            </w:r>
            <w:r>
              <w:rPr>
                <w:rFonts w:ascii="Times New Roman" w:hAnsi="Times New Roman"/>
                <w:sz w:val="20"/>
              </w:rPr>
              <w:t xml:space="preserve">or </w:t>
            </w:r>
            <w:r>
              <w:rPr>
                <w:rFonts w:ascii="Times New Roman" w:hAnsi="Times New Roman"/>
                <w:b/>
                <w:sz w:val="20"/>
              </w:rPr>
              <w:t xml:space="preserve">Good Manufacturing Practice </w:t>
            </w:r>
            <w:r>
              <w:rPr>
                <w:rFonts w:ascii="Times New Roman" w:hAnsi="Times New Roman"/>
                <w:sz w:val="20"/>
              </w:rPr>
              <w:t xml:space="preserve">shall mean the applicable then-current standards for manufacturing activities for pharmaceuticals or biologicals, as set forth in the United States Federal Food, Drug and Cosmetic Act, 21 U.S.C. §§ 301 et seq., and/or the Public Health Service Act, 42 U.S.C. §§ 262 et seq., as such may be amended from time to time, together with any similar standards of good manufacturing practice as are required by any Regulatory Authority in the Licensed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1.32</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Governmental Authority </w:t>
            </w:r>
            <w:r>
              <w:rPr>
                <w:rFonts w:ascii="Times New Roman" w:hAnsi="Times New Roman"/>
                <w:sz w:val="20"/>
              </w:rPr>
              <w:t xml:space="preserve">means any multi-national, federal, state, local, municipal or other government authority of any nature (including any governmental division, subdivision, department, instrumentality, agency, bureau, branch, office, commission, council, court or other tribunal), including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1.33</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Gross Up </w:t>
            </w:r>
            <w:r>
              <w:rPr>
                <w:rFonts w:ascii="Times New Roman" w:hAnsi="Times New Roman"/>
                <w:sz w:val="20"/>
              </w:rPr>
              <w:t xml:space="preserve">has the meaning set forth in Section 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1.34</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HIPAA </w:t>
            </w:r>
            <w:r>
              <w:rPr>
                <w:rFonts w:ascii="Times New Roman" w:hAnsi="Times New Roman"/>
                <w:sz w:val="20"/>
              </w:rPr>
              <w:t xml:space="preserve">means the Health Insurance Portability and Accountability Act of 1996,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pPr>
            <w:r>
              <w:rPr/>
              <w:t>1.35</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ICH </w:t>
            </w:r>
            <w:r>
              <w:rPr>
                <w:rFonts w:ascii="Times New Roman" w:hAnsi="Times New Roman"/>
                <w:sz w:val="20"/>
              </w:rPr>
              <w:t xml:space="preserve">means the International Council for Harmonization of Technical Requirements for Pharmaceuticals for Human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1.36</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IFRS </w:t>
            </w:r>
            <w:r>
              <w:rPr>
                <w:rFonts w:ascii="Times New Roman" w:hAnsi="Times New Roman"/>
                <w:sz w:val="20"/>
              </w:rPr>
              <w:t xml:space="preserve">means the International Financial Reporting Standards, as promulgated by the International Standards Accounting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1.37</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 </w:t>
            </w:r>
            <w:r>
              <w:rPr>
                <w:rFonts w:ascii="Times New Roman" w:hAnsi="Times New Roman"/>
                <w:sz w:val="20"/>
              </w:rPr>
              <w:t xml:space="preserve">means an application filed with a Regulatory Authority for authorization to commence clinical trials,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United States, an Investigational New Drug Application (as defined in the United States Federal Food, Drug, and Cosmetic Act, as amended) that is required to be filed with the FDA before conducting a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foreign counterpart of the foregoing filed with a Regulatory Authority in conformance with the requirements of such Regulatory Authority (e.g., a clinical trial application (CTA));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supplements, amendments, variations, extensions and renewals of the foregoing that may be filed with respect to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1.38</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Indemnitees </w:t>
            </w:r>
            <w:r>
              <w:rPr>
                <w:rFonts w:ascii="Times New Roman" w:hAnsi="Times New Roman"/>
                <w:sz w:val="20"/>
              </w:rPr>
              <w:t xml:space="preserve">has the meaning set forth in Section 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1.39</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Indication </w:t>
            </w:r>
            <w:r>
              <w:rPr>
                <w:rFonts w:ascii="Times New Roman" w:hAnsi="Times New Roman"/>
                <w:sz w:val="20"/>
              </w:rPr>
              <w:t xml:space="preserve">means any use of a product for the treatment, prevention, cure, or to delay the progression, of a human disease or condition. As clarifying illustrative examples: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1.40</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Initiates </w:t>
            </w:r>
            <w:r>
              <w:rPr>
                <w:rFonts w:ascii="Times New Roman" w:hAnsi="Times New Roman"/>
                <w:sz w:val="20"/>
              </w:rPr>
              <w:t xml:space="preserve">or </w:t>
            </w:r>
            <w:r>
              <w:rPr>
                <w:rFonts w:ascii="Times New Roman" w:hAnsi="Times New Roman"/>
                <w:b/>
                <w:sz w:val="20"/>
              </w:rPr>
              <w:t xml:space="preserve">Initiation </w:t>
            </w:r>
            <w:r>
              <w:rPr>
                <w:rFonts w:ascii="Times New Roman" w:hAnsi="Times New Roman"/>
                <w:sz w:val="20"/>
              </w:rPr>
              <w:t xml:space="preserve">shall mean, with respect to a Clinical Trial for a Developed Product or a Licensed Product, the administration of the first dose of such Developed Product or Licensed Product or placebo to the first patient in such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1.41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Jointly Owned Developed Product IP </w:t>
            </w:r>
            <w:r>
              <w:rPr>
                <w:rFonts w:ascii="Times New Roman" w:hAnsi="Times New Roman"/>
                <w:sz w:val="20"/>
              </w:rPr>
              <w:t xml:space="preserve">means all Collaboration Arising IP that (a) is not New Obsidian Technology or New MD Anderson Technology and (b) (i) constitutes the composition, manufacture or method of use of a Developed Product or (ii) is an improvement or modification to both MD Anderson’s Background IP and Obsidian’s Background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1.42</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Licensed Field </w:t>
            </w:r>
            <w:r>
              <w:rPr>
                <w:rFonts w:ascii="Times New Roman" w:hAnsi="Times New Roman"/>
                <w:sz w:val="20"/>
              </w:rPr>
              <w:t xml:space="preserve">means the use of Developed Products and Licensed Products for human therapeutics, diagnostics, and prophylactics.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1.43</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Licensed Product(s)</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 product, method or process that is invented, discovered, created or developed by Licensee (or any Sublicensee) other than as a result of and during the performance of the Collaborative Research &amp; Option Agreement, that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any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0"/>
        <w:gridCol w:w="9755"/>
      </w:tblGrid>
      <w:tr>
        <w:trPr/>
        <w:tc>
          <w:tcPr>
            <w:tcW w:w="450" w:type="dxa"/>
            <w:tcBorders/>
          </w:tcPr>
          <w:p>
            <w:pPr>
              <w:pStyle w:val="TableContents"/>
              <w:bidi w:val="0"/>
              <w:spacing w:before="0" w:after="283"/>
              <w:jc w:val="left"/>
              <w:rPr/>
            </w:pPr>
            <w:r>
              <w:rPr/>
              <w:t>1.44</w:t>
            </w:r>
          </w:p>
        </w:tc>
        <w:tc>
          <w:tcPr>
            <w:tcW w:w="9755" w:type="dxa"/>
            <w:tcBorders/>
          </w:tcPr>
          <w:p>
            <w:pPr>
              <w:pStyle w:val="TableContents"/>
              <w:bidi w:val="0"/>
              <w:spacing w:before="0" w:after="0"/>
              <w:jc w:val="left"/>
              <w:rPr>
                <w:rFonts w:ascii="Times New Roman" w:hAnsi="Times New Roman"/>
                <w:sz w:val="20"/>
              </w:rPr>
            </w:pPr>
            <w:r>
              <w:rPr>
                <w:rFonts w:ascii="Times New Roman" w:hAnsi="Times New Roman"/>
                <w:b/>
                <w:sz w:val="20"/>
              </w:rPr>
              <w:t>Licensed Territory</w:t>
            </w:r>
            <w:r>
              <w:rPr>
                <w:rFonts w:ascii="Times New Roman" w:hAnsi="Times New Roman"/>
                <w:sz w:val="20"/>
              </w:rPr>
              <w:t xml:space="preserve"> means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1.45</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Licensee </w:t>
            </w:r>
            <w:r>
              <w:rPr>
                <w:rFonts w:ascii="Times New Roman" w:hAnsi="Times New Roman"/>
                <w:sz w:val="20"/>
              </w:rPr>
              <w:t xml:space="preserve">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1.46</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Licensee Indemnitees </w:t>
            </w:r>
            <w:r>
              <w:rPr>
                <w:rFonts w:ascii="Times New Roman" w:hAnsi="Times New Roman"/>
                <w:sz w:val="20"/>
              </w:rPr>
              <w:t xml:space="preserve">has the meaning set forth in Section 7.2.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1.47</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Licensee Patents </w:t>
            </w:r>
            <w:r>
              <w:rPr>
                <w:rFonts w:ascii="Times New Roman" w:hAnsi="Times New Roman"/>
                <w:sz w:val="20"/>
              </w:rPr>
              <w:t xml:space="preserve">has the meaning set forth in Section 13.9.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pPr>
            <w:r>
              <w:rPr/>
              <w:t>1.48</w:t>
            </w:r>
          </w:p>
        </w:tc>
        <w:tc>
          <w:tcPr>
            <w:tcW w:w="973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Major European Country </w:t>
            </w:r>
            <w:r>
              <w:rPr>
                <w:rFonts w:ascii="Times New Roman" w:hAnsi="Times New Roman"/>
                <w:sz w:val="20"/>
              </w:rPr>
              <w:t xml:space="preserve">means each of the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1.49</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Marketing Authorization </w:t>
            </w:r>
            <w:r>
              <w:rPr>
                <w:rFonts w:ascii="Times New Roman" w:hAnsi="Times New Roman"/>
                <w:sz w:val="20"/>
              </w:rPr>
              <w:t xml:space="preserve">means the approvals from the relevant Regulatory Authority necessary to market and sell a respective Developed Product or Licensed Product in a given country or jurisdiction in the Licensed Territory, including pricing approval by a Governmental Authority in any country or jurisdiction in the Licensed Territory where such pricing approval is necessary to market and sell a respective Developed Product or Licensed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1.50</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 Anderson </w:t>
            </w:r>
            <w:r>
              <w:rPr>
                <w:rFonts w:ascii="Times New Roman" w:hAnsi="Times New Roman"/>
                <w:sz w:val="20"/>
              </w:rPr>
              <w:t xml:space="preserve">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1.51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 Anderson Technology </w:t>
            </w:r>
            <w:r>
              <w:rPr>
                <w:rFonts w:ascii="Times New Roman" w:hAnsi="Times New Roman"/>
                <w:sz w:val="20"/>
              </w:rPr>
              <w:t xml:space="preserve">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1.52</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MDA Exclusive IP </w:t>
            </w:r>
            <w:r>
              <w:rPr>
                <w:rFonts w:ascii="Times New Roman" w:hAnsi="Times New Roman"/>
                <w:sz w:val="20"/>
              </w:rPr>
              <w:t xml:space="preserve">means Board’s rights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1.53</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MDA Licensed IP </w:t>
            </w:r>
            <w:r>
              <w:rPr>
                <w:rFonts w:ascii="Times New Roman" w:hAnsi="Times New Roman"/>
                <w:sz w:val="20"/>
              </w:rPr>
              <w:t xml:space="preserve">means MDA Exclusive IP, MDA Non-exclusive IP and Additional MDA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1.54</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MDA Non-exclusive IP </w:t>
            </w:r>
            <w:r>
              <w:rPr>
                <w:rFonts w:ascii="Times New Roman" w:hAnsi="Times New Roman"/>
                <w:sz w:val="20"/>
              </w:rPr>
              <w:t xml:space="preserve">means Board’s rights in the technology described on Appendix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1.55</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MDA Patent Rights </w:t>
            </w:r>
            <w:r>
              <w:rPr>
                <w:rFonts w:ascii="Times New Roman" w:hAnsi="Times New Roman"/>
                <w:sz w:val="20"/>
              </w:rPr>
              <w:t xml:space="preserve">means patents and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1.56</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Multiple Indication Phase I Clinical Trial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6"/>
        <w:gridCol w:w="9729"/>
      </w:tblGrid>
      <w:tr>
        <w:trPr/>
        <w:tc>
          <w:tcPr>
            <w:tcW w:w="476" w:type="dxa"/>
            <w:tcBorders/>
          </w:tcPr>
          <w:p>
            <w:pPr>
              <w:pStyle w:val="TableContents"/>
              <w:bidi w:val="0"/>
              <w:spacing w:before="0" w:after="283"/>
              <w:jc w:val="left"/>
              <w:rPr/>
            </w:pPr>
            <w:r>
              <w:rPr/>
              <w:t>1.57</w:t>
            </w:r>
          </w:p>
        </w:tc>
        <w:tc>
          <w:tcPr>
            <w:tcW w:w="972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Sales </w:t>
            </w:r>
            <w:r>
              <w:rPr>
                <w:rFonts w:ascii="Times New Roman" w:hAnsi="Times New Roman"/>
                <w:sz w:val="20"/>
              </w:rPr>
              <w:t xml:space="preserve">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1.58</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New MD Anderson Technology </w:t>
            </w:r>
            <w:r>
              <w:rPr>
                <w:rFonts w:ascii="Times New Roman" w:hAnsi="Times New Roman"/>
                <w:sz w:val="20"/>
              </w:rPr>
              <w:t xml:space="preserve">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1.59</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New Obsidian Technology </w:t>
            </w:r>
            <w:r>
              <w:rPr>
                <w:rFonts w:ascii="Times New Roman" w:hAnsi="Times New Roman"/>
                <w:sz w:val="20"/>
              </w:rPr>
              <w:t xml:space="preserve">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1.60</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Obsidian Technology </w:t>
            </w:r>
            <w:r>
              <w:rPr>
                <w:rFonts w:ascii="Times New Roman" w:hAnsi="Times New Roman"/>
                <w:sz w:val="20"/>
              </w:rPr>
              <w:t xml:space="preserve">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1.61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Party </w:t>
            </w:r>
            <w:r>
              <w:rPr>
                <w:rFonts w:ascii="Times New Roman" w:hAnsi="Times New Roman"/>
                <w:sz w:val="20"/>
              </w:rPr>
              <w:t xml:space="preserve">and </w:t>
            </w:r>
            <w:r>
              <w:rPr>
                <w:rFonts w:ascii="Times New Roman" w:hAnsi="Times New Roman"/>
                <w:b/>
                <w:sz w:val="20"/>
              </w:rPr>
              <w:t xml:space="preserve">Parties </w:t>
            </w:r>
            <w:r>
              <w:rPr>
                <w:rFonts w:ascii="Times New Roman" w:hAnsi="Times New Roman"/>
                <w:sz w:val="20"/>
              </w:rPr>
              <w:t xml:space="preserve">have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1.62</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Past Patent Expenses </w:t>
            </w:r>
            <w:r>
              <w:rPr>
                <w:rFonts w:ascii="Times New Roman" w:hAnsi="Times New Roman"/>
                <w:sz w:val="20"/>
              </w:rPr>
              <w:t xml:space="preserve">has the meaning set forth in Section 3.1(a).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1.63</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Patent Challenge </w:t>
            </w:r>
            <w:r>
              <w:rPr>
                <w:rFonts w:ascii="Times New Roman" w:hAnsi="Times New Roman"/>
                <w:sz w:val="20"/>
              </w:rPr>
              <w:t xml:space="preserve">has the meaning set forth in Section 13.9.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1.64</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Patent Expenses </w:t>
            </w:r>
            <w:r>
              <w:rPr>
                <w:rFonts w:ascii="Times New Roman" w:hAnsi="Times New Roman"/>
                <w:sz w:val="20"/>
              </w:rPr>
              <w:t xml:space="preserve">means reasonable out-of-pocket expenses incurred by MD Anderson in preparing (including conducting prior art searches with the advance written consent of Obsidian, such consent not to be unreasonably withheld), filing, prosecuting (including any type of post-grant or post-issuance proceedings), defending, and maintaining patent applications and patents for New MD Anderson Technology and the technology listed on Appendix 1. For clarity, Patent Expenses will not include any expenses relating to the filing, prosecuting, defending, or maintaining of any patent application or patent within the MDA Non-exclusive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1.65</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Person </w:t>
            </w:r>
            <w:r>
              <w:rPr>
                <w:rFonts w:ascii="Times New Roman" w:hAnsi="Times New Roman"/>
                <w:sz w:val="20"/>
              </w:rPr>
              <w:t xml:space="preserve">means any individual, partnership, joint venture, limited liability company, corporation, firm, trust, association, unincorporated organization, Governmental Authority or agency, or any other entity not specifically listed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1.66</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Phase I Clinical Trial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introduction into humans of a product with the purpose of determining human toxicity, metabolism, absorption, elimination and other pharmacological action, as more fully defined by the rules and regulations of the FDA, including 21 C.F.R. § 312.21(a) or any future revisions or substitutes therefor;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similar clinical trial in any national jurisdiction other than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emphasis of a Phase I Clinical Trial is on the safety and tolerability of a product and is used to plan patient dosing in a Phase II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1.67</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b/>
                <w:sz w:val="20"/>
              </w:rPr>
              <w:t>Phase II Clinical Trial</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early controlled clinical studies conducted to obtain preliminary data on the effectiveness of a product for a particular indication, as more specifically defined by the rules and regulations of the FDA, including 21 C.F.R. § 312.21(b) or any future revisions or substitutes therefor;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clinical trial that obtains data regarding the efficacy of a product, including without limitation Phase Ib clinical trial of a product, a clinical trial of a product consisting of a cohort expansion, or a combined Phase Ib/II clinical trial of a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clinical trial similar to the foregoing (a) or (b) in any jurisdiction other than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when the safety and tolerability of a product has been established through the conduct of a Phase I Clinical Trial, the next clinical trial of a product will be a Phase II Clinical Trial unless such clinical trial qualified as a Phase III Clinical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1.68</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b/>
                <w:sz w:val="20"/>
              </w:rPr>
              <w:t>Phase III Clinical Trial</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clinical trials that are conducted to gather the additional information about effectiveness and safety that is needed to evaluate the overall benefit-risk relationship of a product for that portion of the FDA submission and approval process defined by the rules and regulations of the FDA pursuant to 21 C.F.R. § 312.21(c) or any future revisions or substitutes therefor;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similar clinical trial in any national jurisdiction other than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1.69</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Practitioner Inventors </w:t>
            </w:r>
            <w:r>
              <w:rPr>
                <w:rFonts w:ascii="Times New Roman" w:hAnsi="Times New Roman"/>
                <w:sz w:val="20"/>
              </w:rPr>
              <w:t xml:space="preserve">has the meaning set forth in Section 1.75.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1.70</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Proceeding </w:t>
            </w:r>
            <w:r>
              <w:rPr>
                <w:rFonts w:ascii="Times New Roman" w:hAnsi="Times New Roman"/>
                <w:sz w:val="20"/>
              </w:rPr>
              <w:t xml:space="preserve">means any action, suit, litigation, arbitration, proceeding (including any civil, criminal, administrative, investigative or appellate proceeding), prosecution, contest, hearing, inquiry, inquest, audit, examination or investigation that is, has been or may in the future be commenced, brought, conducted or heard at law or in equity or before any Governmental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1.71</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Protected Health Information </w:t>
            </w:r>
            <w:r>
              <w:rPr>
                <w:rFonts w:ascii="Times New Roman" w:hAnsi="Times New Roman"/>
                <w:sz w:val="20"/>
              </w:rPr>
              <w:t xml:space="preserve">has the meaning set forth in HIPAA.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1.72</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Refunded Amount </w:t>
            </w:r>
            <w:r>
              <w:rPr>
                <w:rFonts w:ascii="Times New Roman" w:hAnsi="Times New Roman"/>
                <w:sz w:val="20"/>
              </w:rPr>
              <w:t xml:space="preserve">has the meaning set forth in Section 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1.73</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Registrational Trial </w:t>
            </w:r>
            <w:r>
              <w:rPr>
                <w:rFonts w:ascii="Times New Roman" w:hAnsi="Times New Roman"/>
                <w:sz w:val="20"/>
              </w:rPr>
              <w:t xml:space="preserve">means, with respect to a Developed Product or a Licensed Product, any human, multi-site clinical trial (whether or not designated a Phase I Clinical Trial, a Phase II Clinical Trial, or Phase III Clinical Trial) for such Developed Product or Licensed Product on a sufficient number of subjects: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which, together with prior data and information concerning such product, are intended to establish that such product is safe and effective for its intended use in the United States;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forms the basis (alone or with one or more additional Clinical Trials) of an effectiveness claim in support of Marketing Authorization for such product.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clarity, the following shall be deemed to be a Registrational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Phase III Clinical Trial;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Phase II Clinical Trial, the data from which is intended to serve as the basis for an effectiveness claim in support of a filing for Marketing Authorization, in which case, for purposes of the Development Milestone Payment for the “Initiation of Registrational Trial” Development Milestone Event, such Registrational Trial will be deemed to have been Initiated upon the filing of the applicable filing for Marketing Authorization that is supported by the data from such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1.74</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Regulatory Authority </w:t>
            </w:r>
            <w:r>
              <w:rPr>
                <w:rFonts w:ascii="Times New Roman" w:hAnsi="Times New Roman"/>
                <w:sz w:val="20"/>
              </w:rPr>
              <w:t xml:space="preserve">means any federal, national, multinational, regional, state, provincial or local regulatory agency, department, bureau, commission, council or other governmental or quasi-governmental entity with authority over the testing, manufacture, use, storage, import, promotion, marketing, pricing and reimbursement approval, or sale of drug products in a country or territory, including the FDA, EMA and any corresponding national or regional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
        <w:gridCol w:w="9756"/>
      </w:tblGrid>
      <w:tr>
        <w:trPr/>
        <w:tc>
          <w:tcPr>
            <w:tcW w:w="449" w:type="dxa"/>
            <w:tcBorders/>
          </w:tcPr>
          <w:p>
            <w:pPr>
              <w:pStyle w:val="TableContents"/>
              <w:bidi w:val="0"/>
              <w:spacing w:before="0" w:after="283"/>
              <w:jc w:val="left"/>
              <w:rPr/>
            </w:pPr>
            <w:r>
              <w:rPr/>
              <w:t>1.75</w:t>
            </w:r>
          </w:p>
        </w:tc>
        <w:tc>
          <w:tcPr>
            <w:tcW w:w="975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Royalty-Free Practitioner </w:t>
            </w:r>
            <w:r>
              <w:rPr>
                <w:rFonts w:ascii="Times New Roman" w:hAnsi="Times New Roman"/>
                <w:sz w:val="20"/>
              </w:rPr>
              <w:t>means MD Anderson and the following individuals: [***] and any inventor or creator of MDA Licensed IP that practices medicine or prescribes medication (“</w:t>
            </w:r>
            <w:r>
              <w:rPr>
                <w:rFonts w:ascii="Times New Roman" w:hAnsi="Times New Roman"/>
                <w:sz w:val="20"/>
                <w:u w:val="single"/>
              </w:rPr>
              <w:t>Practitioner Inventors</w:t>
            </w:r>
            <w:r>
              <w:rPr>
                <w:rFonts w:ascii="Times New Roman" w:hAnsi="Times New Roman"/>
                <w:sz w:val="20"/>
              </w:rPr>
              <w:t xml:space="preserve">”), and any partner or associate who practices medicine with one or more of the foregoing individuals, but with respect to such partner or associate, only for such time as he/she is engaged in a bona fide medical practice with one or more of the Practitioner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1.76</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Royalty Term </w:t>
            </w:r>
            <w:r>
              <w:rPr>
                <w:rFonts w:ascii="Times New Roman" w:hAnsi="Times New Roman"/>
                <w:sz w:val="20"/>
              </w:rPr>
              <w:t xml:space="preserve">means, on a country-by-country or jurisdiction-by-jurisdiction and Licensed Product-by-Licensed Product or Developed Product-by-Developed Product basis, the period commencing on the First Commercial Sale of such product and continuing until the date that is [***] from First Commercial Sale of such Developed Product or Licensed Product in such country or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1.77</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Sale </w:t>
            </w:r>
            <w:r>
              <w:rPr>
                <w:rFonts w:ascii="Times New Roman" w:hAnsi="Times New Roman"/>
                <w:sz w:val="20"/>
              </w:rPr>
              <w:t xml:space="preserve">or </w:t>
            </w:r>
            <w:r>
              <w:rPr>
                <w:rFonts w:ascii="Times New Roman" w:hAnsi="Times New Roman"/>
                <w:b/>
                <w:sz w:val="20"/>
              </w:rPr>
              <w:t xml:space="preserve">Sold </w:t>
            </w:r>
            <w:r>
              <w:rPr>
                <w:rFonts w:ascii="Times New Roman" w:hAnsi="Times New Roman"/>
                <w:sz w:val="20"/>
              </w:rPr>
              <w:t xml:space="preserve">means the transfer or disposition of a Developed Product or Licensed Product for value; provided, however, that a transfer or disposition of a Developed Product or Licensed Product for value shall not be included in Sales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is to Licensee or a Sublicensee for resale and not for end use by Licensee or a Sublicensee;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is to a Royalty-Free Practitioner.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1.78</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Sales Milestone Event </w:t>
            </w:r>
            <w:r>
              <w:rPr>
                <w:rFonts w:ascii="Times New Roman" w:hAnsi="Times New Roman"/>
                <w:sz w:val="20"/>
              </w:rPr>
              <w:t xml:space="preserve">has the meaning set forth in Section 3.1(d).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1.79</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Sales Milestone Payment </w:t>
            </w:r>
            <w:r>
              <w:rPr>
                <w:rFonts w:ascii="Times New Roman" w:hAnsi="Times New Roman"/>
                <w:sz w:val="20"/>
              </w:rPr>
              <w:t xml:space="preserve">has the meaning set forth in Section 3.1(d).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1.80</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SEC </w:t>
            </w:r>
            <w:r>
              <w:rPr>
                <w:rFonts w:ascii="Times New Roman" w:hAnsi="Times New Roman"/>
                <w:sz w:val="20"/>
              </w:rPr>
              <w:t xml:space="preserve">means the U.S. Securities and Exchange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1.81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Skipped Indication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1.82</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Skipped Milestone Event </w:t>
            </w:r>
            <w:r>
              <w:rPr>
                <w:rFonts w:ascii="Times New Roman" w:hAnsi="Times New Roman"/>
                <w:sz w:val="20"/>
              </w:rPr>
              <w:t xml:space="preserve">has the meaning set forth in Section 3.1(c).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1.83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Sublicense Agreement </w:t>
            </w:r>
            <w:r>
              <w:rPr>
                <w:rFonts w:ascii="Times New Roman" w:hAnsi="Times New Roman"/>
                <w:sz w:val="20"/>
              </w:rPr>
              <w:t xml:space="preserve">means any agreement or arrangement pursuant to which Licensee (or a Sublicensee) grants any of the license rights granted to the Licensee under this Agreement. An assignment of all rights and obligations under this Agreement shall not be deemed to be a Sublicense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1.84</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Sublicensee </w:t>
            </w:r>
            <w:r>
              <w:rPr>
                <w:rFonts w:ascii="Times New Roman" w:hAnsi="Times New Roman"/>
                <w:sz w:val="20"/>
              </w:rPr>
              <w:t xml:space="preserve">means any entity to whom an express sublicense of any MDA Licensed IP has been granted under any Sublicense Agreement. For clarity, a Third Party wholesaler or distributor who does not pay any consideration to Licensee or a Sublicensee for such wholesale or distributor rights, shall not be deemed a Sublicensee, and the resale by such a wholesaler or distributor shall not be treated as royalty-bearing Sales by a Sublicensee provided that a royalty is being paid to MD Anderson by Licensee for the initial transfer to the wholesaler or distributor pursuant to Section 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1.85</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System </w:t>
            </w:r>
            <w:r>
              <w:rPr>
                <w:rFonts w:ascii="Times New Roman" w:hAnsi="Times New Roman"/>
                <w:sz w:val="20"/>
              </w:rPr>
              <w:t xml:space="preserve">has the meaning set forth in the preamble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1.86</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 </w:t>
            </w:r>
            <w:r>
              <w:rPr>
                <w:rFonts w:ascii="Times New Roman" w:hAnsi="Times New Roman"/>
                <w:sz w:val="20"/>
              </w:rPr>
              <w:t xml:space="preserve">means any form of tax or taxation, levy, duty, charge, contribution or withholding of whatever nature (including any fine, penalty, surcharge or interest related to any tax owed by Licensor) imposed by, or payable to, any government, state or municipality, or any local, state, federal or other fiscal, revenue, customs, or excise authority, body or official in the Licensed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1.87</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Term </w:t>
            </w:r>
            <w:r>
              <w:rPr>
                <w:rFonts w:ascii="Times New Roman" w:hAnsi="Times New Roman"/>
                <w:sz w:val="20"/>
              </w:rPr>
              <w:t xml:space="preserve">has the meaning set forth in Section 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1.88</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Third Party </w:t>
            </w:r>
            <w:r>
              <w:rPr>
                <w:rFonts w:ascii="Times New Roman" w:hAnsi="Times New Roman"/>
                <w:sz w:val="20"/>
              </w:rPr>
              <w:t xml:space="preserve">means any Person other than MD Anderson, Licensee, or their respective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1.89</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Third Party Infringement Claim </w:t>
            </w:r>
            <w:r>
              <w:rPr>
                <w:rFonts w:ascii="Times New Roman" w:hAnsi="Times New Roman"/>
                <w:sz w:val="20"/>
              </w:rPr>
              <w:t xml:space="preserve">has the meaning set forth in Section 5.7.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pPr>
            <w:r>
              <w:rPr/>
              <w:t>1.90</w:t>
            </w:r>
          </w:p>
        </w:tc>
        <w:tc>
          <w:tcPr>
            <w:tcW w:w="9764"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TIL </w:t>
            </w:r>
            <w:r>
              <w:rPr>
                <w:rFonts w:ascii="Times New Roman" w:hAnsi="Times New Roman"/>
                <w:sz w:val="20"/>
              </w:rPr>
              <w:t xml:space="preserve">means tumor-infiltrating lymphocyte.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1.91</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U.S. Government </w:t>
            </w:r>
            <w:r>
              <w:rPr>
                <w:rFonts w:ascii="Times New Roman" w:hAnsi="Times New Roman"/>
                <w:sz w:val="20"/>
              </w:rPr>
              <w:t xml:space="preserve">means the Government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1"/>
        <w:gridCol w:w="9724"/>
      </w:tblGrid>
      <w:tr>
        <w:trPr/>
        <w:tc>
          <w:tcPr>
            <w:tcW w:w="481" w:type="dxa"/>
            <w:tcBorders/>
          </w:tcPr>
          <w:p>
            <w:pPr>
              <w:pStyle w:val="TableContents"/>
              <w:bidi w:val="0"/>
              <w:spacing w:before="0" w:after="283"/>
              <w:jc w:val="left"/>
              <w:rPr/>
            </w:pPr>
            <w:r>
              <w:rPr/>
              <w:t>1.92</w:t>
            </w:r>
          </w:p>
        </w:tc>
        <w:tc>
          <w:tcPr>
            <w:tcW w:w="9724" w:type="dxa"/>
            <w:tcBorders/>
          </w:tcPr>
          <w:p>
            <w:pPr>
              <w:pStyle w:val="TableContents"/>
              <w:bidi w:val="0"/>
              <w:spacing w:before="0" w:after="0"/>
              <w:jc w:val="left"/>
              <w:rPr>
                <w:rFonts w:ascii="Times New Roman" w:hAnsi="Times New Roman"/>
                <w:sz w:val="20"/>
              </w:rPr>
            </w:pPr>
            <w:r>
              <w:rPr>
                <w:rFonts w:ascii="Times New Roman" w:hAnsi="Times New Roman"/>
                <w:b/>
                <w:sz w:val="20"/>
              </w:rPr>
              <w:t>Valid Claim</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claim of an issued patent included within the MDA Patent Rights in the Licensed Territory, which claim has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expired, lapsed, been canceled, been dedicated to the public, been disclaimed or become abandoned,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been declared unpatentable, invalid, unenforceable, revoked, or canceled by a final, unappealable (or unappealed, within the time period prescribed by Applicable Law) decision or judgment of a court or other appropriate body or authority of competent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been admitted to be invalid or unenforceable;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claim of a pending application included within the MDA Patent Rights in the Licensed Territory, which claim has not been canceled, withdrawn, abandoned or disallowed without the possibility of appeal or re-filing of the application and that has not been continuously pending for more than [***] from the earliest priority date from which such claim takes priority, unless and until such claim becomes an issued claim of an issued patent in which case it shall again be considered a Valid Claim under clause (a) above.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II. License &amp; Commercialization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through MD Anderson, hereby grants to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exclusive, sublicensable license (through multiple tiers), under MDA Exclusive IP to make, have made, use, sell, offer for sale, import, develop, and commercialize Developed Products and Licensed Products for use in the Licensed Field in the Licensed Territory; provided, however, that such exclusive license shall be subject to the terms and conditions of this Agreement and shall be further subject to the following rights retained by Board and MD Anderson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publish the general scientific findings from research related to MDA Exclusive 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the MDA Exclusive IP for patient care, research, teaching, and other academically-related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MDA Exclusive IP to academic or research institutions for non-commercial research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non-exclusive, sublicensable license (through multiple tiers), under MDA Non-exclusive IP to make, have made, use, sell, offer for sale, import, develop, and commercialize Developed Products and Licensed Products for use in the Licensed Field in the Licensed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non-exclusive, sublicensable license (through multiple tiers) under Additional MDA IP to practice New MDA Technology in order to make, have made, use, sell, offer for sale, import, develop, and commercialize Developed Products and Licensed Products for use in the Licensed Field in the Licensed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license grants in Section 2.1 are subject to Sections 12.5 – 12.7. Any exercise by Licensee (or a Sublicensee) of the license grants set forth in Section 2.1, outside the scope of either the Licensed Territory or Licensed Field, or in violation of this Section 2.2, shall be deemed a breach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will, not later than [***] after MD Anderson’s receipt of Licensee’s written request delivered pursuant to Section 13.2 hereof, transfer to either Licensee or its designee, [***], all existing documentation and records of MD Anderson used by MD Anderson or its Affiliates for, or that are in the possession of MD Anderson and are otherwise necessary for, the filing of regulatory submissions in support of Clinical Trials of Licensed Products and Developed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from time to time, at Licensee’s reasonable request, MD Anderson will transfer to either Licensee or its designee, at Licensee’s reasonable cost and expense, any such documentation and records to the extent not already transferred to Licensee or its designee under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To assist Licensee with the transfer of the foregoing documentation and records and to enable Licensee to file regulatory submissions in support of Clinical Trials for Licensed Products and Developed Products, MD Anderson will make its personnel reasonably available to Licensee during normal business hours to respond to Licensee’s inquiries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has the right to grant sublicenses under the MDA Licensed IP in Sublicense Agreements that are consistent with the terms of this Agreement, subject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Sublicense Agreement shall not exceed the scope and rights granted to Licensee hereunder. Each Sublicensee must agree in writing to be bound by terms and conditions consistent with the terms of this Agreement that are applicable to a Sublicensee hereunder and shall agree that Board and MD Anderson are third party beneficiaries of the Sublicense Agreement. In the event of termination of this Agreement, continued sublicense rights shall be governed by Section 2.5. Licensee may grant a Sublicensee the right to grant further sub-Sublicense Agreements consistent with this Agreement, in which case such sub-Sublicense Agreements shall be treated as “Sublicense Agreements” and such sub-Sublicensees shall be treated as “Sublicensees” for purposes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deliver to MD Anderson a complete and accurate copy of each Sublicense Agreement granted by Licensee or Sublicensee, and any modification or termination thereof, within [***] following the applicable execution, modification, or termination of such Sublicense Agreement. If the Sublicense Agreement is not in English, Licensee shall provide MD Anderson an accurate English translation in addition to a copy of the original agreement. Sublicense Agreements shall be treated as Licensee’s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such Sublicense Agreement, Licensee will remain primarily liable to Board and MD Anderson for all of the Licensee’s duties and obligations contained in this Agreement, including without limitation the payment of running royalties due under Section 3.1(b) whether or not paid to Licensee by a Sublicensee. Any act or omission of a Sublicensee that would be a breach of this Agreement if performed by Licensee will be deemed to be a breach by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permitted sublicense of the licenses granted to Licensee under this Agreement will, at the applicable Sublicensee’s option, survive termination of this Agreement; provided that such applicable Sublicensee is not, at the time of termination of this Agreement, in material breach of any of its obligations under the applicable Sublicense Agreement. In order to effect this provision, at the request of the Sublicensee within [***] following the termination of this Agreement, Board will enter into a direct license with the Sublicensee on terms that are substantially the same terms as the applicable terms of this Agreement but with a scope of such license limited, if applicable, to match the scope of the applicable sublicense and with retroactive effectiveness to the date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termination of this Agreement, </w:t>
            </w:r>
            <w:r>
              <w:rPr>
                <w:u w:val="single"/>
              </w:rPr>
              <w:t>provided</w:t>
            </w:r>
            <w:r>
              <w:rPr/>
              <w:t xml:space="preserve"> that Board will not be required to undertake obligations in addition to those required by this Agreement, and Board’s rights under such direct license will be consistent with its rights under this Agreement, taking into account the scope of the license granted under such direct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itself or through its Sublicensees, shall use Commercially Reasonable Efforts to actively develop and seek Marketing Authorization for Developed Products and Licensed Products and commercialize each Developed Product and Licensed Product in any country where Licensee or its Sublicensee obtains Marketing Authorization for the sale of such Developed Product or Licensed Product. Without limiting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itself or through its Sublicensees, shall obtain Marketing Authorization for at least one (1) Developed Product or Licensed Product within [***] after the Effective Date; provided, however, that if Licensee cannot obtain such Marketing Authorization within such [***], Licensee may purchase up to [***] of [***] each by a payment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(each, an “</w:t>
            </w:r>
            <w:r>
              <w:rPr>
                <w:rFonts w:ascii="Times New Roman" w:hAnsi="Times New Roman"/>
                <w:sz w:val="20"/>
                <w:u w:val="single"/>
              </w:rPr>
              <w:t>Extension Fee</w:t>
            </w:r>
            <w:r>
              <w:rPr>
                <w:rFonts w:ascii="Times New Roman" w:hAnsi="Times New Roman"/>
                <w:sz w:val="20"/>
              </w:rPr>
              <w:t xml:space="preserve">”), upon written notice to MD Anderson requesting an extension and full payment of the applicable Extension Fee, prior to expiration of the applicable deadline. Time is of the essence with respect to payment of any Extension Fee, and failure to timely pay an Extension Fee shall be subject to a [***] cure period beginning on the date on which Board notifies Licensee of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MD Anderson shall have the right to terminate this Agreement if Licensee does not have an active program to develop or commercialize a Developed Product or a Licensed Product in any of (i) [***] or (ii) [***] within [***] after the Effective Date and does not cure such failure within [***] of notice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 following each anniversary of the Effective Date, Licensee will deliver to MD Anderson a written progress report summarizing Licensee’s (and any Sublicensee’s) efforts and accomplishments during the preceding year in diligently developing or commercializing Developed Products and Licensed Products in the Licensed Territory and Licensee’s (and Sublicensees’) commercialization plans for Developed Products and Licensed Products in the upcoming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shall periodically amend this Agreement to update the Appendices to reflect the then-current status thereof. The Parties shall periodically amend Appendices 3 and 4, respectively, to list any Jointly Owned Developed Product IP and the New MD Anderson Technology that are licensed under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III. Consideration, Payments and Sales Reports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consideration of rights granted by Board to Licensee under this Agreement, Licensee agrees to pay MD Anderson each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Patent Expenses</w:t>
            </w:r>
            <w:r>
              <w:rPr>
                <w:rFonts w:ascii="Times New Roman" w:hAnsi="Times New Roman"/>
                <w:sz w:val="20"/>
              </w:rPr>
              <w:t>. Subject to Section 4.3(c), all Patent Expenses described in Section 4.1 incurred by or for MD Anderson before or after the Effective Date for so long as this Agreement remains in effect. As of the Effective Date, the Patent Expenses incurred by or for MD Anderson total $24,591.50 (“</w:t>
            </w:r>
            <w:r>
              <w:rPr>
                <w:rFonts w:ascii="Times New Roman" w:hAnsi="Times New Roman"/>
                <w:sz w:val="20"/>
                <w:u w:val="single"/>
              </w:rPr>
              <w:t>Past Patent</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MD Anderson will invoice Licensee for Patent Expenses incurred as of the Effective Date and for each Calendar Quarter thereafter. The invoiced amounts will be due and payable by Licensee within [***] of the later of the Effective Date and Licensee’s receipt of the applicable invoice.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in this Section 3.1(a), if Board, on behalf of MD Anderson, enters into one or more license agreement(s) with any Third Party under any patent rights for which Licensee has an obligation to reimburse Patent Expenses under this Agreement, then beginning on the effective date of each such Third Party license agreement, Licensee shall be responsible for paying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Running Royalties</w:t>
            </w:r>
            <w:r>
              <w:rPr>
                <w:rFonts w:ascii="Times New Roman" w:hAnsi="Times New Roman"/>
                <w:sz w:val="20"/>
              </w:rPr>
              <w:t xml:space="preserve">. A running royalty on Net Sales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expiration (but not early termination) of a Royalty Term for a particular Developed Product or Licensed Product in a country, on a product-by-product and country-by-country basis, the license granted to Licensee in such country for such Developed Product or Licensed Product will become fully-paid and perpetual, and no further royalty shall be due for Net Sales of such Developed Product or Licensed Product in such country; provided, however, that early termination of this Agreement shall immediately terminate any Royalty Term that has not expired as of effective date of termination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Development Milestones</w:t>
            </w:r>
            <w:r>
              <w:rPr>
                <w:rFonts w:ascii="Times New Roman" w:hAnsi="Times New Roman"/>
                <w:sz w:val="20"/>
              </w:rPr>
              <w:t xml:space="preserve">. Each Development Milestone Payment upon achievement of each Development Milestone Event (as set forth on Exhibit B), regardless of whether the milestone is achieved by, or on behalf of, Licensee or a Sublicensee, subject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Developed Products</w:t>
            </w:r>
            <w:r>
              <w:rPr>
                <w:rFonts w:ascii="Times New Roman" w:hAnsi="Times New Roman"/>
                <w:sz w:val="20"/>
              </w:rPr>
              <w:t xml:space="preserve">: For Developed Products, Development Milestone Payments shall be due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For clarity, if a Phase I Clinical Trial of a Developed Product Initiated by or on behalf of Licensee or a Sublicensee covers multiple Indications (such clinical trial, a “</w:t>
      </w:r>
      <w:r>
        <w:rPr>
          <w:rFonts w:ascii="Times New Roman" w:hAnsi="Times New Roman"/>
          <w:sz w:val="20"/>
          <w:u w:val="single"/>
        </w:rPr>
        <w:t>Multiple Indication Phase I Clinical Trial</w:t>
      </w:r>
      <w:r>
        <w:rPr>
          <w:rFonts w:ascii="Times New Roman" w:hAnsi="Times New Roman"/>
          <w:sz w:val="20"/>
        </w:rPr>
        <w:t>”), then Licensee [***] (a “</w:t>
      </w:r>
      <w:r>
        <w:rPr>
          <w:rFonts w:ascii="Times New Roman" w:hAnsi="Times New Roman"/>
          <w:sz w:val="20"/>
          <w:u w:val="single"/>
        </w:rPr>
        <w:t>Skipped Indication</w:t>
      </w: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Licensed Products</w:t>
            </w:r>
            <w:r>
              <w:rPr>
                <w:rFonts w:ascii="Times New Roman" w:hAnsi="Times New Roman"/>
                <w:sz w:val="20"/>
              </w:rPr>
              <w:t xml:space="preserve">: For Licensed Products, Development Milestone Payments shall be due on a Licensed Product-by-Licensed Product basis, each fee due once per Licensed Product, regardless of the number of Indications.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Licensee shall notify MD Anderson in writing within [***] following achievement of any and each Development Milestone Event. Each Development Milestone Payment shall be made by Licensee to MD Anderson (without invoice) within [***] following Licensee’s receipt of a written notice from MD Anderson acknowledging MD Anderson’s agreement that the respective Development Milestone Event has been achieved following receipt by MD Anderson of notice of such achievement, and shall not reduce the amount of any other payment provided for in this Article III. </w:t>
      </w:r>
    </w:p>
    <w:p>
      <w:pPr>
        <w:pStyle w:val="TextBody"/>
        <w:bidi w:val="0"/>
        <w:spacing w:before="120" w:after="0"/>
        <w:jc w:val="left"/>
        <w:rPr>
          <w:rFonts w:ascii="Times New Roman" w:hAnsi="Times New Roman"/>
          <w:sz w:val="20"/>
        </w:rPr>
      </w:pPr>
      <w:r>
        <w:rPr>
          <w:rFonts w:ascii="Times New Roman" w:hAnsi="Times New Roman"/>
          <w:sz w:val="20"/>
        </w:rPr>
        <w:t>[***] (the “</w:t>
      </w:r>
      <w:r>
        <w:rPr>
          <w:rFonts w:ascii="Times New Roman" w:hAnsi="Times New Roman"/>
          <w:sz w:val="20"/>
          <w:u w:val="single"/>
        </w:rPr>
        <w:t>Skipped Milestone Event</w:t>
      </w:r>
      <w:r>
        <w:rPr>
          <w:rFonts w:ascii="Times New Roman" w:hAnsi="Times New Roman"/>
          <w:sz w:val="20"/>
        </w:rPr>
        <w:t>”), [***] (“</w:t>
      </w:r>
      <w:r>
        <w:rPr>
          <w:rFonts w:ascii="Times New Roman" w:hAnsi="Times New Roman"/>
          <w:sz w:val="20"/>
          <w:u w:val="single"/>
        </w:rPr>
        <w:t>Achieved Milestone Event</w:t>
      </w:r>
      <w:r>
        <w:rPr>
          <w:rFonts w:ascii="Times New Roman" w:hAnsi="Times New Roman"/>
          <w:sz w:val="20"/>
        </w:rPr>
        <w:t xml:space="preserve">”) and the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Sales Milestones</w:t>
            </w:r>
            <w:r>
              <w:rPr>
                <w:rFonts w:ascii="Times New Roman" w:hAnsi="Times New Roman"/>
                <w:sz w:val="20"/>
              </w:rPr>
              <w:t xml:space="preserve">. Each Sales Milestone Payment upon achievement of each Sales Milestone Event (as set forth on Exhibit C), regardless of whether the milestone is achieved by, or on behalf of, Licensee or a Sublicensee. Licensee shall notify MD Anderson in writing within [***] following achievement of any and each Sales Milestone Event. Each Sales Milestone Payment shall be made by Licensee to MD Anderson (without invoice) within [***] following Licensee’s receipt of a written notice from MD Anderson acknowledging MD Anderson’s agreement that the respective Sales Milestone Event has been achieved following receipt by MD Anderson of notice of such achievement and shall not reduce the amount of any other payment provided for in this Article III. Each Sales Milestone Payment shall be due on a one-time basis; provided, however, that in the event that Aggregate Annual Net Sales for a Calendar Year trigger more than one previously unpaid Sales Milestone Payments, then all such previously unpaid Sales Milestone Payments shall be due. As an illustration of the foregoing, and not as a limitation, if no Sales Milestone Payments have been previously triggered or paid but Aggregate Annual Net Sales for a given Calendar Year exceeds $[***], then Licensee shall owe MD Anderson Sales Milestone Payments of $[***] for such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Sublicensing</w:t>
            </w:r>
            <w:r>
              <w:rPr>
                <w:rFonts w:ascii="Times New Roman" w:hAnsi="Times New Roman"/>
                <w:sz w:val="20"/>
              </w:rPr>
              <w:t xml:space="preserve">. If Licensee enters into a Sublicense Agreement with a Third Party Sublicensee other than (i) an Affiliate of an existing Third Party Sublicensee or (ii) a Third Party Sublicensee that is solely acting on behalf of Licensee or another Third Party Sublicensee (e.g., as a subcontractor or distributor), then Licensee shall pay MD Anderson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clarity, if Licensee enters into a Sublicense Agreement with a Third Party Sublicensee pursuant to which Licensee grants a sublicense to a Third Party Sublicensee and its Affiliates, Licensee will have no obligation to make separate payments under this Section 3.1(e) with respect to the grant of a sublicense to any Affiliate of such Third Party Sublicensee.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only with respect to this subpart “e”, the term “Affiliate” shall mean with respect to a Sublicensee: (A) any Person of which, now or hereafter, more than fifty percent (50%) of the securities or other ownership interests representing the equity, the voting stock or general partnership interest are owned, controlled or held, directly or indirectly, by such Sublicensee; or (B) any Person which, now or hereafter, directly or indirectly, owns, controls or holds more than fifty percent (50%) (or the maximum ownership interest permitted by law) of the securities or other ownership interests representing the equity, the voting stock or, if applicable, the general partnership interest, of such Sublicensee; or (C) any Person of which, now or hereafter, more than fifty percent (50%) of the securities or other ownership interests representing the equity, the voting stock or general partnership interest are owned, controlled or held, directly or indirectly, by a Person described in (A) or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expressly provided otherwise in this Agreement, payments under this Agreement are due and payable within [***] after each Calendar Quarter during the Term, at which time Licensee will also deliver to MD Anderson a true and accurate report, giving such particulars of the business conducted by Licensee and any Sublicensees during the respective Calendar Quarter as necessary for MD Anderson to account for Licensee’s payments hereunder. This report will include pertinent data, including, but not limited to each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accounting methodologies used to account for and calculate the items included in the report and any differences in such accounting methodologies used by Licensee since the previous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list of Developed Products and Licensed Products produced for the respective Calendar Quarter categorized by the respective technology under MDA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quantities of Developed Products and Licensed Products produced by the category listed in Section 3.2(b).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Sales by the category listed in Section 3.2(b).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Net Sales,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royalties so computed and due MD Anderson by the category listed in Section 3.2(b).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consideration received from each Sublicensee and Sublicensing Consideration or other payments due MD Anderson.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amounts due MD Anderson herein,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Simultaneously with the delivery of each such report, Licensee agrees to pay MD Anderson the amount due, if any, for the period of such report. These reports are required even if no payments are due.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term of this Agreement and for [***] thereafter, Licensee agrees to keep complete and accurate records of its, and its Sublicensees’, Sales and Net Sales in sufficient detail to enable the royalties and other payments due hereunder to be determined. Licensee agrees to permit MD Anderson or its representatives, at MD Anderson’s expense, to periodically examine Licensee’s books, ledgers, and records during regular business hours for the purpose of and to the extent necessary to verify any report required under this Agreement. If any amounts due MD Anderson are determined to have been underpaid in an amount equal to or greater than [***] of the total amount due during the period so examined, then Licensee will pay the cost of the examination. Licensee shall pay accrued interest at the [***] on any and all late payments under this Agreement (regardless of whether the deficiency is identified by audit or otherwise), with such interest commencing on the date after the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All amounts payable hereunder by Licensee shall be made in United States Dollar denominated funds, free and clear and without any deduction, set-off, or reduction for or on account of any Tax (except as expressly permitted in accordance with the definition of “</w:t>
            </w:r>
            <w:r>
              <w:rPr>
                <w:rFonts w:ascii="Times New Roman" w:hAnsi="Times New Roman"/>
                <w:sz w:val="20"/>
                <w:u w:val="single"/>
              </w:rPr>
              <w:t>Net Sales</w:t>
            </w:r>
            <w:r>
              <w:rPr>
                <w:rFonts w:ascii="Times New Roman" w:hAnsi="Times New Roman"/>
                <w:sz w:val="20"/>
              </w:rPr>
              <w:t>”), fee or withholding of any nature now or hereafter imposed by any Governmental Authority or fiscal authority. If Licensee is compelled by law to make any such deduction, set-off, or reduction, it shall pay MD Anderson such additional amounts as are necessary to ensure receipt by MD Anderson of the full amounts payable hereunder that MD Anderson would have received but for the deduction, set-off or reduction (“</w:t>
            </w:r>
            <w:r>
              <w:rPr>
                <w:rFonts w:ascii="Times New Roman" w:hAnsi="Times New Roman"/>
                <w:sz w:val="20"/>
                <w:u w:val="single"/>
              </w:rPr>
              <w:t>Gross</w:t>
            </w:r>
            <w:r>
              <w:rPr>
                <w:rFonts w:ascii="Times New Roman" w:hAnsi="Times New Roman"/>
                <w:sz w:val="20"/>
              </w:rPr>
              <w:t xml:space="preserve"> </w:t>
            </w:r>
            <w:r>
              <w:rPr>
                <w:rFonts w:ascii="Times New Roman" w:hAnsi="Times New Roman"/>
                <w:sz w:val="20"/>
                <w:u w:val="single"/>
              </w:rPr>
              <w:t>Up</w:t>
            </w:r>
            <w:r>
              <w:rPr>
                <w:rFonts w:ascii="Times New Roman" w:hAnsi="Times New Roman"/>
                <w:sz w:val="20"/>
              </w:rPr>
              <w:t>”). In the event that Licensee pays a Gross Up to MD Anderson, MD Anderson shall reasonably cooperate with Licensee to execute forms required by a Governmental Authority or fiscal authority to claim such Gross Up was entitled to a Tax, levy, impost, duty, charge, fee or other withholding exemption. In the event MD Anderson receives a payment from a Governmental Authority or fiscal authority for the Gross Up (“</w:t>
            </w:r>
            <w:r>
              <w:rPr>
                <w:rFonts w:ascii="Times New Roman" w:hAnsi="Times New Roman"/>
                <w:sz w:val="20"/>
                <w:u w:val="single"/>
              </w:rPr>
              <w:t>Refunded</w:t>
            </w:r>
            <w:r>
              <w:rPr>
                <w:rFonts w:ascii="Times New Roman" w:hAnsi="Times New Roman"/>
                <w:sz w:val="20"/>
              </w:rPr>
              <w:t xml:space="preserve"> </w:t>
            </w:r>
            <w:r>
              <w:rPr>
                <w:rFonts w:ascii="Times New Roman" w:hAnsi="Times New Roman"/>
                <w:sz w:val="20"/>
                <w:u w:val="single"/>
              </w:rPr>
              <w:t>Amount</w:t>
            </w:r>
            <w:r>
              <w:rPr>
                <w:rFonts w:ascii="Times New Roman" w:hAnsi="Times New Roman"/>
                <w:sz w:val="20"/>
              </w:rPr>
              <w:t xml:space="preserve">”), it shall provide notice to Licensee of the Refunded Amount and Licensee shall be entitled to deduct the Refunded Amount from the amounts due MD Anderson for the next reporting and payment period as set forth in Section 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under this Agreement shall be by checks made payable to The University of Texas M. D. Anderson Cancer Center, and sent by United States mail to [***], or by ACH or wire transfer 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payments due or royalty rates owed under this Agreement will be reduced as the result of co-ownership of MDA Licensed IP by Board and another person or entity, including, but not limited to, Licensee.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IV. Patents and Inventions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3.1(a) and Section 4.3(c), Licensee shall be responsible for the payment and/or reimbursement of all Patent Expenses for (a) New MD Anderson Technology and (b) patents and patent applications for the technology listed on Appendix 1, in accordance with this Article IV.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have the sole right, but not the obligation, to prepare, file, prosecute, maintain, and defend patent applications and patents for any Jointly Owned Developed Product IP. Licensee shall be solely responsible for all expenses for preparing, filing, prosecuting (including any post-grant proceedings), maintaining, and defending patent applications and patents for Jointly Owned Developed Product IP. Licensee acknowledges that Board is a Texas state agency and that Applicable Law imposes various restrictions on selection of legal counsel that may represent Board’s interest for purposes of patent prosecution. Licensee and MD Anderson shall cooperate in good faith to select mutually agreeable legal counsel for Jointly Owned Developed Product IP. MD Anderson will reasonably cooperate with Licensee in providing information to Licensee regarding the requirements of the State of Texas, including the Texas Attorney General’s office and The University of Texas System, for seeking approval of a law firm (such as [***]) for the filing, prosecution, maintenance, and (to the extent authorized by the Texas Constitution and the laws of the State of Texas and subject to the statutory duties of the Texas Attorney General) defense of the respective patents and patent applications within the Jointly Owned Developed Product IP. With respect to patent applications and patents governed by this Section 4.2, Licensee shall, after giving good-faith consideration to MD Anderson’s comments, prepare and file appropriate patent applications, responses to office actions and the like using a mutually agreeable patent attorney. Licensee shall, either directly or through a mutually agreeable patent attorney, provide MD Anderson with a copy of any application or patent office response relating to the applicable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consultation, Licensee and MD Anderson agree that a new or additional patent application should be filed for New MD Anderson Technology, or patents and patent applications for the technology listed on Appendix 1, MD Anderson will prepare and file appropriate patent applications, and Licensee will, subject to Section 3.1(a), pay the related Patent Expenses, subject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such application, MD Anderson shall provide Licensee a reasonable opportunity to review all applicable patent applications, responses to office actions and the like prior to filing, and will give good-faith consideration to Licensee’s comments thereon and incorporate Licensee’s reasonable comments thereon. In addition, MD Anderson shall prepare and file applicable patent applications, responses to office actions and the like using a mutually agreeable patent attorney. Licensee acknowledges and agrees that (a) MD Anderson has and/or may have other Third Party licensees outside the Licensed Field of this Agreement; (b) MD Anderson shall, during prosecution, have the right to accommodate the prosecution requirements and requests of such other licensees, to the extent the exercise of such right is not in conflict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shall not be obligated to file an application or response unless Licensee timely sends written notice to MD Anderson requesting such filing be made, which written notice shall be deemed to be timely sent if received by MD Anderson at least [***] prior to the applicable filing deadline, provided that MD Anderson shall have notified Licensee at least [***] prior to the applicable filing deadline.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Licensee notifies MD Anderson that it does not intend to pay the cost of an application or response governed by this Section 4.3, or if Licensee has not made any such payment within [***] following its receipt of the applicable invoice from MD Anderson, then MD Anderson may, in its sole discretion, elect to file such application or response at its own expense, or to abandon, not file and/or discontinue prosecution of such application without further notice to Licensee. If MD Anderson elects to file such application or response at its own expense, then the licenses granted in Section 2.1 shall thereafter exclude such patent application in the applicable country or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shall give reasonable notice to Licensee of any desire or intent to cease prosecution or maintenance of patents or patent applications within the New MD Anderson Technology, or the technology listed on Appendix 1, on a country-by-country basis, other than due to Licensee’s nonpayment of Patent Expenses, and MD Anderson shall not cease such prosecution or maintenance if Licensee notifies MD Anderson that Licensee will continue to fund prosecution and maintenance of such patents or patent applications and makes timely payments of related Patent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directly or through a mutually agreed patent attorney, will provide Licensee with a copy of any application or response for which Licensee is not in breach of its Patent Expenses reimbursement obligation under this Agreement, as well as copies of any patent office documents received or filed during prosecution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they share a common legal interest to get valid enforceable patents and that Licensee will keep all privileged information received pursuant to this Section 4.3 confidential.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shall not be obligated to file, prosecute or maintain any patent or patent application if Licensee is more than [***] in arrears with respect to any Patent Expenses or other payments hereunder. If Licensee is more than [***] in arrears on any payment due under this Agreement, MD Anderson, and the counsel prosecuting licensed patents and patent applications, shall have no obligation to confer or otherwise communicate with, or provide any information to, Licensee under this Article IV of this Agreement unless and until Licensee is no longer in arrears on all payments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cooperate with MD Anderson regarding any patent prosecution or patent maintenance matters or deadlines, including the timely provision of accurate information regarding its entity size status, and any changes thereto, in accordance with the regulations of the U.S. Patent and Trademark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all interferences, oppositions, administrative proceedings, appeals or petitions to any board in any patent office, appeals to any court for any patent office decisions, reissue proceedings, re-examination proceedings, inter partes reviews and post grant reviews with respect to a patent right shall be considered patent prosecution matters, and shall be addressed in accordance with this Article IV and Section 3.1(a).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V. Infringement by Third Parties; Defense against Third Party Infringement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Party has a reasonable belief that a Third Party is infringing or threatening to infringe a patent right that is exclusively licensed to Licensee in the Licensed Field under this Agreement, such Party shall promptly notify the other Party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Licensee wishes to enforce a patent exclusively licensed to Licensee in the Licensed Field under this Agreement in an effort to stop a Competitive Infringement,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contact MD Anderson and advise MD Anderson of its desire to enforce such patent. If appropriate, the Parties may enter into a separate common interest agreement to protect and facilitate discussions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MD Anderson, Licensee shall provide MD Anderson with evidence of the Competitive Infringement sufficient to determine the basis and extent of the alleged Competitive Infringement. Such evidence shall include, if requested by MD Anderson, a claim chart that identifies how each element or limitation of the respective patent exclusively licensed hereunder is satisfied by the accused product or method.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also provide MD Anderson with evidence and an explanation of any reasons asserted by Licensee why Licensee cannot assert an infringement action against the accused Competitive Infringement that is based solely on patents, other than the patents exclusively licensed to Licensee hereunder, that are owned or controlled (such as by license from a Third Party) by Licensee.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shall promptly review the information provided by Licensee pursuant to subsections (b) – (c) above. If MD Anderson agrees, based on a good faith analysis, that (i) the evidence provided by Licensee would support a finding of Competitive Infringement; (ii) Licensee cannot stop such Competitive Infringement by enforcing patents owned or controlled by Licensee that are not exclusively licensed to Licensee hereunder; and (iii) the evidence provided by Licensee is such that the filing of the requested infringement action to enforce a patent exclusively licensed in the Licensed Field hereunder would be consistent with the requirements of U.S. Federal Rule of Civil Procedure 11, then MD Anderson shall request that the Office of General Counsel of The University of Texas System seek permission from the Office of the Texas Attorney General for the Board and/or MD Anderson to join such an infringement action as a litigant.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MD Anderson does not believe in good faith that the information provided by Licensee pursuant to subsections (b) – (c) above supports the filing of a patent infringement action as described in subsection (d) above, MD Anderson shall inform Licensee of its determination, and Licensee may provide MD Anderson with additional information, that MD Anderson shall consider in good faith, in support of Licensee’s desire to file a lawsuit. Licensee shall not file a lawsuit to assert a patent exclusively licensed to Licensee hereunder unless MD Anderson and/or Board consents to such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MD Anderson and Licensee have a dispute about whether to file a lawsuit against a Competitive Infringement to enforce a patent exclusively licensed to Licensee in the Licensed Field hereunder, either Party shall have a right to refer such dispute to the respective senior executive officers, and such officers shall attempt in good faith to resolve such dispute. If the Parties are unable to resolve a given dispute pursuant to this section within [***] of referring such dispute to the senior executive officers, to the extent authorized by the Texas Constitution and the laws of the State of Texas and subject to the statutory duties of the Texas Attorney General, either Party thereafter may refer the dispute to third party mediation, by written notice to the other prior to the initiation of any judicial or administrative adjudicative proceeding.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judicial proceeding to enforce a patent exclusively licensed hereunder to Licensee, each Party may use legal counsel of its own choice and at its own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damages or monetary awards recovered with respect to a proceeding brought in accordance with Section 5.2 will be shared as follows: (i) the amount of such recovery will first be applied to each Parties’ reasonable out-of-pocket costs incurred in connection with such proceeding (which amounts will be allocated pro rata if insufficient to cover the totality of such expenses); and then (ii) any remaining monetary recovery (whether by judgment or settlement) shall be distributed as follows: [***] percent to Licensee, and [***] percent to MD Anderson.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infringement of a patent right within the Jointly Owned Developed Product IP that is not a Competitive Infringement, neither Party shall enforce any such patent right unless mutually agreed by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consult and cooperate in good faith with MD Anderson regarding strategy with respect to certifications, notices and patent enforcement procedures under the BPCIA, if applicable, including without limitation the listing of any MDA Patent Rights in any such procedure or engaging in any patent resolution provisions of the BPCIA.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any Third Party brings a claim or otherwise asserts that a Developed Product or Licensed Product infringes such Third Party’s patent rights or misappropriates such Third Party’s know-how (each, a “</w:t>
            </w:r>
            <w:r>
              <w:rPr>
                <w:rFonts w:ascii="Times New Roman" w:hAnsi="Times New Roman"/>
                <w:sz w:val="20"/>
                <w:u w:val="single"/>
              </w:rPr>
              <w:t>Third Party Infringement Claim</w:t>
            </w:r>
            <w:r>
              <w:rPr>
                <w:rFonts w:ascii="Times New Roman" w:hAnsi="Times New Roman"/>
                <w:sz w:val="20"/>
              </w:rPr>
              <w:t xml:space="preserv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Party first having notice of the claim or assertion will promptly notify the other Party in writing. Each Party will have the sole right to undertake and control the defense or settlement of any Third Party Infringement Claim against itself or its Affiliates using counsel of its choice, at its own expense. Licensee will not enter into any settlement of any Third Party Infringement Claim to the extent it is instituted or threatened to be instituted against Board or MD Anderson without Board’s prior written consent, which will not be unreasonably withheld, conditioned or delayed. Neither Board nor MD Anderson will enter into any settlement of any Third Party Infringement Claim to the extent it is instituted or threatened to be instituted against Licensee without Licensee’s prior written consent, which will not be unreasonably withheld, conditioned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and MD Anderson shall keep each other reasonably informed of the progress of any Third Party Infringement Claim and shall reasonably cooperate in the defense and resolution of such Third Party Infringement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13.13, each Party shall provide reasonable cooperation and assistance to the other Party. Licensee will reimburse Board for the reasonable out-of-pocket costs incurred by Board or MD Anderson in providing such assistance and cooperation to Licensee. To the extent reasonable, both Parties will cooperate in good faith to (i) attempt to procure for Licensee the ability to continue to commercialize Licensed Products and Developed Products and (ii) avoid or minimize any additional royalties on Licensed Products and Developed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VI. Patent Marking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agrees that all packaging containing individual Developed Products, Licensed Products, documentation therefor, and, when possible, actual Developed Products and/or Licensed Products sold by Licensee and/or Sublicensees will be appropriately marked with the number of any applicable patent(s) licensed hereunder in accordance with each country’s patent laws, including Title 35, United States Code, to the extent such marking is necessary or required to fully preserve MDA Patent Rights in each such country or the right to recover damages for infringement thereof.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VII. Indemnification and Insurance; Limitation of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LICENSEE AGREES TO HOLD HARMLESS, INDEMNIFY, AND, TO THE EXTENT AUTHORIZED BY THE TEXAS CONSTITUTION AND THE LAWS OF THE STATE OF TEXAS AND SUBJECT TO THE STATUTORY DUTIES OF THE TEXAS ATTORNEY GENERAL, DEFEND BOARD, SYSTEM, MD ANDERSON, THEIR REGENTS, OFFICERS, EMPLOYEES, STUDENTS AND AGENTS (THE “</w:t>
            </w:r>
            <w:r>
              <w:rPr>
                <w:rFonts w:ascii="Times New Roman" w:hAnsi="Times New Roman"/>
                <w:sz w:val="20"/>
                <w:u w:val="single"/>
              </w:rPr>
              <w:t>UT</w:t>
            </w:r>
            <w:r>
              <w:rPr>
                <w:rFonts w:ascii="Times New Roman" w:hAnsi="Times New Roman"/>
                <w:sz w:val="20"/>
              </w:rPr>
              <w:t xml:space="preserve"> </w:t>
            </w:r>
            <w:r>
              <w:rPr>
                <w:rFonts w:ascii="Times New Roman" w:hAnsi="Times New Roman"/>
                <w:sz w:val="20"/>
                <w:u w:val="single"/>
              </w:rPr>
              <w:t>INDEMNITEES</w:t>
            </w:r>
            <w:r>
              <w:rPr>
                <w:rFonts w:ascii="Times New Roman" w:hAnsi="Times New Roman"/>
                <w:sz w:val="20"/>
              </w:rPr>
              <w:t xml:space="preserve">”) FROM AND AGAINST ANY LIABILITY, LOSS, DAMAGE, COSTS OF SUIT AND REASONABLE ATTORNEY’S FEES (INCLUDING WITHOUT LIMITATION, SUCH COSTS ARISING ON ACCOUNT OF ANY INJURY OR DEATH OF PERSONS OR DAMAGE TO PROPERTY) IN CONNECTION WITH ANY THIRD PARTY SUIT, INVESTIGATION, CLAIM OR DEMAND CAUSED BY, OR ARISING OUT OF, OR RESULTING FROM, THE EXERCISE OR PRACTICE BY LICENSEE, ITS OFFICERS, ITS SUBLICENSEES, OR THEIR OFFICERS, EMPLOYEES, AGENTS, TRANSFEREES, OR REPRESENTATIVES, OF THE RIGHTS GRANTED UNDER THIS AGREEMENT, </w:t>
            </w:r>
            <w:r>
              <w:rPr>
                <w:rFonts w:ascii="Times New Roman" w:hAnsi="Times New Roman"/>
                <w:sz w:val="20"/>
                <w:u w:val="single"/>
              </w:rPr>
              <w:t>EXCEPT</w:t>
            </w:r>
            <w:r>
              <w:rPr>
                <w:rFonts w:ascii="Times New Roman" w:hAnsi="Times New Roman"/>
                <w:sz w:val="20"/>
              </w:rPr>
              <w:t xml:space="preserve">, SUBJECT TO SECTION 7.6, TO THE EXTENT THAT SUCH SUIT, INVESTIGATION, CLAIM OR DEMAND IS CAUSED BY, OR ARISES OUT OF, OR RESULTS FROM THE NEGLIGENCE OR WILLFUL MISCONDUCT OF ANY UT INDEMNITEE OR FROM BOARD’S BREACH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AUTHORIZED BY THE TEXAS CONSTITUTION AND THE LAWS OF THE STATE OF TEXAS AND SUBJECT TO THE STATUTORY DUTIES OF THE TEXAS ATTORNEY GENERAL, AND SUBJECT TO SECTION 7.6, MD ANDERSON AGREES TO HOLD HARMLESS, INDEMNIFY AND DEFEND LICENSEE, ITS AFFILIATES AND THEIR RESPECTIVE DIRECTORS, OFFICERS, EMPLOYEES, AND AGENTS (THE “</w:t>
            </w:r>
            <w:r>
              <w:rPr>
                <w:rFonts w:ascii="Times New Roman" w:hAnsi="Times New Roman"/>
                <w:sz w:val="20"/>
                <w:u w:val="single"/>
              </w:rPr>
              <w:t>LICENSEE INDEMNITIEES</w:t>
            </w:r>
            <w:r>
              <w:rPr>
                <w:rFonts w:ascii="Times New Roman" w:hAnsi="Times New Roman"/>
                <w:sz w:val="20"/>
              </w:rPr>
              <w:t xml:space="preserve">”) FROM AND AGAINST ANY LIABILITY, LOSS, DAMAGE, COSTS OF SUIT AND REASONABLE ATTORNEY’S FEES IN CONNECTION WITH ANY THIRD PARTY SUIT, INVESTIGATION, CLAIM OR DEMAND CAUSED BY, OR ARISING OUT OF, OR RESULTING FROM THE NEGLIGENCE OR WILLFUL MISCONDUCT OF ANY UT INDEMNITEE OR FROM BOARD’S BREACH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This Section 7.3 shall apply only if and to the extent authorized by the Texas Constitution and the laws of the State of Texas and is subject to the statutory duties of the Texas Attorney General: Both Parties agree that upon receipt of a notice of claim or action arising out of or in connection with this Agreement, the Party receiving such notice will notify the other Party promptly. Any person seeking indemnification under Section 7.1 or Section 7.2, as applicable (each, an “</w:t>
            </w:r>
            <w:r>
              <w:rPr>
                <w:rFonts w:ascii="Times New Roman" w:hAnsi="Times New Roman"/>
                <w:sz w:val="20"/>
                <w:u w:val="single"/>
              </w:rPr>
              <w:t>Indemnitee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shall provide the applicable indemnifying Party with prompt written notice of any claim, demand, cost or judgment for which indemnification is sought; provided that, an Indemnitee’s failure to do so shall not affect the rights of such Indemnitee unless, and then only to the extent that, such delay or failure is prejudicial to or otherwise adversely affects the applicable indemnifying Party. The indemnifying Party agrees, at its own expense, to provide attorneys reasonably acceptable to the applicable Indemnitee to defend against any such claim. The Indemnitee shall cooperate with the applicable indemnifying Party in such defense and shall permit the indemnifying Party to conduct and control such defense and the disposition of such claim or demand (including all decisions relative to litigation, appeal, and settlement); provided, however, that any Indemnitee shall have the right to retain its own counsel, at its own expense, if representation of such Indemnitee by the counsel retained by the applicable indemnifying Party would be inappropriate because of actual or potential differences in the interests of such Indemnitee and any other party represented by such counsel. The indemnifying Party agrees to keep the Indemnitee informed of the progress in the defense and disposition of such claim and to consult with the Indemnitee with regard to any proposed settlement. Notwithstanding anything to the contrary in this Agreement, (a) MD Anderson, as an indemnifying Party, shall not enter into any settlement, consent judgment or other voluntary final disposition of any claim against Licensee or its Affiliates without Licensee’s prior written consent, which consent shall not be unreasonably withheld, conditioned or delayed if such settlement, consent judgement or other voluntary final disposition does not admit any wrongdoing or fault by Licensee or its Affiliates and does not impose on Licensee or its Affiliates any payment or other liability; and (b) Licensee, as an indemnifying Party, shall not enter into any settlement, consent judgment or other voluntary final disposition of any claim against Board or MD Anderson without the prior written consent of Board or MD Anderson, which consent shall not be unreasonably withheld, conditioned or delayed if such settlement, consent judgment or other voluntary final disposition does not admit any wrongdoing or fault by Board or MD Anderson and does not impose on Board or MD Anderson any payment or other liability. The indemnifying Party shall not be bound by the terms of any settlement of any claim, which settlement is made by the applicable Indemnitee(s), without the indemnifying Party’s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WITH RESPECT TO (I) A BREACH OF ITS CONFIDENTIALITY OBLIGATIONS UNDER THIS AGREEMENT AND (II) ITS INDEMNIFICATION OBLIGATIONS UNDER THIS AGREEMENT, IN NO EVENT SHALL EITHER PARTY OR ITS AFFILIATES, OR SYSTEM OR MD ANDERSON, BE LIABLE FOR ANY INDIRECT, SPECIAL, CONSEQUENTIAL OR PUNITIVE DAMAGES (INCLUDING, WITHOUT LIMITATION, DAMAGES FOR LOSS OF PROFITS OR EXPECTED SAVINGS OR OTHER ECONOMIC LOSSES, OR FOR INJURY TO PERSONS OR PROPERTY) ARISING OUT OF, OR IN CONNECTION WITH, THIS AGREEMENT OR ITS SUBJECT MATTER, REGARDLESS OF WHETHER SUCH PARTY OR ITS AFFILIATES, SYSTEM OR MD ANDERSON, AS APPLICABLE, KNOWS OR SHOULD KNOW OF THE POSSIBILITY OF SUCH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BETWEEN THE PARTIES, LICENSEE ASSUMES ALL LIABILITY FOR DAMAGES THAT MAY ARISE FROM THE SALE, HANDLING, STORAGE, DISPOSAL OR OTHER USE OF ANY TANGIBLE MATERIALS COVERED BY THIS AGREEMENT. IN NO EVENT SHALL BOARD, SYSTEM OR MD ANDERSON BE LIABLE TO LICENSEE FOR ANY LOSS, CLAIM, DAMAGE OR LIABILITY, OF WHATSOEVER KIND OR NATURE, WHICH MAY ARISE FROM OR IN CONNECTION WITH THE SALE, HANDLING, STORAGE, DISPOSAL OR OTHER USE OF SUCH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SCOPE OF INDEMNIFICATION OF UT INDEMNITEES. LICENSEE’S OBLIGATIONS TO HOLD HARMLESS, INDEMNIFY, AND DEFEND THE UT INDEMNITEES IN SECTION 7.1, THE LIMITATION OF LIABILITY IN SECTION 7.4, AND THE ASSUMPTION OF LIABILITY IN SECTION 7.5 SHALL INCLUDE, BUT ARE NOT LIMITED TO, ANY THIRD PARTY CLAIM ALLEGING STRICT STATUTORY LIABILITY, PRODUCT DEFECT LIABILITY, OR ANY UT INDEMNITEE’S OWN NEGLIGENCE (WHETHER SOLE OR CONCURRENT) THAT ARISES OUT OF, RELATES TO, IS CAUSED IN WHOLE OR IN PART BY, OR RESULTS FROM THE USE OR SALE OF ANY TANGIBLE MATERIALS (INCLUDING BIOLOGICAL MATERIALS) PROVIDED TO LICENSEE BY BOARD OR MD ANDERSON UNDER OR IN CONNECTION WITH THIS AGREEMENT OR PRODUCTS USED OR SOLD BY LICENSEE OR ANY SUBLICENSEE.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procure and maintain insurance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at the time when any Developed Product or Licensed Product is being distributed or sold (including for the purpose of obtaining Marketing Authorizations) by Licensee or by a Sublicensee, Licensee shall, at its sole cost and expense, procure and maintain commercial general liability insurance in amounts not less than $[***] per incident and $[***] annual aggregate, and Licensee shall use reasonable efforts to have the Board, System, MD Anderson, their Regents, officers, employees, students and agents named as additional insureds. Such commercial general liability insurance shall provide: (i) product liability coverage; (ii) broad form contractual liability coverage for Licensee’s indemnification under this Agreement; and (iii) coverage for litigation costs. The minimum amounts of insurance coverage required herein shall not be construed to create a limit of Licensee’s liability with respect to its indemnification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provide MD Anderson with written evidence of such insurance within [***] of its procurement. Additionally, Licensee shall provide MD Anderson with written notice of at least [***] prior to the cancellation, non-renewal or material change in such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shall maintain such commercial general liability insurance beyond the expiration or termination of this Agreement during: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that any Developed Product or Licensed Product is being commercially distributed or sold by Licensee or by a Sublicensee or agent of Licensee;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 period immediately after such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VIII. Use of Name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will not use the name of (or the name of any employee of), or make reference to, MD Anderson, System or Board in any press release, advertising, promotional or sales literature, on its Web site, or for the purpose of raising capital without the advance written consent of Board secured through: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Section 8.1, Licensee may, without advance written consent, use the name of (or name of employee of) MD Anderson, System or Board in routine business correspondence, or as needed in appropriate regulatory submissions.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IX. Confidential Information and Publication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to the extent that Confidential Information is exchanged under circumstances such that the Confidential Information is governed by both (a) Articles 8 and 9 of the Collaborative Research &amp; Option Agreement and (b) this Article IX, then the provisions of this Article IX shall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may wish to disclose Confidential Information to each other, provided that nothing herein will obligate either Party to disclose any particular information. For purposes of this Agreement, “</w:t>
            </w:r>
            <w:r>
              <w:rPr>
                <w:rFonts w:ascii="Times New Roman" w:hAnsi="Times New Roman"/>
                <w:sz w:val="20"/>
                <w:u w:val="single"/>
              </w:rPr>
              <w:t>Confidential Information</w:t>
            </w:r>
            <w:r>
              <w:rPr>
                <w:rFonts w:ascii="Times New Roman" w:hAnsi="Times New Roman"/>
                <w:sz w:val="20"/>
              </w:rPr>
              <w:t xml:space="preserve">” means confidential, non-public information, including unpublished patent applications, know-how, inventions (whether patentable or not), reports and data (technical or non-technical) that is disclosed in writing, orally, visually, graphically, in machine readable form, or in any other manner by or on behalf of the disclosing Party to the receiving Party for purposes of this Agreement, including information comprising or relating to concepts, discoveries, inventions, data, designs or formulae in relation to this Agreement,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Confidential Information (as defined in the Collaborative Research &amp; Option Agreement) of a Party under the Collaborative Research &amp; Option Agreement will be deemed to be the “Confidential Information” of such Party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and terms of this Agreement will be deemed to be the “Confidential Information” of both Parties, with both Parties deemed to be the receiving Party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Jointly Owned Developed Product IP will not be deemed to be the “Confidential Information” of either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Obsidian Technology and any Arising Intellectual Property (as defined in the Collaborative Research &amp; Option Agreement) that is solely owned by Obsidian in accordance with the Collaborative Research &amp; Option Agreement will be deemed to be the “Confidential Information” of Obsidian, with MD Anderson deemed to be the receiving Party with respect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MD Anderson Technology and any Arising Intellectual Property (as defined in the Collaborative Research &amp; Option Agreement) that is solely owned by MD Anderson in accordance with the Collaborative Research &amp; Option Agreement will be deemed to be the “Confidential Information” of MD Anderson, with Obsidian deemed to be the receiving Party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“Confidential Information” does not include information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becomes publicly available through publication in accordance with this Article IX, or through actions of persons or entities other than the receiving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obtained by the receiving Party from a Third Party who is under no obligation of confidentiality with respect thereto and who is authorized to disclose such information on a non-confidential basis to the receiving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in the possession of the receiving Party prior to disclosure by the disclosing Party, and was not acquired, directly or indirectly, from the disclosing Party, as evidenced by the records of the receiving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independently developed by the receiving Party without any use of the disclosing Party’s Confidential Information, as evidenced by the records of the receiving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combination of features disclosed to the receiving Party will not be deemed to be within the foregoing exceptions merely because individual features are within such exceptions. Moreover, specific disclosures made to the receiving Party will not be deemed to be within the foregoing exceptions merely because they are embraced by general disclosures. If the receiving Party wishes to avail itself of any of the foregoing exceptions, it will have the burden of proving that such an exception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contained herein will be construed as granting to the receiving Party any proprietary right in the disclosing Party’s Confidential Information, or any right to use any of the Confidential Information except for purposes of this Agreement and/or, if applicable, the Collaborative Research &amp; Option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Information may be disclosed in any form (e.g., oral, written, visual, graphic, electronic or sample) by or on behalf of the disclosing Party, or may be otherwise accessible to the receiving Party. To the extent reasonably practicable, Confidential Information will be clearly designated, labelled, marked, and/or identified as “confidential” at the time of its disclosure. However, disclosed information that has not been identified by the disclosing Party as “confidential” according to the above, will nevertheless be considered Confidential Information if, given the nature of the information or the circumstances surrounding its disclosure, such information should reasonably be considered as confidential.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disclosing Party’s Confidential Information, the receiving Party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use any part of or the whole of the Confidential Information for any purpose other than (i) to exercise its rights under this Agreement or (ii) as authorized under this Agreement (which authorized purposes will include the preparation, filing, prosecution and maintenance of jointly-owned patent applications and patents in accordance with the terms of the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the disclosure of Confidential Information to only those of its officers, employees, Affiliates, attorneys, accountants, financial advisors, or Third Party contractors who have a legitimate need to have access to the Confidential Information for purposes of this Agreement, who are bound by confidentiality and non-use commitments no less restrictive than those of this Agreement (provided, however, that for Third Party contractors or advisors, the term of such confidentiality and non-use commitments may be shorter than the confidentiality term set forth in this Agreement, if consistent with applicable industry standards; and provided further that such Third Party contractors or advisors shall be required to return or destroy such Confidential Information upon request subject to customary record retention terms that are based on applicable laws or regulations), and who have been made aware of the confidential nature of the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 the Confidential Information by using the same degree of care, but not less than a reasonable degree of care, to prevent the unauthorized use, dissemination, or publication of the Confidential Information as the receiving Party uses to protect its own confidential information of a like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preserve the confidentiality of the Confidential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notify the disclosing Party upon becoming aware of evidence or suspicion of any unauthorized use or disclosure of the Confidential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foregoing obligations will exist during the term of this Agreement and for a period of [***] after termination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receiving Party is required to disclose the disclosing Party’s Confidential Information under operation of Applicable Law or order of a court or governmental administrative body having competent jurisdiction, or pursuant to the applicable rules of any securities exchange, the receiving Party shall, to the extent practicable, provide the disclosing Party reasonable notice of such potential disclosure so that the disclosing Party may seek a protective order or other appropriate protection or legal relief to prevent or limit such disclosure or, in the case of disclosure required by any securities laws or the applicable rules of any securities exchange, so that the disclosing Party may provide comments to the proposed disclosure, which the receiving Party will consider in good faith. If, in the absence of, or pursuant to the terms of, such protection or legal relief, the receiving Party is nonetheless required by Applicable Law or order of a court or governmental administrative body having competent jurisdiction, or pursuant to the applicable rules of any securities exchange, to disclose any portion of the disclosing Party’s Confidential Information, then, notwithstanding anything to the contrary in this Agreement, the receiving Party shall make such disclosure, provided that such disclosure shall be limited to only that portion of the disclosing Party’s Confidential Information that is required to be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anything to the contrary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forth in the Collaborative Research &amp; Option Agreement, a Party may disclose Collaboration Data (as defined in the Collaborative Research &amp; Option Agreement) to a government patent office for purposes of prosecuting, defending, or maintaining a patent application or patent.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may disclose the existence or terms of this Agreement, or any other Confidential Information of MD Anderson, to Licensee’s actual or potential collaboration partners, actual or potential acquirers or financing sources, actual or potential licensees, or actual or potential investors or underwriters (and, in each case, their respective advisors), in each case on a need to know basis, on the condition that such Third Parties agree to be bound by confidentiality and non-use obligations no less restrictive than those of this Agreement (provided, however, that the term of such confidentiality and non-use commitments may be shorter than the confidentiality term set forth in this Agreement, if consistent with applicable industry standards; and provided further that such Third Party contractors or advisors shall be required to return or destroy such Confidential Information subject to customary record retention terms that are based on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 the existence of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advance written consent of Licensee (such consent not to be unreasonably withheld), disclose the terms of this Agreement, in a manner that is deemed necessary by MD Anderson’s counsel (or such portion of the terms of this Agreement deemed necessary by MD Anderson’s counsel), in each case of (i) and/or (ii) to any potential transaction counterparty as part of a due diligence activity, on a need to know basis, on the condition that such Third Parties agree to be bound by confidentiality and non-use obligations no less restrictive than those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may disclose the existence or terms of this Agreement to System or Board as required by System or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may disclose information as needed to comply with the contractual obligations owed to CPRIT or other entities, including any Governmental Authority, that funded MD Anderson’s research activities that gave rise to the MDA Licensed IP, subject to the terms of Section 9.6 with respect to any Confidential Information of Licensee, </w:t>
            </w:r>
            <w:r>
              <w:rPr>
                <w:rFonts w:ascii="Times New Roman" w:hAnsi="Times New Roman"/>
                <w:i/>
                <w:sz w:val="20"/>
              </w:rPr>
              <w:t>mutatis mutandis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agreed herein, the receiving Party will return to disclosing Party all documents and other materials that contain Confidential Information of the disclosing Party, as well as all copies thereof, promptly upon request; provided, however, that receiving Party may keep one copy of such Confidential Information in its secure files in accordance with the terms of this Agreement for the sole purpose of maintaining a record of the Confidential Information received hereunder and for compliance with Applicable Law and this Agreement. Notwithstanding the foregoing, the receiving Party is not required to destroy any computer files containing the disclosing Party’s Confidential Information that are created during automatic computer system backup, provided that such files are stored securely by the receiving Party. With respect to such backup computer files, the non-use and confidentiality obligations set forth in this Agreement shall apply in perpetuity and survive expiration or termination of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Licensee comes into knowledge or possession of any Protected Health Information by or through MD Anderson or any information that could be used to identify any of MD Anderson’s patients or research subjects, Licensee will maintain any such Protected Health Information or other information confidential in accordance with laws and regulations as applicable to MD Anderson, including without limitation HIPAA, will use any such Protected Health Information solely as permitted by Applicable Law and the informed consent/authorization of the patient/research subject, and will not use or disclose any such Protected Health Information or other information in any manner that would constitute a violation of any Applicable Law if such use or disclosure was made by MD Anderson.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9.10</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Improper use or disclosure of the Confidential Information by the receiving Party may cause substantial harm to the disclosing Party. Therefore, with respect to obligations of confidentiality and non-use of Confidential Information, in the event of a breach, threatened breach, or intended breach of this Agreement by the receiving Party, in addition to any other rights and remedies available to it at law or in equity, the disclosing Party will be entitled to seek preliminary and final injunctions enjoining and restraining such breach, threatened breach, or intended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9.11</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 of this Agreement, each of Licensee, MD Anderson and MD Anderson’s investigators will have the right to publish or otherwise make public any scientific findings related to the activities under this Agreement; provided, however, that the publishing Party (and/or its investigators, if the publishing Party is MD Anderson) will submit any such proposed publications to the other Party for review and comment at least [***] prior to submission of the proposed publication to the publishing source or other Third Party, and the other Party will have [***] to provide any such comments; provided further, however, that the filing of a patent application shall not be considered as a publication for purposes of this Section 9.11. If within such [***] period, the non-publishing Party objects in writing to the publishing Party to the publication due to patentable subject matter contained therein, or inclusion of the non-publishing Party’s Confidential Information, the publishing Party (and its investigators, if the publishing Party is MD Anderson) shall refrain from making such publication until the patentable subject matter contained in the proposed publication is submitted in a patent application to the United States Patent and Trademark Office and/or applicable foreign patent office(s), and will remove any of the non-publishing Party’s Confidential Information; provided, however, that nothing in this Agreement shall require either Party to refrain from publishing any information if doing so would (a) cause such Party or Board, as applicable, to violate any export control laws or, in the case of MD Anderson and Board, laws that provide tax-exempt status for any bonds issued by MD Anderson or The University of Texas System, or (b) result in the inapplicability to MD Anderson or The University of Texas System of the fundamental research exclusion or exemption from U.S. export control laws for such information, or (c) omit information needed to accurately describe research or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9.12</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Party’s representatives may be co-authors on publications governed by this Agreement, if appropriate, with inclusion and order of authors to be determined in accordance with scientific and academic custom.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X. Assignment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10.1</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not be assigned by either Party without the prior written consent of the other Party; provided, however, that either Party may, without such consent, assign this Agreement and its rights and obligations hereunder to its Affiliate or in connection with the transfer or sale of all or substantially all of its business or assets related to this Agreement, or in the event of its merger, consolidation, change in control or other similar transaction. Notwithstanding the foregoing or anything to the contrary in this Agreement, neither Board nor its assignee will assign its rights and obligations under this Agreement to any assignee without assigning all its rights, title and interests in and to the MDA Licensed IP to the applicable assignee upon or prior to the assignment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10.2</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permitted assignment (whether by contract or by operation of Applicable Law) by Licensee to be effective, the assignee (or in the case of a merger, the surviving entity) must assume in writing (a copy of which writing will be provided to MD Anderson) all of Licensee’s interests, rights, duties, and obligations under the Agreement and agree to comply with all terms and conditions of the Agreement as if the assignee were the original party to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10.3</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attempted assignment in violation of the foregoing shall be null and void.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XI. Term and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11.1</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Subject to Sections 11.2, and 11.3, the term of this Agreement (“</w:t>
            </w:r>
            <w:r>
              <w:rPr>
                <w:rFonts w:ascii="Times New Roman" w:hAnsi="Times New Roman"/>
                <w:sz w:val="20"/>
                <w:u w:val="single"/>
              </w:rPr>
              <w:t>Term</w:t>
            </w:r>
            <w:r>
              <w:rPr>
                <w:rFonts w:ascii="Times New Roman" w:hAnsi="Times New Roman"/>
                <w:sz w:val="20"/>
              </w:rPr>
              <w:t xml:space="preserve">”) is from the Effective Date until the last to occur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last Valid Claim within the MDA Patent Rights,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that is the [***] anniversary of the First Commercial Sale of the first Licensed Product or Developed Product in any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11.2</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obligations, and liabilities herein which survive termination, this Agreement may be terminated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Licensee for convenience upon [***] prior written notice to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if Licensee becomes bankrupt or insolvent and/or if the business of Licensee shall be placed in the hands of a receiver, assignee, or trustee, whether by voluntary act of Licensee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 written notice from MD Anderson, if Licensee materially breaches or defaults its use of name obligations of Article VIII, unless, before the end of such [***] notice period, Licensee has cured the default or breach to MD Anderson’s satisfaction, and so notifies MD Anderson, stating the manner of the cure; provided, however, that if Licensee promptly notified MD Anderson of its alleged breach or default, then the following shall apply: (i) if Licensee’s breach or default of Article VIII is not susceptible to cure within the [***] day cure period, this Agreement may not be terminated so long as Licensee commences its efforts to cure within the [***] cure period and thereafter diligently prosecutes its curative efforts to completion, and (ii) if a breach or default is not susceptible to cure, this Agreement may not be terminated so long as within the [***] cure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Licensee promptly undertakes all reasonable efforts to mitigate the default or breach and thereafter diligently prosecutes its mitigating efforts to completion. By way of example and not as a limitation, mitigating efforts under the foregoing clause (ii) may, depending on the nature and scope of an alleged default or breach, include issuance of a mutually agreeable form of press release that appropriately addresses an unauthorized use of name under Article VIII.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Party in the event that the other Party is in material breach of this Agreement (other than a breach subject to subpart “c” immediately above”) and fails to remedy such material breach within [***] after the other Party’s receipt of written notice thereof (or, with respect to a breach of payment obligations under this Agreement, within [***] after the other Party’s receipt of written notice thereof); provided that, in the event that any such material breach (other than a payment breach) cannot reasonably be cured in such [***] period, then the period to cure such breach shall be extended for so long as the breach Party diligently continues to make efforts to cure such breach, provided, further, that in the event of a good faith dispute with respect to the existence of any such material breach, the cure period will be tolled until such time as the dispute is resolved pursuant to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by mutual written agreement between the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Board pursuant to Section 13.9.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11.3</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herein will be construed to release a Party of any of its obligations or liabilities maturing prior to the effective date of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provisions shall survive termination of this Agreement: Article I, Section 2.5, Section 3.3 (for the period specified therein), Section 4.2, Section 5.5, Article VII, Article IX (until the [***] anniversary of the termination of this Agreement) (excluding Section 9.11 and Section 9.12, which shall not survive termination of this Agreement other than with respect to MD Anderson’s rights to publish), Section 11.3, Section 12.5, Section 12.6, Section 12.7, and Article XIII;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Licensee’s payment of any earned royalty or any other amounts due pursuant to Article III of this Agreement, Licensee may, for a period of [***] after the effective date of the termination, sell all Developed Products or Licensed Products and parts therefor that it has on hand at the date of termination;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11.3(c), Licensee agrees to cease and desist any use and all Sale of the MDA Licensed IP and Developed Products and Licensed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XII. Warranty: Superior-Rights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the rights, if any, of the U.S. Government and CPRIT, Board hereby represents and warrants to Licensee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the owner or co-owner of the right, title, and interest in and to MDA Licensed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the right to grant licenses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not knowingly granted licenses thereunder to any other entity that would restrict rights granted hereunder except as stated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12.2</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and Licensee each hereby represents and warrants to the other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 corporation or other legal entity duly organized, validly existing and in good standing under the laws of the jurisdiction of its organization, and has all requisite power and authority, corporate or otherwise, to execute, deliver and perform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this Agreement and the performance by it of the transactions contemplated hereby have been duly authorized by all necessary legally required action and will not violate: (i) such Party’s certificate of incorporation or bylaws, or other terms and conditions of such Party’s existence; (ii) any agreement, instrument or contractual obligation to which such Party is bound in any material respect; or (iii) any order, writ, judgment, injunction, decree, determination or award of any court or governmental agency presently in effect applicable to such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is a legal, valid and binding obligation of such Party, enforceable against it in accordance with its terms and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under any obligation, contractual or otherwise, to any Person that conflicts with or is inconsistent in any respect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12.3</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hereby represents and warrants that, as of the Effective Date, to the knowledge of the Director of MD Anderson’s department of Strategic Industry Ventures who is responsible for this transaction, there is no infringement or misappropriation of the patent rights or inventions included in Appendix 1 or Appendix 2 by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12.4</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term of this Agreement, neither MD Anderson nor Obsidian will incur or permit to exist any lien, encumbrance, charge, security interest, mortgage, liability, grant of license to Third Parties or other restriction, in each case, that would conflict with the rights and licenses granted to the other Party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12.5</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understands that the MDA Licensed IP may have been developed under a funding agreement with the U.S. Government and, if so, that the U.S. Government may have certain rights relative thereto. This Agreement is explicitly made subject to the U.S. Government’s rights under any such agreement and any Applicable Law. To the extent that there is a conflict between any such agreement or Applicable Law and this Agreement, the terms of such U.S. Government agreement or Applicable Law shall prevail. Licensee agrees that Developed Products or Licensed Products used or Sold in the United States will be manufactured substantially in the United States, unless a written waiver is obtained in advance from the U.S. Government.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12.6</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UNDERSTANDS AND AGREES THAT BOARD AND MD ANDERSON, BY THIS AGREEMENT, MAKE NO REPRESENTATION AS TO THE OPERABILITY OR FITNESS FOR ANY USE, SAFETY, EFFICACY, APPROVABILITY BY REGULATORY AUTHORITIES, TIME AND COST OF DEVELOPMENT, PATENTABILITY, AND/OR BREADTH OF THE MDA LICENSED IP. BOARD AND MD ANDERSON, BY THIS AGREEMENT, ALSO MAKE NO REPRESENTATION AS TO WHETHER ANY PATENT COVERED BY MDA PATENT RIGHTS IS VALID OR AS TO WHETHER THERE ARE ANY PATENTS NOW HELD, OR WHICH WILL BE HELD, BY OTHERS OR BY BOARD OR MD ANDERSON IN THE LICENSED FIELD, NOR DO BOARD AND MD ANDERSON MAKE ANY REPRESENTATION THAT THE INVENTIONS CONTAINED IN MDA PATENT RIGHTS DO NOT INFRINGE ANY OTHER PATENTS NOW HELD OR THAT WILL BE HELD BY OTHERS OR BY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12.7</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MATERIALS DELIVERED TO LICENSEE OR ITS DESIGNEE PURSUANT TO THE AGREEMENT ARE UNDERSTOOD TO BE EXPERIMENTAL IN NATURE AND MAY HAVE HAZARDOUS PROPERTIES. BOARD AND MD ANDERSON MAKE NO REPRESENTATIONS AND EXTEND NO WARRANTIES OF ANY KIND, EITHER EXPRESSED OR IMPLIED WITH RESPECT TO SUCH MATERIALS. BOARD AND MD ANDERSON MAKE NO EXPRESS OR IMPLIED WARRANTIES OF MERCHANTABILITY OR FITNESS FOR A PARTICULAR PURPOSE WITH RESPECT TO SUCH MATERIALS, NOR DOES BOARD OR MD ANDERSON REPRESENT OR WARRANT THAT THE USE OF THE MATERIALS WILL NOT INFRINGE ANY PATENT OR OTHER PROPRIETARY RIGHT OF ANOTHER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12.8</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by execution hereof, acknowledges, covenants and agrees that Licensee has not been induced in any way by Board, System, MD Anderson or employees thereof to enter into this Agreement, and further warrants and represents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is entering into this Agreement voluntarily;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has conducted sufficient due diligence with respect to all items and issues pertaining to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has adequate knowledge and expertise, or has used knowledgeable and expert consultants, to adequately conduct such due diligence, and agrees to accept all risks inherent herein.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XIII. 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pPr>
            <w:r>
              <w:rPr/>
              <w:t>13.1</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together with any appendices, exhibits and/or fully executed amendments hereto, constitutes the entire and only agreement between the Parties for MDA Licensed IP and all other prior negotiations, representations, agreements and understandings related to the subject matter of this Agreement are superseded hereby; provided, however, that this Agreement does not supersede the Collaborative Research &amp; Option Agreement except for those provisions in the Collaborative Research &amp; Option Agreement that are implemented hereby. No Party has relied on any such prior negotiations, representations, agreements and understandings in entering into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13.2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required by this Agreement shall be given by prepaid, first class, certified mail, return receipt requested, addressed in the case of Board and MD Anderson 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or in the case of Obsidian to: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or at such other addresses as may be given from time to time in accordance with the terms of this notice provision.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regarding patent prosecution may be transmitted by electronic mail. For such communications to MD Anderson sent via electronic mail, the electronic mail shall be addressed or copied to: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13.3</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Licensee must comply with Applicable Laws in connection with its activities pursuant to this Agreement or MDA Licensed IP, including U.S. Export Administration Regulations, as well as end-user, end-use, and destination restrictions applied by the United States. Licensee acknowledges that the MDA Licensed IP may be subject to U.S. export control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13.4</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all claims arising out of or relating thereto will be governed, construed and enforced in accordance with the laws of the United States of America and of the State of Texas, without regard to its conflict of law provisions. The Texas State Courts of Harris County, Texas (or, if there is exclusive federal jurisdiction, the United States District Court for the Southern District of Texas) shall have exclusive jurisdiction and venue over any dispute arising out of this Agreement, and Licensee consents to the jurisdiction and venue of such courts and hereby explicitly waives the rights to any other venue to which it might be entitled by cause of action, domicile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13.5</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a Party to insist, in any one or more instances, upon the performance of any of the terms, covenants or conditions of this Agreement or to exercise any right hereunder, will not be construed as a waiver or relinquishment of the future performance of any such term, covenant or conditions or the future exercise of such right, and the obligation of the other Party with respect to such future performance will continue in full force and effect.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item or provision of this Agreement may be altered or amended except by a writing signed by duly authorized representatives of all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13.6</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headings used herein are included for convenience only and are not to be used in construing or interpreting this Agreement. Except where the context expressly requires otherwise: (a) the use of any gender herein will be deemed to encompass references to any other genders, and the use of the singular will be deemed to include the plural (and vice versa); (b) the words “include”, “includes” and “including” will be deemed to be followed by the phrase “without limitation” and will not be interpreted to limit the provision to which it relates; (c) the word “shall” will be construed to have the same meaning and effect as the word “will”; (d) any definition of or reference to any agreement, instrument or other document herein will be construed as referring to such agreement, instrument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each of their entirety, as the context requires, and not to any particular provision hereof; (g) all references herein to Sections, Schedules, Appendices or Exhibits will be construed to refer to Sections, Schedules, Appendices or Exhibits of this Agreement, and references to this Agreement include all Schedules and Exhibits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article, Section or other division thereof, will be deemed to include the then-current amendments thereto or any replacement or successor law, rule or regulation thereof; and (k) the term “or” will be interpreted in the inclusive sense commonly associated with the term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13.7</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both Parties substantially participated in negotiating the provisions of this Agreement; therefore, both Parties agree that any ambiguity in this Agreement shall not be construed more favorably toward one Party than the other Party, regardless of which Party primarily drafted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13.8</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term or other provision of this Agreement is invalid, illegal or incapable of being enforced by any rule of law, statute, rule, administrative policy, or regulation, all other conditions and provisions of this Agreement will nevertheless remain in full force and effect so long as the economic and legal substance of the underlying transaction, taken as a whole, is not affected in any manner materially adverse to any Party. Upon such determination that: (a) any term or other provision is invalid, illegal or incapable of being enforced, and (b) the economic or legal substance of the underlying transaction, taken as a whole, is affected in a manner materially adverse to any Party, the Parties will negotiate in good faith to modify this Agreement so as to effect the original intent of the Parties as closely as possible in a mutually acceptable manner to the fullest extent permitted by Applicable Law in order that the underlying transaction be completed as originally contemplated to the fullest extent possible. If the Parties cannot reach agreement on an appropriate amendment, then this Agreement may be immediately terminated by any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pPr>
            <w:r>
              <w:rPr/>
              <w:t>13.9</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Licensee or its Affiliate or Sublicensee brings a Patent Challenge or participates as an adverse party in any Patent Challenge (except as required under a court order or subpoena), then the following shall apply: (a) if Licensee or any of its Affiliates is the party bringing, assuming, participating in or assisting in such Patent Challenge, then Board shall be entitled to immediately terminate this Agreement upon written notice to Licensee and (b) if a Sublicensee is the party bringing, assuming, participating in or assisting in such Patent Challenge then (i) Board shall be entitled to immediately terminate the rights hereunder as and to the extent sublicensed to a Sublicensee upon written notice to Licensee and (ii) Board shall grant Licensee a period not to exceed [***] from the date of notice by Board to Licensee of its intention to terminate the Agreement due to such Sublicensee bringing, assuming, participating in or assisting in a Patent Challenge, during which period Licensee may terminate any and all agreements with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Sublicensee that contain a sublicense hereunder. If, pursuant to the foregoing clause (ii), Licensee terminates such agreement(s) during such [***] period, then Board shall not be entitled to immediately terminate this Agreement in its entirety by virtue of such Sublicensee bringing, assuming, participating in or assisting in such Patent Challenge. However, if Licensee does not terminate such agreement(s) during such [***] period, then Board shall be entitled to immediately terminate this Agreement in its entirety upon written notice to Licensee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dispute regarding the validity, enforceability or ownership of any patent included in the MDA Patent Rights shall be litigated in the courts located in Houston, Texas, and Licensee agrees not to challenge personal jurisdiction in that forum.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Licensee (or its Affiliate or Sublicensee) unsuccessfully brings or participates as an adverse party in any Patent Challenge (except as required under a court order or subpoena), Licensee agrees to reimburse MD Anderson and Board for all costs and fees (including attorney’s fees) paid by MD Anderson and Board in defending against such challenge. Licensee understands and agrees that, in the event Licensee (or its Affiliate or Sublicensee) successfully brings or participates as an adverse party in any Patent Challenge, all payments or other consideration made or otherwise provided by Licensee to MD Anderson prior to a final, non-appealable adjudication of such Patent Challenge shall be non-refundable. </w:t>
      </w:r>
    </w:p>
    <w:p>
      <w:pPr>
        <w:pStyle w:val="TextBody"/>
        <w:bidi w:val="0"/>
        <w:spacing w:before="120" w:after="0"/>
        <w:jc w:val="left"/>
        <w:rPr/>
      </w:pPr>
      <w:r>
        <w:rPr/>
        <w:t>“</w:t>
      </w:r>
      <w:r>
        <w:rPr>
          <w:rFonts w:ascii="Times New Roman" w:hAnsi="Times New Roman"/>
          <w:sz w:val="20"/>
          <w:u w:val="single"/>
        </w:rPr>
        <w:t>Patent Challenge</w:t>
      </w:r>
      <w:r>
        <w:rPr>
          <w:rFonts w:ascii="Times New Roman" w:hAnsi="Times New Roman"/>
          <w:sz w:val="20"/>
        </w:rPr>
        <w:t>” means an action before any court, agency or tribunal seeking to invalidate or otherwise challenge the enforceability of or Board’s ownership of any patent included in the MDA Patent Rights; provided, however, that “Patent Challenge” shall not include (a) Licensee or its Affiliates being an essential party in any patent interference proceeding before the United States Patent and Trademark Office, which interference Licensee or its Affiliates acts in good faith to try to settle, or (b) Licensee, due to its status as an exclusive licensee of patent rights other than the MDA Patent Rights, being named by the licensor of such patent rights as a real party in interest in such an interference, so long as Licensee either abstains from participation in, or acts in good faith to settle the interference. For clarity, a Patent Challenge shall not include arguments made by Licensee that (i) distinguish the inventions claimed in patents or patent applications owned or controlled by Licensee (“</w:t>
      </w:r>
      <w:r>
        <w:rPr>
          <w:rFonts w:ascii="Times New Roman" w:hAnsi="Times New Roman"/>
          <w:sz w:val="20"/>
          <w:u w:val="single"/>
        </w:rPr>
        <w:t>Licensee Patents</w:t>
      </w:r>
      <w:r>
        <w:rPr>
          <w:rFonts w:ascii="Times New Roman" w:hAnsi="Times New Roman"/>
          <w:sz w:val="20"/>
        </w:rPr>
        <w:t xml:space="preserve">”) from those claimed in the MDA Patent Rights but (ii) do not disparage the MDA Patent Rights or raise any issue of the MDA Patent Rights’ compliance with or sufficiency under applicable patent laws, regulations or administrative rules, in each case (A) in the ordinary course of ex parte prosecution of the Licensee Patents or (B) in inter partes proceedings before the United States Patent and Trademark Office or other agency or tribunal in any jurisdiction (excluding interferences or derivation proceedings), or in arbitration, wherein the Licensee Patents have been challenged.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Licensee desires to sponsor research for or related to the MDA Licensed IP, and particularly where Licensee receives payments for sponsored research pursuant to a sublicense under this Agreement, Licensee will notify MD Anderson in writing of all opportunities to conduct this sponsored research (including clinical trials, if applicable), solicit research and/or clinical proposals from MD Anderson for this purpose, and give good faith consideration to funding the proposals at MD Anderson.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9"/>
        <w:gridCol w:w="9626"/>
      </w:tblGrid>
      <w:tr>
        <w:trPr/>
        <w:tc>
          <w:tcPr>
            <w:tcW w:w="579" w:type="dxa"/>
            <w:tcBorders/>
          </w:tcPr>
          <w:p>
            <w:pPr>
              <w:pStyle w:val="TableContents"/>
              <w:bidi w:val="0"/>
              <w:spacing w:before="0" w:after="283"/>
              <w:jc w:val="left"/>
              <w:rPr/>
            </w:pPr>
            <w:r>
              <w:rPr/>
              <w:t>13.10</w:t>
            </w:r>
          </w:p>
        </w:tc>
        <w:tc>
          <w:tcPr>
            <w:tcW w:w="96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any amendments may be executed (including via facsimile or other reliable electronic means of transmitting signed copies such as emailed scanned signed copies) in any number of counterparts, each of which will be deemed an original, but all of which together will constitute one and same instrument.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9"/>
        <w:gridCol w:w="9616"/>
      </w:tblGrid>
      <w:tr>
        <w:trPr/>
        <w:tc>
          <w:tcPr>
            <w:tcW w:w="589" w:type="dxa"/>
            <w:tcBorders/>
          </w:tcPr>
          <w:p>
            <w:pPr>
              <w:pStyle w:val="TableContents"/>
              <w:bidi w:val="0"/>
              <w:spacing w:before="0" w:after="283"/>
              <w:jc w:val="left"/>
              <w:rPr/>
            </w:pPr>
            <w:r>
              <w:rPr/>
              <w:t>13.11</w:t>
            </w:r>
          </w:p>
        </w:tc>
        <w:tc>
          <w:tcPr>
            <w:tcW w:w="96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Agreement, the Parties shall be, and shall be deemed to be, independent contractors. No Party shall be deemed to be the agent, employee, partner, joint venture, or employee of another Party. No Party shall have authority to make any statements, representations, or commitments of any kind on behalf of another Party, or to take any action purported to be binding on another Party, except as may be expressly provided for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3"/>
        <w:gridCol w:w="9622"/>
      </w:tblGrid>
      <w:tr>
        <w:trPr/>
        <w:tc>
          <w:tcPr>
            <w:tcW w:w="583" w:type="dxa"/>
            <w:tcBorders/>
          </w:tcPr>
          <w:p>
            <w:pPr>
              <w:pStyle w:val="TableContents"/>
              <w:bidi w:val="0"/>
              <w:spacing w:before="0" w:after="283"/>
              <w:jc w:val="left"/>
              <w:rPr/>
            </w:pPr>
            <w:r>
              <w:rPr/>
              <w:t>13.12</w:t>
            </w:r>
          </w:p>
        </w:tc>
        <w:tc>
          <w:tcPr>
            <w:tcW w:w="96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MD Anderson, as an agency of the State of Texas and a member institution of The University of Texas System, is subject to the constitution and laws of the State of Texas and, under the constitution and laws of the State of Texas, possesses certain rights and privileges, is subject to certain limitations and restrictions, and only has such authority as is granted under the constitution and laws of the State of Texas. Moreover, notwithstanding the generality or specificity of any provision of this Agreement, the provisions of this Agreement as they pertain to MD Anderson are enforceable only to the extent authorized by the constitution and laws of the State of Texas. No Party to this Agreement will be required to perform or commit any act or omission that would violate any Applicable Law, including the constitution and laws of the State of Texas. Notwithstanding anything to the contrary herein, nothing in this Agreement shall obligate The University of Texas System, The Board of Regents of The University of Texas System, MD Anderson, or any other agency of The State of Texas to join, or permit the use of its name or otherwise participate, as a litigant in any litigation or adversarial judicial Proceeding. Nothing in this Agreement shall be deemed as a waiver by Board, System or MD Anderson of its sovereign immunity.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Appear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their duly authorized representatives to execute this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8"/>
        <w:gridCol w:w="60"/>
        <w:gridCol w:w="3284"/>
      </w:tblGrid>
      <w:tr>
        <w:trPr/>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BOARD OF REGENTS OF THE UNIVERSITY OF TEXAS System, on behalf of THE UNIVERSITY OF TEXAS M. D. ANDERSON CANCER CENTER</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Omer F. Sultan</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Printed</w:t>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 Omer F. Sultan</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SVP, CFO</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10/19/2021 | 6:53 P.M. CDT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Approved as to Content:</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Ferran Prat</w:t>
            </w:r>
          </w:p>
        </w:tc>
      </w:tr>
      <w:tr>
        <w:trPr/>
        <w:tc>
          <w:tcPr>
            <w:tcW w:w="7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Ferran Prat, J.D., Ph.D</w:t>
            </w:r>
          </w:p>
        </w:tc>
      </w:tr>
      <w:tr>
        <w:trPr/>
        <w:tc>
          <w:tcPr>
            <w:tcW w:w="7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Senior Vice President</w:t>
            </w:r>
          </w:p>
        </w:tc>
      </w:tr>
      <w:tr>
        <w:trPr/>
        <w:tc>
          <w:tcPr>
            <w:tcW w:w="7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Research Administration &amp; Industry Relations</w:t>
            </w:r>
          </w:p>
        </w:tc>
      </w:tr>
      <w:tr>
        <w:trPr/>
        <w:tc>
          <w:tcPr>
            <w:tcW w:w="7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M. D. Anderson Cancer Center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10/19/2021 | 10:00 A.M. PDT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87"/>
        <w:gridCol w:w="60"/>
        <w:gridCol w:w="3235"/>
      </w:tblGrid>
      <w:tr>
        <w:trPr/>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K. Wotton</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Printed</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Name: Paul K Wotton</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CEO</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21-Oct-2021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Appendix 1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Appendix 2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Appendix 3 </w:t>
      </w:r>
    </w:p>
    <w:p>
      <w:pPr>
        <w:pStyle w:val="TextBody"/>
        <w:bidi w:val="0"/>
        <w:spacing w:before="240" w:after="0"/>
        <w:jc w:val="center"/>
        <w:rPr>
          <w:rFonts w:ascii="Times New Roman" w:hAnsi="Times New Roman"/>
          <w:b/>
          <w:sz w:val="20"/>
        </w:rPr>
      </w:pPr>
      <w:r>
        <w:rPr>
          <w:rFonts w:ascii="Times New Roman" w:hAnsi="Times New Roman"/>
          <w:b/>
          <w:sz w:val="20"/>
        </w:rPr>
        <w:t xml:space="preserve">Jointly Owned Developed Product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Appendix 4 </w:t>
      </w:r>
    </w:p>
    <w:p>
      <w:pPr>
        <w:pStyle w:val="TextBody"/>
        <w:bidi w:val="0"/>
        <w:spacing w:before="240" w:after="0"/>
        <w:jc w:val="center"/>
        <w:rPr>
          <w:rFonts w:ascii="Times New Roman" w:hAnsi="Times New Roman"/>
          <w:b/>
          <w:sz w:val="20"/>
        </w:rPr>
      </w:pPr>
      <w:r>
        <w:rPr>
          <w:rFonts w:ascii="Times New Roman" w:hAnsi="Times New Roman"/>
          <w:b/>
          <w:sz w:val="20"/>
        </w:rPr>
        <w:t xml:space="preserve">New MD Anderson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A Addendum </w:t>
      </w:r>
    </w:p>
    <w:p>
      <w:pPr>
        <w:pStyle w:val="TextBody"/>
        <w:bidi w:val="0"/>
        <w:spacing w:before="240" w:after="0"/>
        <w:jc w:val="center"/>
        <w:rPr>
          <w:rFonts w:ascii="Times New Roman" w:hAnsi="Times New Roman"/>
          <w:b/>
          <w:sz w:val="20"/>
        </w:rPr>
      </w:pPr>
      <w:r>
        <w:rPr>
          <w:rFonts w:ascii="Times New Roman" w:hAnsi="Times New Roman"/>
          <w:b/>
          <w:sz w:val="20"/>
        </w:rPr>
        <w:t xml:space="preserve">CPRIT Contract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CERTAIN INFORMATION IN THIS DOCUMENT HAS BEEN EXCLUDED PURSUANT TO REGULATION S-K, ITEM 601(B)(10) AND REPLACED WITH [***]. SUCH EXCLUDED INFORMATION IS NOT MATERIAL AND WOULD LIKELY CAUSE COMPETITIVE HARM TO THE REGISTRANT IF PUBLICLY DISCLOSED.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right"/>
        <w:rPr>
          <w:rFonts w:ascii="Times New Roman" w:hAnsi="Times New Roman"/>
          <w:b/>
          <w:sz w:val="20"/>
        </w:rPr>
      </w:pPr>
      <w:bookmarkStart w:id="36" w:name="d309963dex1014.htm"/>
      <w:bookmarkStart w:id="37" w:name="ksd309963dex1014"/>
      <w:bookmarkEnd w:id="36"/>
      <w:bookmarkEnd w:id="37"/>
      <w:r>
        <w:rPr>
          <w:rFonts w:ascii="Times New Roman" w:hAnsi="Times New Roman"/>
          <w:b/>
          <w:sz w:val="20"/>
        </w:rPr>
        <w:t xml:space="preserve">Exhibit 10.14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LEASE </w:t>
      </w:r>
    </w:p>
    <w:p>
      <w:pPr>
        <w:pStyle w:val="TextBody"/>
        <w:bidi w:val="0"/>
        <w:spacing w:before="240" w:after="0"/>
        <w:jc w:val="center"/>
        <w:rPr>
          <w:rFonts w:ascii="Times New Roman" w:hAnsi="Times New Roman"/>
          <w:b/>
          <w:sz w:val="20"/>
        </w:rPr>
      </w:pPr>
      <w:r>
        <w:rPr>
          <w:rFonts w:ascii="Times New Roman" w:hAnsi="Times New Roman"/>
          <w:b/>
          <w:sz w:val="20"/>
        </w:rPr>
        <w:t xml:space="preserve">1030 MASSACHUSETTS AVENUE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w:t>
      </w:r>
    </w:p>
    <w:p>
      <w:pPr>
        <w:pStyle w:val="TextBody"/>
        <w:bidi w:val="0"/>
        <w:spacing w:before="240" w:after="0"/>
        <w:jc w:val="center"/>
        <w:rPr>
          <w:rFonts w:ascii="Times New Roman" w:hAnsi="Times New Roman"/>
          <w:b/>
          <w:sz w:val="20"/>
        </w:rPr>
      </w:pPr>
      <w:r>
        <w:rPr>
          <w:rFonts w:ascii="Times New Roman" w:hAnsi="Times New Roman"/>
          <w:b/>
          <w:sz w:val="20"/>
        </w:rPr>
        <w:t xml:space="preserve">CAMBRIDGE 1030 MASS AVE, LLC </w:t>
      </w:r>
    </w:p>
    <w:p>
      <w:pPr>
        <w:pStyle w:val="TextBody"/>
        <w:bidi w:val="0"/>
        <w:spacing w:before="0" w:after="0"/>
        <w:jc w:val="center"/>
        <w:rPr>
          <w:rFonts w:ascii="Times New Roman" w:hAnsi="Times New Roman"/>
          <w:sz w:val="20"/>
        </w:rPr>
      </w:pPr>
      <w:r>
        <w:rPr>
          <w:rFonts w:ascii="Times New Roman" w:hAnsi="Times New Roman"/>
          <w:sz w:val="20"/>
        </w:rPr>
        <w:t xml:space="preserve">a Delaware limited liability company </w:t>
      </w:r>
    </w:p>
    <w:p>
      <w:pPr>
        <w:pStyle w:val="TextBody"/>
        <w:bidi w:val="0"/>
        <w:spacing w:before="240" w:after="0"/>
        <w:jc w:val="center"/>
        <w:rPr>
          <w:rFonts w:ascii="Times New Roman" w:hAnsi="Times New Roman"/>
          <w:sz w:val="20"/>
        </w:rPr>
      </w:pPr>
      <w:r>
        <w:rPr>
          <w:rFonts w:ascii="Times New Roman" w:hAnsi="Times New Roman"/>
          <w:sz w:val="20"/>
        </w:rPr>
        <w:t xml:space="preserve">as Landlord,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as Tenant. </w:t>
      </w:r>
    </w:p>
    <w:p>
      <w:pPr>
        <w:pStyle w:val="TextBody"/>
        <w:bidi w:val="0"/>
        <w:spacing w:before="240" w:after="0"/>
        <w:jc w:val="right"/>
        <w:rPr>
          <w:rFonts w:ascii="Times New Roman" w:hAnsi="Times New Roman"/>
          <w:sz w:val="20"/>
        </w:rPr>
      </w:pPr>
      <w:r>
        <w:rPr>
          <w:rFonts w:ascii="Times New Roman" w:hAnsi="Times New Roman"/>
          <w:sz w:val="20"/>
        </w:rPr>
        <w:t xml:space="preserve">1030 Massachusetts Ave.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2"/>
        <w:gridCol w:w="270"/>
        <w:gridCol w:w="96"/>
        <w:gridCol w:w="435"/>
        <w:gridCol w:w="62"/>
      </w:tblGrid>
      <w:tr>
        <w:trPr/>
        <w:tc>
          <w:tcPr>
            <w:tcW w:w="9342"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531"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1.   PREMISES, BUILDING, PROJECT, AND COMMON AREAS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1.1  Premises, Building, Project and Common Areas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1.2  Stipulation of Rentable Square Feet of Premises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2.   LEASE TERM; OPTION TERM</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2.1  Lease Term</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2.2  Option Term</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3.   BASE RENT</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4.   ADDITIONAL RENT</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4.1  General Terms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4.2  Definitions of Key Terms Relating to Additional Rent</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4.3  Intentionally Omitted</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4.4  Calculation and Payment of Additional Rent</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4.5  Taxes and Other Charges for Which Tenant Is Directly Responsible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5.   USE OF PREMISES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5.1  Permitted Use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5.2  Prohibited Uses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5.3  Intentionally Deleted</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5.4  Hazardous Material;</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6.   SERVICES AND UTILITIES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6.1  Landlord Provided Services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6.2  Tenant Provided Services and Utilities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6.3  Overstandard Tenant Use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6.4  Interruption of Use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6.5  Triple Net Lease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7.   REPAIRS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8.   ADDITIONS AND ALTERATIONS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8.1  Landlord’s Consent to Alterations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8.2  Manner of Construction</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8.3  Payment for Improvements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8.4  Construction Insurance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8.5  Landlord’s Property</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8.6  Tenant’s Initial Alterations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9.   COVENANT AGAINST LEINS</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10.  INSURANCE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10.1  Indemnification and Waiver</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10.2  Tenant’s Compliance With Landlord’s Property Insurance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342" w:type="dxa"/>
            <w:tcBorders/>
            <w:vAlign w:val="center"/>
          </w:tcPr>
          <w:p>
            <w:pPr>
              <w:pStyle w:val="TableContents"/>
              <w:bidi w:val="0"/>
              <w:spacing w:before="0" w:after="283"/>
              <w:jc w:val="left"/>
              <w:rPr>
                <w:sz w:val="4"/>
                <w:szCs w:val="4"/>
              </w:rPr>
            </w:pPr>
            <w:r>
              <w:rPr>
                <w:sz w:val="4"/>
                <w:szCs w:val="4"/>
              </w:rPr>
            </w:r>
          </w:p>
        </w:tc>
        <w:tc>
          <w:tcPr>
            <w:tcW w:w="863" w:type="dxa"/>
            <w:gridSpan w:val="4"/>
            <w:tcBorders/>
            <w:vAlign w:val="center"/>
          </w:tcPr>
          <w:p>
            <w:pPr>
              <w:pStyle w:val="TableContents"/>
              <w:bidi w:val="0"/>
              <w:spacing w:before="0" w:after="283"/>
              <w:jc w:val="left"/>
              <w:rPr>
                <w:sz w:val="4"/>
                <w:szCs w:val="4"/>
              </w:rPr>
            </w:pPr>
            <w:r>
              <w:rPr>
                <w:sz w:val="4"/>
                <w:szCs w:val="4"/>
              </w:rPr>
            </w:r>
          </w:p>
        </w:tc>
      </w:tr>
      <w:tr>
        <w:trPr/>
        <w:tc>
          <w:tcPr>
            <w:tcW w:w="9342" w:type="dxa"/>
            <w:tcBorders/>
          </w:tcPr>
          <w:p>
            <w:pPr>
              <w:pStyle w:val="TableContents"/>
              <w:bidi w:val="0"/>
              <w:spacing w:before="0" w:after="0"/>
              <w:jc w:val="left"/>
              <w:rPr>
                <w:rFonts w:ascii="Times New Roman" w:hAnsi="Times New Roman"/>
                <w:sz w:val="20"/>
              </w:rPr>
            </w:pPr>
            <w:r>
              <w:rPr>
                <w:rFonts w:ascii="Times New Roman" w:hAnsi="Times New Roman"/>
                <w:sz w:val="20"/>
              </w:rPr>
              <w:t>10.3  Tenant’s Insurance</w:t>
            </w:r>
          </w:p>
        </w:tc>
        <w:tc>
          <w:tcPr>
            <w:tcW w:w="2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54"/>
        <w:gridCol w:w="168"/>
        <w:gridCol w:w="60"/>
        <w:gridCol w:w="261"/>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10.4  Form of Policies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10.5  Subrogation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10.6  Additional Insurance Obligations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10.7  Landlord’s Insurance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11.  DAMAGE AND DESTRUCTION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11.1  Repair of Damage to Premise by Landlord</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11.2  Landlord’s Option to Repair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12.  NONWAIVER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13.  condemnation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14.  ASSIGNMENT AND SUBLETTING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14.1  Transfers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14.2  Landlord’s Consent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14.3  Transfer Premium</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14.4  Landlord’s Option as to Subject Space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14.5  Effect of Transfer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14.6  Occurrence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14.7  Non-Transfers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14.8  Sublease/Transfer Restrictions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15.  SURRENDER OF PREMISES; OWNERSHIP AND REMOVAL OF TRADE FIXTURES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15.1  Surrender of Premises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15.2  Removal of Tenant Property by Tenant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15.3  Environmental Assessment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16.  HOLDING OVER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17.  ESTOPPEL CERTIFICATES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18.  SUBORDINATION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19.  DEFAULTS; REMEDIES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19.1  Events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19.2  Remedies Upon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19.3  Subleases of Tenant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19.4  Efforts to Relet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19.5  Landlord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20.  COVENANT OF QUIET ENJOYMENT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21.  SECURITY DEPOSIT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22.  SUBSTITUTION OF OTHER PREMISES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23.  SIGNS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23.1  Signage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23.2  Prohibited Signage and Other Items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24.  COMPLIANCE WITH LAW</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25.  LATE CHARGES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51"/>
        <w:gridCol w:w="168"/>
        <w:gridCol w:w="60"/>
        <w:gridCol w:w="263"/>
        <w:gridCol w:w="63"/>
      </w:tblGrid>
      <w:tr>
        <w:trPr/>
        <w:tc>
          <w:tcPr>
            <w:tcW w:w="9651"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26.  LANDLORD’S RIGHT TO CURE DEFAULT; PAYMENTS BY TENANT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26.1  Landlord’s Cure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26.2  Tenant’s Reimbursement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27.  ENTRY BY LANDLORD</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28.  TENANT PARKING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29.  MISCELLANEOUS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29.1  Terms; Captions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29.2  Binding Effect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29.3  No Air Rights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29.4  Modification of Lease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29.5  Transfer of Landlord’s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29.6  Prohibition Against Recording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29.7  Landlord’s Title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29.8  Relationship of Parties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29.9  Application of Payments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29.10 Time of Essence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29.11 Partial Invalidity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29.12 No Warranty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29.13 Landlord Exculpation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29.14 Entire Agreement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29.15 Right to Lease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29.16 Force Majeure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29.17 Waiver of Redemption by Tenant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29.18 Notices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29.19 Joint and Several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20.20 Authority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29.21 Attorneys’ Fees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29.22 Governing Law; WAIVER OF TRIAL BY JURY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29.23 Submission of Lease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29.24 Brokers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29.25 Project or Building Name, Address and Signage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29.26 Counterparts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29.27 Confidentiality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29.28 Construction of Property and Other Improvements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29.29 No Violation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29.30 Communications and Computer Lines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29.31 Transportation Management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29.32 Rooftop Rights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29.33 Other Special Appurtenant Rights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29.34 REIT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297"/>
                              <w:gridCol w:w="148"/>
                              <w:gridCol w:w="29"/>
                              <w:gridCol w:w="395"/>
                              <w:gridCol w:w="29"/>
                            </w:tblGrid>
                            <w:tr>
                              <w:trPr/>
                              <w:tc>
                                <w:tcPr>
                                  <w:tcW w:w="429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Passes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Advocate Arbitrators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Alterations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Bank Prime Loan</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Base Rent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BMBL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Builder’s All Risk</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Hours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Clean-up</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12, 13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Closure Letter.</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Comparable Buildings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Comparable Transactions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Concessions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Contemplated Effective Date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Contemplated Transfer Space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DHHS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Direct Expenses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Assessment.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3, 26</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Assessments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Laws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Questionnaire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Report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 Statement.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Estimated Delivery Date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Estimated Direct Expenses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8, 9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Existing Hazardous Materials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12, 14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Expense Year</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Fair Rental Value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First Class Life Sciences Projects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Free Rent Amounts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Future Shaft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Future Shaft Wall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 Claims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Holidays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HVAC</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Initial Premises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Intention to Transfer Notice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L/C Security</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Landlord</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3,36,1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Landlord Parties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297"/>
                        <w:gridCol w:w="148"/>
                        <w:gridCol w:w="29"/>
                        <w:gridCol w:w="395"/>
                        <w:gridCol w:w="29"/>
                      </w:tblGrid>
                      <w:tr>
                        <w:trPr/>
                        <w:tc>
                          <w:tcPr>
                            <w:tcW w:w="429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Passes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Advocate Arbitrators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Alterations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Bank Prime Loan</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Base Rent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BMBL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Builder’s All Risk</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Building Hours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Clean-up</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12, 13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Closure Letter.</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Common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Comparable Buildings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Comparable Transactions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Concessions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Contemplated Effective Date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Contemplated Transfer Space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DHHS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Direct Expenses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Assessment.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3, 26</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Assessments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Laws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Questionnaire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Report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 Statement.</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Estimated Delivery Date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Estimated Direct Expenses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8, 9</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Existing Hazardous Materials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12, 14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Expense Year</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Fair Rental Value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First Class Life Sciences Projects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Free Rent Amounts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Future Shaft Areas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Future Shaft Wall</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 Claims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Holidays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HVAC</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Initial Premises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Intention to Transfer Notice</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L/C Security</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32</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Landlord</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3,36,1</w:t>
                            </w:r>
                          </w:p>
                        </w:tc>
                        <w:tc>
                          <w:tcPr>
                            <w:tcW w:w="29" w:type="dxa"/>
                            <w:tcBorders/>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Landlord Parties</w:t>
                            </w:r>
                          </w:p>
                        </w:tc>
                        <w:tc>
                          <w:tcPr>
                            <w:tcW w:w="148"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997204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36"/>
                              <w:gridCol w:w="151"/>
                              <w:gridCol w:w="29"/>
                              <w:gridCol w:w="454"/>
                              <w:gridCol w:w="30"/>
                            </w:tblGrid>
                            <w:tr>
                              <w:trPr/>
                              <w:tc>
                                <w:tcPr>
                                  <w:tcW w:w="4336"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Landlord Repair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Commencement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Expiration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Term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Year</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Lines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Mail</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Material Service Interruption</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Net Worth</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Neutral Arbitrator</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Conditions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Rent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Term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Original Tenant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Outside Agreement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PCBs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Permitted Assignee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Permitted Transferee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Premises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 Common Areas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Released</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rentable square feet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Shaft Space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Rooftop Equipment.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Rooftop Installation Areas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Service Interruption</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Service Interruption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Special Systems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Statement.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Subject Space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Summary</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Tax Expenses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4, 5,7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3, 36,1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 Parties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Tenant’s Share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Tenant’s Subleasing Costs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 Premium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23, 24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2, 23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TRIPLE NET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Underlying Documents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Vertical Lift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36"/>
                        <w:gridCol w:w="151"/>
                        <w:gridCol w:w="29"/>
                        <w:gridCol w:w="454"/>
                        <w:gridCol w:w="30"/>
                      </w:tblGrid>
                      <w:tr>
                        <w:trPr/>
                        <w:tc>
                          <w:tcPr>
                            <w:tcW w:w="4336"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Landlord Repair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Commencement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Expiration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Term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Lease Year</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Lines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Mail</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Material Service Interruption</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Net Worth</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Neutral Arbitrator</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Conditions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Rent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Option Term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Original Tenant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Outside Agreement Date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PCBs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Permitted Assignee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Permitted Transferee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Premises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 Common Areas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Project,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Released</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rentable square feet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Shaft Space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Rooftop Equipment.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Rooftop Installation Areas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Service Interruption</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Service Interruption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Special Systems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42</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Statement.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Subject Space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Summary</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Tax Expenses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4, 5,7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3, 36,1</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 Parties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Tenant’s Share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4, 8</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Tenant’s Subleasing Costs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 Notice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 Premium</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23, 24</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Transferee</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2, 23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Transfers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TRIPLE NET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Underlying Documents</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36" w:type="dxa"/>
                            <w:tcBorders/>
                          </w:tcPr>
                          <w:p>
                            <w:pPr>
                              <w:pStyle w:val="TableContents"/>
                              <w:bidi w:val="0"/>
                              <w:spacing w:before="0" w:after="0"/>
                              <w:jc w:val="left"/>
                              <w:rPr>
                                <w:rFonts w:ascii="Times New Roman" w:hAnsi="Times New Roman"/>
                                <w:sz w:val="20"/>
                              </w:rPr>
                            </w:pPr>
                            <w:r>
                              <w:rPr>
                                <w:rFonts w:ascii="Times New Roman" w:hAnsi="Times New Roman"/>
                                <w:sz w:val="20"/>
                              </w:rPr>
                              <w:t>Vertical Lift</w:t>
                            </w:r>
                          </w:p>
                        </w:tc>
                        <w:tc>
                          <w:tcPr>
                            <w:tcW w:w="151"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1030 MASSACHUSETTS AVENUE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LEASE </w:t>
      </w:r>
    </w:p>
    <w:p>
      <w:pPr>
        <w:pStyle w:val="TextBody"/>
        <w:bidi w:val="0"/>
        <w:spacing w:before="240" w:after="0"/>
        <w:jc w:val="left"/>
        <w:rPr>
          <w:rFonts w:ascii="Times New Roman" w:hAnsi="Times New Roman"/>
          <w:sz w:val="20"/>
        </w:rPr>
      </w:pPr>
      <w:r>
        <w:rPr>
          <w:rFonts w:ascii="Times New Roman" w:hAnsi="Times New Roman"/>
          <w:sz w:val="20"/>
        </w:rPr>
        <w:t>This Lease (the “</w:t>
      </w:r>
      <w:r>
        <w:rPr>
          <w:rFonts w:ascii="Times New Roman" w:hAnsi="Times New Roman"/>
          <w:b/>
          <w:sz w:val="20"/>
        </w:rPr>
        <w:t>Lease</w:t>
      </w:r>
      <w:r>
        <w:rPr>
          <w:rFonts w:ascii="Times New Roman" w:hAnsi="Times New Roman"/>
          <w:sz w:val="20"/>
        </w:rPr>
        <w:t xml:space="preserve">”), dated as of the date set forth in </w:t>
      </w:r>
      <w:r>
        <w:rPr>
          <w:rFonts w:ascii="Times New Roman" w:hAnsi="Times New Roman"/>
          <w:sz w:val="20"/>
          <w:u w:val="single"/>
        </w:rPr>
        <w:t>Section 1</w:t>
      </w:r>
      <w:r>
        <w:rPr>
          <w:rFonts w:ascii="Times New Roman" w:hAnsi="Times New Roman"/>
          <w:sz w:val="20"/>
        </w:rPr>
        <w:t xml:space="preserve"> of the Summary of Basic Lease Information (the “</w:t>
      </w:r>
      <w:r>
        <w:rPr>
          <w:rFonts w:ascii="Times New Roman" w:hAnsi="Times New Roman"/>
          <w:b/>
          <w:sz w:val="20"/>
        </w:rPr>
        <w:t>Summary</w:t>
      </w:r>
      <w:r>
        <w:rPr>
          <w:rFonts w:ascii="Times New Roman" w:hAnsi="Times New Roman"/>
          <w:sz w:val="20"/>
        </w:rPr>
        <w:t>”), below, is made by and between CAMBRIDGE 1030 MASS AVE, LLC, a Delaware limited liability company (“</w:t>
      </w:r>
      <w:r>
        <w:rPr>
          <w:rFonts w:ascii="Times New Roman" w:hAnsi="Times New Roman"/>
          <w:b/>
          <w:sz w:val="20"/>
        </w:rPr>
        <w:t>Landlord</w:t>
      </w:r>
      <w:r>
        <w:rPr>
          <w:rFonts w:ascii="Times New Roman" w:hAnsi="Times New Roman"/>
          <w:sz w:val="20"/>
        </w:rPr>
        <w:t>”), and OBSIDIAN THERAPEUTICS, INC.,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SUMMARY OF BASIC LEASE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5"/>
        <w:gridCol w:w="122"/>
        <w:gridCol w:w="4938"/>
      </w:tblGrid>
      <w:tr>
        <w:trPr/>
        <w:tc>
          <w:tcPr>
            <w:tcW w:w="51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38" w:type="dxa"/>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TERMS OF LEASE</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DESCRIPTION</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1.   Date:</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May _________, 2017</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2.   Premises (</w:t>
            </w:r>
            <w:r>
              <w:rPr>
                <w:rFonts w:ascii="Times New Roman" w:hAnsi="Times New Roman"/>
                <w:sz w:val="20"/>
                <w:u w:val="single"/>
              </w:rPr>
              <w:t>Article 1</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sz w:val="4"/>
                <w:szCs w:val="4"/>
              </w:rPr>
            </w:pPr>
            <w:r>
              <w:rPr>
                <w:sz w:val="4"/>
                <w:szCs w:val="4"/>
              </w:rPr>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2.1  Building:</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That certain building containing approximately 77,805 rentable square feet of space (including approximately 7,010 rentable square feet of ground floor retail space) located at 1030 Massachusetts Avenue, Cambridge, Massachusetts</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2.2  Premises</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17,805 rentable square feet of space in the Building comprised of (i) 16,086 rentable square feet of space on the fourth floor of the Building (the “</w:t>
            </w:r>
            <w:r>
              <w:rPr>
                <w:b/>
              </w:rPr>
              <w:t>Fourth Floor Premises</w:t>
            </w:r>
            <w:r>
              <w:rPr/>
              <w:t>”), and (ii) 1,721 rentable square feet of space on the first floor of the Building (the “</w:t>
            </w:r>
            <w:r>
              <w:rPr>
                <w:b/>
              </w:rPr>
              <w:t>First Floor Premises</w:t>
            </w:r>
            <w:r>
              <w:rPr/>
              <w:t xml:space="preserve">”), as further set forth in </w:t>
            </w:r>
            <w:r>
              <w:rPr>
                <w:u w:val="single"/>
              </w:rPr>
              <w:t>Exhibit 2.2</w:t>
            </w:r>
            <w:r>
              <w:rPr/>
              <w:t xml:space="preserve"> to the Lease (collectively, the “</w:t>
            </w:r>
            <w:r>
              <w:rPr>
                <w:b/>
              </w:rPr>
              <w:t>Premises</w:t>
            </w:r>
            <w:r>
              <w:rPr/>
              <w:t>”).</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3.   Lease Term (</w:t>
            </w:r>
            <w:r>
              <w:rPr>
                <w:rFonts w:ascii="Times New Roman" w:hAnsi="Times New Roman"/>
                <w:sz w:val="20"/>
                <w:u w:val="single"/>
              </w:rPr>
              <w:t>Article 2</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sz w:val="4"/>
                <w:szCs w:val="4"/>
              </w:rPr>
            </w:pPr>
            <w:r>
              <w:rPr>
                <w:sz w:val="4"/>
                <w:szCs w:val="4"/>
              </w:rPr>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3.1  Length of Term:</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Approximately six (6) years and six (6) months from the Fourth Floor Premises Rent Commencement Date.</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3.2  Commencement Dates:</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 xml:space="preserve">a. </w:t>
            </w:r>
            <w:r>
              <w:rPr>
                <w:u w:val="single"/>
              </w:rPr>
              <w:t>Fourth Floor Premises</w:t>
            </w:r>
            <w:r>
              <w:rPr/>
              <w:t xml:space="preserve"> - The date that Landlord delivers the Fourth Floor Premises to Tenant (the “</w:t>
            </w:r>
            <w:r>
              <w:rPr>
                <w:b/>
              </w:rPr>
              <w:t>Fourth Floor Premises Commencement Date</w:t>
            </w:r>
            <w:r>
              <w:rPr/>
              <w:t>”). Landlord estimates that the Fourth Floor Premises Commencement Date will occur on June 1, 2017.</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 xml:space="preserve">b. </w:t>
            </w:r>
            <w:r>
              <w:rPr>
                <w:u w:val="single"/>
              </w:rPr>
              <w:t>First Floor Premises</w:t>
            </w:r>
            <w:r>
              <w:rPr/>
              <w:t xml:space="preserve"> - The date that Landlord delivers the First Floor Premises to Tenant (the “</w:t>
            </w:r>
            <w:r>
              <w:rPr>
                <w:b/>
              </w:rPr>
              <w:t>First Floor Premises Commencement Date</w:t>
            </w:r>
            <w:r>
              <w:rPr/>
              <w:t>”). Landlord estimates that the First Floor Premises Commencement Date will occur on September 1, 2017.</w:t>
            </w:r>
          </w:p>
        </w:tc>
      </w:tr>
      <w:tr>
        <w:trPr>
          <w:trHeight w:val="120" w:hRule="atLeast"/>
        </w:trPr>
        <w:tc>
          <w:tcPr>
            <w:tcW w:w="5145" w:type="dxa"/>
            <w:tcBorders/>
            <w:vAlign w:val="center"/>
          </w:tcPr>
          <w:p>
            <w:pPr>
              <w:pStyle w:val="TableContents"/>
              <w:bidi w:val="0"/>
              <w:spacing w:before="0" w:after="283"/>
              <w:jc w:val="left"/>
              <w:rPr>
                <w:sz w:val="4"/>
                <w:szCs w:val="4"/>
              </w:rPr>
            </w:pPr>
            <w:r>
              <w:rPr>
                <w:sz w:val="4"/>
                <w:szCs w:val="4"/>
              </w:rPr>
            </w:r>
          </w:p>
        </w:tc>
        <w:tc>
          <w:tcPr>
            <w:tcW w:w="5060" w:type="dxa"/>
            <w:gridSpan w:val="2"/>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3.3  Rent Commencement Dates:</w:t>
            </w:r>
          </w:p>
        </w:tc>
        <w:tc>
          <w:tcPr>
            <w:tcW w:w="122"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 xml:space="preserve">a. </w:t>
            </w:r>
            <w:r>
              <w:rPr>
                <w:u w:val="single"/>
              </w:rPr>
              <w:t>Fourth Floor Premises</w:t>
            </w:r>
            <w:r>
              <w:rPr/>
              <w:t xml:space="preserve"> - The earliest to occur of (i) the date that Tenant first occupies the “Fourth Floor Premises” for the conduct of its business or (ii) the date that is two (2) months following the Fourth Floor Premises Commencement Date (sometimes referred to herein as the “</w:t>
            </w:r>
            <w:r>
              <w:rPr>
                <w:b/>
              </w:rPr>
              <w:t>Fourth Floor Premises Rent Commencement Date</w:t>
            </w: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4"/>
        <w:gridCol w:w="120"/>
        <w:gridCol w:w="4981"/>
      </w:tblGrid>
      <w:tr>
        <w:trPr/>
        <w:tc>
          <w:tcPr>
            <w:tcW w:w="51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283"/>
              <w:jc w:val="left"/>
              <w:rPr/>
            </w:pPr>
            <w:r>
              <w:rPr/>
              <w:t xml:space="preserve">b. </w:t>
            </w:r>
            <w:r>
              <w:rPr>
                <w:u w:val="single"/>
              </w:rPr>
              <w:t>First Floor Premises</w:t>
            </w:r>
            <w:r>
              <w:rPr/>
              <w:t xml:space="preserve"> - The earlier to occur of (i) the date that Tenant first occupies the First Floor Premises for the conduct of its business or (ii) the date that is one (1) month following the First Floor Premises Commencement Date (sometimes referred to herein as the “</w:t>
            </w:r>
            <w:r>
              <w:rPr>
                <w:b/>
              </w:rPr>
              <w:t>First Floor Premises Rent Commencement Date</w:t>
            </w:r>
            <w:r>
              <w:rPr/>
              <w:t>”).</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3.4  Lease Expiration Date:</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283"/>
              <w:jc w:val="left"/>
              <w:rPr/>
            </w:pPr>
            <w:r>
              <w:rPr/>
              <w:t>The last day of the sixth (6th) month of the seventh (7th) Lease Year (as defined below).</w:t>
            </w:r>
          </w:p>
        </w:tc>
      </w:tr>
      <w:tr>
        <w:trPr>
          <w:trHeight w:val="120"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4.   Base Rent (</w:t>
            </w:r>
            <w:r>
              <w:rPr>
                <w:rFonts w:ascii="Times New Roman" w:hAnsi="Times New Roman"/>
                <w:sz w:val="20"/>
                <w:u w:val="single"/>
              </w:rPr>
              <w:t>Article 3</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Fourth Floor Premises: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59"/>
        <w:gridCol w:w="312"/>
        <w:gridCol w:w="173"/>
        <w:gridCol w:w="1620"/>
        <w:gridCol w:w="60"/>
        <w:gridCol w:w="312"/>
        <w:gridCol w:w="246"/>
        <w:gridCol w:w="1997"/>
        <w:gridCol w:w="60"/>
        <w:gridCol w:w="312"/>
        <w:gridCol w:w="423"/>
        <w:gridCol w:w="1748"/>
        <w:gridCol w:w="66"/>
      </w:tblGrid>
      <w:tr>
        <w:trPr/>
        <w:tc>
          <w:tcPr>
            <w:tcW w:w="205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5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Lease Year</w:t>
            </w:r>
          </w:p>
        </w:tc>
        <w:tc>
          <w:tcPr>
            <w:tcW w:w="312" w:type="dxa"/>
            <w:tcBorders/>
            <w:vAlign w:val="bottom"/>
          </w:tcPr>
          <w:p>
            <w:pPr>
              <w:pStyle w:val="TableContents"/>
              <w:bidi w:val="0"/>
              <w:spacing w:before="0" w:after="283"/>
              <w:jc w:val="left"/>
              <w:rPr/>
            </w:pPr>
            <w:r>
              <w:rPr/>
              <w:t>  </w:t>
            </w:r>
          </w:p>
        </w:tc>
        <w:tc>
          <w:tcPr>
            <w:tcW w:w="1793" w:type="dxa"/>
            <w:gridSpan w:val="2"/>
            <w:tcBorders>
              <w:bottom w:val="single" w:sz="8" w:space="0" w:color="000000"/>
            </w:tcBorders>
            <w:tcMar>
              <w:bottom w:w="28" w:type="dxa"/>
            </w:tcMar>
            <w:vAlign w:val="bottom"/>
          </w:tcPr>
          <w:p>
            <w:pPr>
              <w:pStyle w:val="TableContents"/>
              <w:bidi w:val="0"/>
              <w:spacing w:before="0" w:after="283"/>
              <w:jc w:val="center"/>
              <w:rPr/>
            </w:pPr>
            <w:r>
              <w:rPr/>
              <w:t>Annual Base Rent</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243" w:type="dxa"/>
            <w:gridSpan w:val="2"/>
            <w:tcBorders>
              <w:bottom w:val="single" w:sz="8" w:space="0" w:color="000000"/>
            </w:tcBorders>
            <w:tcMar>
              <w:bottom w:w="28" w:type="dxa"/>
            </w:tcMar>
            <w:vAlign w:val="bottom"/>
          </w:tcPr>
          <w:p>
            <w:pPr>
              <w:pStyle w:val="TableContents"/>
              <w:bidi w:val="0"/>
              <w:spacing w:before="0" w:after="283"/>
              <w:jc w:val="center"/>
              <w:rPr/>
            </w:pPr>
            <w:r>
              <w:rPr/>
              <w:t>Monthly Installment of</w:t>
              <w:br/>
              <w:t>Base Rent</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171" w:type="dxa"/>
            <w:gridSpan w:val="2"/>
            <w:tcBorders>
              <w:bottom w:val="single" w:sz="8" w:space="0" w:color="000000"/>
            </w:tcBorders>
            <w:tcMar>
              <w:bottom w:w="28" w:type="dxa"/>
            </w:tcMar>
            <w:vAlign w:val="bottom"/>
          </w:tcPr>
          <w:p>
            <w:pPr>
              <w:pStyle w:val="TableContents"/>
              <w:bidi w:val="0"/>
              <w:spacing w:before="0" w:after="283"/>
              <w:jc w:val="center"/>
              <w:rPr/>
            </w:pPr>
            <w:r>
              <w:rPr/>
              <w:t>Annual Base Rent per</w:t>
              <w:br/>
              <w:t>Rentable Square Foot</w:t>
            </w:r>
          </w:p>
        </w:tc>
        <w:tc>
          <w:tcPr>
            <w:tcW w:w="66" w:type="dxa"/>
            <w:tcBorders/>
            <w:vAlign w:val="bottom"/>
          </w:tcPr>
          <w:p>
            <w:pPr>
              <w:pStyle w:val="TableContents"/>
              <w:bidi w:val="0"/>
              <w:spacing w:before="0" w:after="283"/>
              <w:jc w:val="left"/>
              <w:rPr/>
            </w:pPr>
            <w:r>
              <w:rPr/>
              <w:t> </w:t>
            </w:r>
          </w:p>
        </w:tc>
      </w:tr>
      <w:tr>
        <w:trPr/>
        <w:tc>
          <w:tcPr>
            <w:tcW w:w="2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31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1,230,579.00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997" w:type="dxa"/>
            <w:tcBorders/>
            <w:shd w:fill="CCEEFF" w:val="clear"/>
            <w:vAlign w:val="bottom"/>
          </w:tcPr>
          <w:p>
            <w:pPr>
              <w:pStyle w:val="TableContents"/>
              <w:bidi w:val="0"/>
              <w:spacing w:before="0" w:after="283"/>
              <w:jc w:val="right"/>
              <w:rPr/>
            </w:pPr>
            <w:r>
              <w:rPr/>
              <w:t>102,548.25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76.50</w:t>
            </w:r>
          </w:p>
        </w:tc>
        <w:tc>
          <w:tcPr>
            <w:tcW w:w="66" w:type="dxa"/>
            <w:tcBorders/>
            <w:shd w:fill="CCEEFF" w:val="clear"/>
            <w:vAlign w:val="bottom"/>
          </w:tcPr>
          <w:p>
            <w:pPr>
              <w:pStyle w:val="TableContents"/>
              <w:bidi w:val="0"/>
              <w:spacing w:before="0" w:after="283"/>
              <w:jc w:val="left"/>
              <w:rPr/>
            </w:pPr>
            <w:r>
              <w:rPr/>
              <w:t> </w:t>
            </w:r>
          </w:p>
        </w:tc>
      </w:tr>
      <w:tr>
        <w:trPr/>
        <w:tc>
          <w:tcPr>
            <w:tcW w:w="2059"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31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1,267,496.37</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997" w:type="dxa"/>
            <w:tcBorders/>
            <w:vAlign w:val="bottom"/>
          </w:tcPr>
          <w:p>
            <w:pPr>
              <w:pStyle w:val="TableContents"/>
              <w:bidi w:val="0"/>
              <w:spacing w:before="0" w:after="283"/>
              <w:jc w:val="right"/>
              <w:rPr/>
            </w:pPr>
            <w:r>
              <w:rPr/>
              <w:t>105,624.70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78.80</w:t>
            </w:r>
          </w:p>
        </w:tc>
        <w:tc>
          <w:tcPr>
            <w:tcW w:w="66" w:type="dxa"/>
            <w:tcBorders/>
            <w:vAlign w:val="bottom"/>
          </w:tcPr>
          <w:p>
            <w:pPr>
              <w:pStyle w:val="TableContents"/>
              <w:bidi w:val="0"/>
              <w:spacing w:before="0" w:after="283"/>
              <w:jc w:val="left"/>
              <w:rPr/>
            </w:pPr>
            <w:r>
              <w:rPr/>
              <w:t> </w:t>
            </w:r>
          </w:p>
        </w:tc>
      </w:tr>
      <w:tr>
        <w:trPr/>
        <w:tc>
          <w:tcPr>
            <w:tcW w:w="2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31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1,305,521.65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997" w:type="dxa"/>
            <w:tcBorders/>
            <w:shd w:fill="CCEEFF" w:val="clear"/>
            <w:vAlign w:val="bottom"/>
          </w:tcPr>
          <w:p>
            <w:pPr>
              <w:pStyle w:val="TableContents"/>
              <w:bidi w:val="0"/>
              <w:spacing w:before="0" w:after="283"/>
              <w:jc w:val="right"/>
              <w:rPr/>
            </w:pPr>
            <w:r>
              <w:rPr/>
              <w:t>108,793.44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81.16</w:t>
            </w:r>
          </w:p>
        </w:tc>
        <w:tc>
          <w:tcPr>
            <w:tcW w:w="66" w:type="dxa"/>
            <w:tcBorders/>
            <w:shd w:fill="CCEEFF" w:val="clear"/>
            <w:vAlign w:val="bottom"/>
          </w:tcPr>
          <w:p>
            <w:pPr>
              <w:pStyle w:val="TableContents"/>
              <w:bidi w:val="0"/>
              <w:spacing w:before="0" w:after="283"/>
              <w:jc w:val="left"/>
              <w:rPr/>
            </w:pPr>
            <w:r>
              <w:rPr/>
              <w:t> </w:t>
            </w:r>
          </w:p>
        </w:tc>
      </w:tr>
      <w:tr>
        <w:trPr/>
        <w:tc>
          <w:tcPr>
            <w:tcW w:w="2059"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31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1,344,686.90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997" w:type="dxa"/>
            <w:tcBorders/>
            <w:vAlign w:val="bottom"/>
          </w:tcPr>
          <w:p>
            <w:pPr>
              <w:pStyle w:val="TableContents"/>
              <w:bidi w:val="0"/>
              <w:spacing w:before="0" w:after="283"/>
              <w:jc w:val="right"/>
              <w:rPr/>
            </w:pPr>
            <w:r>
              <w:rPr/>
              <w:t>112,057.24</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83.59</w:t>
            </w:r>
          </w:p>
        </w:tc>
        <w:tc>
          <w:tcPr>
            <w:tcW w:w="66" w:type="dxa"/>
            <w:tcBorders/>
            <w:vAlign w:val="bottom"/>
          </w:tcPr>
          <w:p>
            <w:pPr>
              <w:pStyle w:val="TableContents"/>
              <w:bidi w:val="0"/>
              <w:spacing w:before="0" w:after="283"/>
              <w:jc w:val="left"/>
              <w:rPr/>
            </w:pPr>
            <w:r>
              <w:rPr/>
              <w:t> </w:t>
            </w:r>
          </w:p>
        </w:tc>
      </w:tr>
      <w:tr>
        <w:trPr/>
        <w:tc>
          <w:tcPr>
            <w:tcW w:w="2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31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1,385,027.51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997" w:type="dxa"/>
            <w:tcBorders/>
            <w:shd w:fill="CCEEFF" w:val="clear"/>
            <w:vAlign w:val="bottom"/>
          </w:tcPr>
          <w:p>
            <w:pPr>
              <w:pStyle w:val="TableContents"/>
              <w:bidi w:val="0"/>
              <w:spacing w:before="0" w:after="283"/>
              <w:jc w:val="right"/>
              <w:rPr/>
            </w:pPr>
            <w:r>
              <w:rPr/>
              <w:t>115,418.96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86.10</w:t>
            </w:r>
          </w:p>
        </w:tc>
        <w:tc>
          <w:tcPr>
            <w:tcW w:w="66" w:type="dxa"/>
            <w:tcBorders/>
            <w:shd w:fill="CCEEFF" w:val="clear"/>
            <w:vAlign w:val="bottom"/>
          </w:tcPr>
          <w:p>
            <w:pPr>
              <w:pStyle w:val="TableContents"/>
              <w:bidi w:val="0"/>
              <w:spacing w:before="0" w:after="283"/>
              <w:jc w:val="left"/>
              <w:rPr/>
            </w:pPr>
            <w:r>
              <w:rPr/>
              <w:t> </w:t>
            </w:r>
          </w:p>
        </w:tc>
      </w:tr>
      <w:tr>
        <w:trPr/>
        <w:tc>
          <w:tcPr>
            <w:tcW w:w="2059"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31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1,426,578.33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997" w:type="dxa"/>
            <w:tcBorders/>
            <w:vAlign w:val="bottom"/>
          </w:tcPr>
          <w:p>
            <w:pPr>
              <w:pStyle w:val="TableContents"/>
              <w:bidi w:val="0"/>
              <w:spacing w:before="0" w:after="283"/>
              <w:jc w:val="right"/>
              <w:rPr/>
            </w:pPr>
            <w:r>
              <w:rPr/>
              <w:t>118,881.28</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88.69</w:t>
            </w:r>
          </w:p>
        </w:tc>
        <w:tc>
          <w:tcPr>
            <w:tcW w:w="66" w:type="dxa"/>
            <w:tcBorders/>
            <w:vAlign w:val="bottom"/>
          </w:tcPr>
          <w:p>
            <w:pPr>
              <w:pStyle w:val="TableContents"/>
              <w:bidi w:val="0"/>
              <w:spacing w:before="0" w:after="283"/>
              <w:jc w:val="left"/>
              <w:rPr/>
            </w:pPr>
            <w:r>
              <w:rPr/>
              <w:t> </w:t>
            </w:r>
          </w:p>
        </w:tc>
      </w:tr>
      <w:tr>
        <w:trPr/>
        <w:tc>
          <w:tcPr>
            <w:tcW w:w="2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31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1,469,375.68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997" w:type="dxa"/>
            <w:tcBorders/>
            <w:shd w:fill="CCEEFF" w:val="clear"/>
            <w:vAlign w:val="bottom"/>
          </w:tcPr>
          <w:p>
            <w:pPr>
              <w:pStyle w:val="TableContents"/>
              <w:bidi w:val="0"/>
              <w:spacing w:before="0" w:after="283"/>
              <w:jc w:val="right"/>
              <w:rPr/>
            </w:pPr>
            <w:r>
              <w:rPr/>
              <w:t>122,447.97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91.35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First Floor Premises: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35"/>
        <w:gridCol w:w="344"/>
        <w:gridCol w:w="140"/>
        <w:gridCol w:w="1113"/>
        <w:gridCol w:w="60"/>
        <w:gridCol w:w="344"/>
        <w:gridCol w:w="140"/>
        <w:gridCol w:w="1035"/>
        <w:gridCol w:w="60"/>
        <w:gridCol w:w="344"/>
        <w:gridCol w:w="181"/>
        <w:gridCol w:w="728"/>
        <w:gridCol w:w="64"/>
      </w:tblGrid>
      <w:tr>
        <w:trPr/>
        <w:tc>
          <w:tcPr>
            <w:tcW w:w="483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bottom"/>
          </w:tcPr>
          <w:p>
            <w:pPr>
              <w:pStyle w:val="TableContents"/>
              <w:bidi w:val="0"/>
              <w:spacing w:before="0" w:after="283"/>
              <w:jc w:val="left"/>
              <w:rPr/>
            </w:pPr>
            <w:r>
              <w:rPr/>
              <w:t>Lease Year</w:t>
            </w:r>
          </w:p>
        </w:tc>
        <w:tc>
          <w:tcPr>
            <w:tcW w:w="344" w:type="dxa"/>
            <w:tcBorders/>
            <w:vAlign w:val="bottom"/>
          </w:tcPr>
          <w:p>
            <w:pPr>
              <w:pStyle w:val="TableContents"/>
              <w:bidi w:val="0"/>
              <w:spacing w:before="0" w:after="283"/>
              <w:jc w:val="left"/>
              <w:rPr/>
            </w:pPr>
            <w:r>
              <w:rPr/>
              <w:t>  </w:t>
            </w:r>
          </w:p>
        </w:tc>
        <w:tc>
          <w:tcPr>
            <w:tcW w:w="1253"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Annual</w:t>
            </w:r>
          </w:p>
          <w:p>
            <w:pPr>
              <w:pStyle w:val="TableContents"/>
              <w:bidi w:val="0"/>
              <w:spacing w:before="0" w:after="20"/>
              <w:jc w:val="center"/>
              <w:rPr>
                <w:rFonts w:ascii="Times New Roman" w:hAnsi="Times New Roman"/>
                <w:sz w:val="16"/>
              </w:rPr>
            </w:pPr>
            <w:r>
              <w:rPr>
                <w:rFonts w:ascii="Times New Roman" w:hAnsi="Times New Roman"/>
                <w:sz w:val="16"/>
              </w:rPr>
              <w:t>Base Rent</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Monthly</w:t>
            </w:r>
          </w:p>
          <w:p>
            <w:pPr>
              <w:pStyle w:val="TableContents"/>
              <w:bidi w:val="0"/>
              <w:spacing w:before="0" w:after="0"/>
              <w:jc w:val="center"/>
              <w:rPr>
                <w:rFonts w:ascii="Times New Roman" w:hAnsi="Times New Roman"/>
                <w:sz w:val="16"/>
              </w:rPr>
            </w:pPr>
            <w:r>
              <w:rPr>
                <w:rFonts w:ascii="Times New Roman" w:hAnsi="Times New Roman"/>
                <w:sz w:val="16"/>
              </w:rPr>
              <w:t>Installment</w:t>
            </w:r>
          </w:p>
          <w:p>
            <w:pPr>
              <w:pStyle w:val="TableContents"/>
              <w:bidi w:val="0"/>
              <w:spacing w:before="0" w:after="20"/>
              <w:jc w:val="center"/>
              <w:rPr>
                <w:rFonts w:ascii="Times New Roman" w:hAnsi="Times New Roman"/>
                <w:sz w:val="16"/>
              </w:rPr>
            </w:pPr>
            <w:r>
              <w:rPr>
                <w:rFonts w:ascii="Times New Roman" w:hAnsi="Times New Roman"/>
                <w:sz w:val="16"/>
              </w:rPr>
              <w:t>of Base Rent</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0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Annual Base</w:t>
            </w:r>
          </w:p>
          <w:p>
            <w:pPr>
              <w:pStyle w:val="TableContents"/>
              <w:bidi w:val="0"/>
              <w:spacing w:before="0" w:after="0"/>
              <w:jc w:val="center"/>
              <w:rPr>
                <w:rFonts w:ascii="Times New Roman" w:hAnsi="Times New Roman"/>
                <w:sz w:val="16"/>
              </w:rPr>
            </w:pPr>
            <w:r>
              <w:rPr>
                <w:rFonts w:ascii="Times New Roman" w:hAnsi="Times New Roman"/>
                <w:sz w:val="16"/>
              </w:rPr>
              <w:t>Rent</w:t>
            </w:r>
          </w:p>
          <w:p>
            <w:pPr>
              <w:pStyle w:val="TableContents"/>
              <w:bidi w:val="0"/>
              <w:spacing w:before="0" w:after="0"/>
              <w:jc w:val="center"/>
              <w:rPr>
                <w:rFonts w:ascii="Times New Roman" w:hAnsi="Times New Roman"/>
                <w:sz w:val="16"/>
              </w:rPr>
            </w:pPr>
            <w:r>
              <w:rPr>
                <w:rFonts w:ascii="Times New Roman" w:hAnsi="Times New Roman"/>
                <w:sz w:val="16"/>
              </w:rPr>
              <w:t>per Rentable</w:t>
            </w:r>
          </w:p>
          <w:p>
            <w:pPr>
              <w:pStyle w:val="TableContents"/>
              <w:bidi w:val="0"/>
              <w:spacing w:before="0" w:after="20"/>
              <w:jc w:val="center"/>
              <w:rPr>
                <w:rFonts w:ascii="Times New Roman" w:hAnsi="Times New Roman"/>
                <w:sz w:val="16"/>
              </w:rPr>
            </w:pPr>
            <w:r>
              <w:rPr>
                <w:rFonts w:ascii="Times New Roman" w:hAnsi="Times New Roman"/>
                <w:sz w:val="16"/>
              </w:rPr>
              <w:t>Square Foot</w:t>
            </w:r>
          </w:p>
        </w:tc>
        <w:tc>
          <w:tcPr>
            <w:tcW w:w="64"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131,656.50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10,971.38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76.50</w:t>
            </w:r>
          </w:p>
        </w:tc>
        <w:tc>
          <w:tcPr>
            <w:tcW w:w="64"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135,606.20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11,300.52</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78.80</w:t>
            </w:r>
          </w:p>
        </w:tc>
        <w:tc>
          <w:tcPr>
            <w:tcW w:w="64"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139,674.38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11,639.53</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81.16</w:t>
            </w:r>
          </w:p>
        </w:tc>
        <w:tc>
          <w:tcPr>
            <w:tcW w:w="64"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143,864.61</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11,988.72</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83.59</w:t>
            </w:r>
          </w:p>
        </w:tc>
        <w:tc>
          <w:tcPr>
            <w:tcW w:w="64"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148,180.55</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12,348.38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86.10</w:t>
            </w:r>
          </w:p>
        </w:tc>
        <w:tc>
          <w:tcPr>
            <w:tcW w:w="64" w:type="dxa"/>
            <w:tcBorders/>
            <w:shd w:fill="CCEEFF" w:val="clear"/>
            <w:vAlign w:val="bottom"/>
          </w:tcPr>
          <w:p>
            <w:pPr>
              <w:pStyle w:val="TableContents"/>
              <w:bidi w:val="0"/>
              <w:spacing w:before="0" w:after="283"/>
              <w:jc w:val="left"/>
              <w:rPr/>
            </w:pPr>
            <w:r>
              <w:rPr/>
              <w:t> </w:t>
            </w:r>
          </w:p>
        </w:tc>
      </w:tr>
      <w:tr>
        <w:trPr/>
        <w:tc>
          <w:tcPr>
            <w:tcW w:w="4835"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152,625.97</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12,718.83</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88.68</w:t>
            </w:r>
          </w:p>
        </w:tc>
        <w:tc>
          <w:tcPr>
            <w:tcW w:w="64" w:type="dxa"/>
            <w:tcBorders/>
            <w:vAlign w:val="bottom"/>
          </w:tcPr>
          <w:p>
            <w:pPr>
              <w:pStyle w:val="TableContents"/>
              <w:bidi w:val="0"/>
              <w:spacing w:before="0" w:after="283"/>
              <w:jc w:val="left"/>
              <w:rPr/>
            </w:pPr>
            <w:r>
              <w:rPr/>
              <w:t> </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157,204.75</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13,100.40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91.35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8"/>
        <w:gridCol w:w="120"/>
        <w:gridCol w:w="4947"/>
      </w:tblGrid>
      <w:tr>
        <w:trPr/>
        <w:tc>
          <w:tcPr>
            <w:tcW w:w="51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7" w:type="dxa"/>
            <w:tcBorders/>
            <w:vAlign w:val="center"/>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5.   Tenant Improvement Allowance</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$10.00 per rentable square foot of the Premises ($178,070.00)</w:t>
            </w:r>
          </w:p>
        </w:tc>
      </w:tr>
      <w:tr>
        <w:trPr>
          <w:trHeight w:val="120" w:hRule="atLeast"/>
        </w:trPr>
        <w:tc>
          <w:tcPr>
            <w:tcW w:w="5138" w:type="dxa"/>
            <w:tcBorders/>
            <w:vAlign w:val="center"/>
          </w:tcPr>
          <w:p>
            <w:pPr>
              <w:pStyle w:val="TableContents"/>
              <w:bidi w:val="0"/>
              <w:spacing w:before="0" w:after="283"/>
              <w:jc w:val="left"/>
              <w:rPr>
                <w:sz w:val="4"/>
                <w:szCs w:val="4"/>
              </w:rPr>
            </w:pPr>
            <w:r>
              <w:rPr>
                <w:sz w:val="4"/>
                <w:szCs w:val="4"/>
              </w:rPr>
            </w:r>
          </w:p>
        </w:tc>
        <w:tc>
          <w:tcPr>
            <w:tcW w:w="5067" w:type="dxa"/>
            <w:gridSpan w:val="2"/>
            <w:tcBorders/>
            <w:vAlign w:val="center"/>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6.   NNN Lease:</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 xml:space="preserve">In addition to the Base Rent, Tenant shall be responsible to pay Tenant’s Share of Direct Expenses in accordance with the terms of </w:t>
            </w:r>
            <w:r>
              <w:rPr>
                <w:u w:val="single"/>
              </w:rPr>
              <w:t>Article 4</w:t>
            </w:r>
            <w:r>
              <w:rPr/>
              <w:t xml:space="preserve"> of the Lease.</w:t>
            </w:r>
          </w:p>
        </w:tc>
      </w:tr>
      <w:tr>
        <w:trPr>
          <w:trHeight w:val="120" w:hRule="atLeast"/>
        </w:trPr>
        <w:tc>
          <w:tcPr>
            <w:tcW w:w="5138" w:type="dxa"/>
            <w:tcBorders/>
            <w:vAlign w:val="center"/>
          </w:tcPr>
          <w:p>
            <w:pPr>
              <w:pStyle w:val="TableContents"/>
              <w:bidi w:val="0"/>
              <w:spacing w:before="0" w:after="283"/>
              <w:jc w:val="left"/>
              <w:rPr>
                <w:sz w:val="4"/>
                <w:szCs w:val="4"/>
              </w:rPr>
            </w:pPr>
            <w:r>
              <w:rPr>
                <w:sz w:val="4"/>
                <w:szCs w:val="4"/>
              </w:rPr>
            </w:r>
          </w:p>
        </w:tc>
        <w:tc>
          <w:tcPr>
            <w:tcW w:w="5067" w:type="dxa"/>
            <w:gridSpan w:val="2"/>
            <w:tcBorders/>
            <w:vAlign w:val="center"/>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7.   Tenant’s Share</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Article 4</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 xml:space="preserve">As of the Fourth Floor Premises Commencement Date, 21.6% of Tenant’s Share with respect to the Fourth Floor Premises), increasing on the First Floor Premises Commencement Date to 22.9% (Tenant’s Share calculated with respect to both the Fourth Floor Premises and the First Floor Premises), based on the calculation set forth in </w:t>
            </w:r>
            <w:r>
              <w:rPr>
                <w:u w:val="single"/>
              </w:rPr>
              <w:t>Section 4.2.6</w:t>
            </w:r>
            <w:r>
              <w:rPr/>
              <w:t xml:space="preserve"> of this Lease, below.</w:t>
            </w:r>
          </w:p>
        </w:tc>
      </w:tr>
      <w:tr>
        <w:trPr>
          <w:trHeight w:val="120" w:hRule="atLeast"/>
        </w:trPr>
        <w:tc>
          <w:tcPr>
            <w:tcW w:w="5138" w:type="dxa"/>
            <w:tcBorders/>
            <w:vAlign w:val="center"/>
          </w:tcPr>
          <w:p>
            <w:pPr>
              <w:pStyle w:val="TableContents"/>
              <w:bidi w:val="0"/>
              <w:spacing w:before="0" w:after="283"/>
              <w:jc w:val="left"/>
              <w:rPr>
                <w:sz w:val="4"/>
                <w:szCs w:val="4"/>
              </w:rPr>
            </w:pPr>
            <w:r>
              <w:rPr>
                <w:sz w:val="4"/>
                <w:szCs w:val="4"/>
              </w:rPr>
            </w:r>
          </w:p>
        </w:tc>
        <w:tc>
          <w:tcPr>
            <w:tcW w:w="5067" w:type="dxa"/>
            <w:gridSpan w:val="2"/>
            <w:tcBorders/>
            <w:vAlign w:val="center"/>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8.   Permitted Use</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Article 5</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The Premises shall be used only for research and development, laboratory (including, in part, as a vivarium to the extent permitted pursuant to Applicable Laws), and general office use, including, but not limited to, administrative offices and other lawful accessory uses reasonably related to and incidental to such specified uses, all (i) consistent with first class life sciences projects in the City of Cambridge, Massachusetts area (“First Class Life Sciences Projects”), and (ii) in compliance with, and subject to, Applicable Laws and the terms of this Lease.</w:t>
            </w:r>
          </w:p>
        </w:tc>
      </w:tr>
      <w:tr>
        <w:trPr>
          <w:trHeight w:val="120" w:hRule="atLeast"/>
        </w:trPr>
        <w:tc>
          <w:tcPr>
            <w:tcW w:w="5138" w:type="dxa"/>
            <w:tcBorders/>
            <w:vAlign w:val="center"/>
          </w:tcPr>
          <w:p>
            <w:pPr>
              <w:pStyle w:val="TableContents"/>
              <w:bidi w:val="0"/>
              <w:spacing w:before="0" w:after="283"/>
              <w:jc w:val="left"/>
              <w:rPr>
                <w:sz w:val="4"/>
                <w:szCs w:val="4"/>
              </w:rPr>
            </w:pPr>
            <w:r>
              <w:rPr>
                <w:sz w:val="4"/>
                <w:szCs w:val="4"/>
              </w:rPr>
            </w:r>
          </w:p>
        </w:tc>
        <w:tc>
          <w:tcPr>
            <w:tcW w:w="5067" w:type="dxa"/>
            <w:gridSpan w:val="2"/>
            <w:tcBorders/>
            <w:vAlign w:val="center"/>
          </w:tcPr>
          <w:p>
            <w:pPr>
              <w:pStyle w:val="TableContents"/>
              <w:bidi w:val="0"/>
              <w:spacing w:before="0" w:after="283"/>
              <w:jc w:val="left"/>
              <w:rPr>
                <w:sz w:val="4"/>
                <w:szCs w:val="4"/>
              </w:rPr>
            </w:pPr>
            <w:r>
              <w:rPr>
                <w:sz w:val="4"/>
                <w:szCs w:val="4"/>
              </w:rPr>
            </w:r>
          </w:p>
        </w:tc>
      </w:tr>
      <w:tr>
        <w:trPr/>
        <w:tc>
          <w:tcPr>
            <w:tcW w:w="5138" w:type="dxa"/>
            <w:tcBorders/>
          </w:tcPr>
          <w:p>
            <w:pPr>
              <w:pStyle w:val="TableContents"/>
              <w:bidi w:val="0"/>
              <w:spacing w:before="0" w:after="0"/>
              <w:jc w:val="left"/>
              <w:rPr>
                <w:rFonts w:ascii="Times New Roman" w:hAnsi="Times New Roman"/>
                <w:sz w:val="20"/>
              </w:rPr>
            </w:pPr>
            <w:r>
              <w:rPr>
                <w:rFonts w:ascii="Times New Roman" w:hAnsi="Times New Roman"/>
                <w:sz w:val="20"/>
              </w:rPr>
              <w:t>9.   Security Deposit</w:t>
            </w:r>
          </w:p>
          <w:p>
            <w:pPr>
              <w:pStyle w:val="TableContents"/>
              <w:bidi w:val="0"/>
              <w:spacing w:before="0" w:after="20"/>
              <w:jc w:val="left"/>
              <w:rPr>
                <w:rFonts w:ascii="Times New Roman" w:hAnsi="Times New Roman"/>
                <w:sz w:val="20"/>
              </w:rPr>
            </w:pPr>
            <w:r>
              <w:rPr>
                <w:rFonts w:ascii="Times New Roman" w:hAnsi="Times New Roman"/>
                <w:sz w:val="20"/>
              </w:rPr>
              <w:t>(Article 21):</w:t>
            </w:r>
          </w:p>
        </w:tc>
        <w:tc>
          <w:tcPr>
            <w:tcW w:w="120"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 xml:space="preserve">$908,157.00, subject to reduction as provided in </w:t>
            </w:r>
            <w:r>
              <w:rPr>
                <w:u w:val="single"/>
              </w:rPr>
              <w:t>Article 21</w:t>
            </w:r>
            <w:r>
              <w:rPr/>
              <w:t xml:space="preserve"> of this Lease.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2"/>
        <w:gridCol w:w="121"/>
        <w:gridCol w:w="4982"/>
      </w:tblGrid>
      <w:tr>
        <w:trPr/>
        <w:tc>
          <w:tcPr>
            <w:tcW w:w="51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10.  Parking Pass Ratio</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Article 28</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4982" w:type="dxa"/>
            <w:tcBorders/>
          </w:tcPr>
          <w:p>
            <w:pPr>
              <w:pStyle w:val="TableContents"/>
              <w:bidi w:val="0"/>
              <w:spacing w:before="0" w:after="283"/>
              <w:jc w:val="left"/>
              <w:rPr/>
            </w:pPr>
            <w:r>
              <w:rPr/>
              <w:t xml:space="preserve">0.80 unreserved parking passes for every 1,000 rentable square feet of the Premises (initially, 13 passes, increasing to 14 passes on the First Floor Premises Commencement Date), subject to the terms of </w:t>
            </w:r>
            <w:r>
              <w:rPr>
                <w:u w:val="single"/>
              </w:rPr>
              <w:t>Article 28</w:t>
            </w:r>
            <w:r>
              <w:rPr/>
              <w:t xml:space="preserve"> of the Lease.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11.  Address of Tenant</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Section 29.18</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4982"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Commencement Date:</w:t>
            </w:r>
          </w:p>
          <w:p>
            <w:pPr>
              <w:pStyle w:val="TableContents"/>
              <w:bidi w:val="0"/>
              <w:spacing w:before="0" w:after="0"/>
              <w:jc w:val="left"/>
              <w:rPr>
                <w:rFonts w:ascii="Times New Roman" w:hAnsi="Times New Roman"/>
                <w:sz w:val="20"/>
              </w:rPr>
            </w:pPr>
            <w:r>
              <w:rPr>
                <w:rFonts w:ascii="Times New Roman" w:hAnsi="Times New Roman"/>
                <w:sz w:val="20"/>
              </w:rPr>
              <w:t>Obsidian Therapeutics,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400 Technology Square</w:t>
            </w:r>
          </w:p>
          <w:p>
            <w:pPr>
              <w:pStyle w:val="TableContents"/>
              <w:bidi w:val="0"/>
              <w:spacing w:before="0" w:after="0"/>
              <w:jc w:val="left"/>
              <w:rPr>
                <w:rFonts w:ascii="Times New Roman" w:hAnsi="Times New Roman"/>
                <w:sz w:val="20"/>
              </w:rPr>
            </w:pPr>
            <w:r>
              <w:rPr>
                <w:rFonts w:ascii="Times New Roman" w:hAnsi="Times New Roman"/>
                <w:sz w:val="20"/>
              </w:rPr>
              <w:t>Cambridge, MA 02139</w:t>
            </w:r>
          </w:p>
          <w:p>
            <w:pPr>
              <w:pStyle w:val="TableContents"/>
              <w:bidi w:val="0"/>
              <w:spacing w:before="0" w:after="0"/>
              <w:jc w:val="left"/>
              <w:rPr>
                <w:rFonts w:ascii="Times New Roman" w:hAnsi="Times New Roman"/>
                <w:sz w:val="20"/>
              </w:rPr>
            </w:pPr>
            <w:r>
              <w:rPr>
                <w:rFonts w:ascii="Times New Roman" w:hAnsi="Times New Roman"/>
                <w:sz w:val="20"/>
              </w:rPr>
              <w:t>Attention: Tariq Kassum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Following the Commencement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the Premises, Attention: Tariq Kassum</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12.  Address of Landlord</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Section 29.18</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4982" w:type="dxa"/>
            <w:tcBorders/>
          </w:tcPr>
          <w:p>
            <w:pPr>
              <w:pStyle w:val="TableContents"/>
              <w:bidi w:val="0"/>
              <w:spacing w:before="0" w:after="283"/>
              <w:jc w:val="left"/>
              <w:rPr/>
            </w:pPr>
            <w:r>
              <w:rPr/>
              <w:t xml:space="preserve">See </w:t>
            </w:r>
            <w:r>
              <w:rPr>
                <w:u w:val="single"/>
              </w:rPr>
              <w:t>Section 29.18</w:t>
            </w:r>
            <w:r>
              <w:rPr/>
              <w:t xml:space="preserve"> of the Lease.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13.  Broker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Section 29.24</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4982" w:type="dxa"/>
            <w:tcBorders/>
          </w:tcPr>
          <w:p>
            <w:pPr>
              <w:pStyle w:val="TableContents"/>
              <w:bidi w:val="0"/>
              <w:spacing w:before="0" w:after="283"/>
              <w:jc w:val="left"/>
              <w:rPr/>
            </w:pPr>
            <w:r>
              <w:rPr/>
              <w:t>Newmark Grubb Knight Frank</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7"/>
        <w:gridCol w:w="120"/>
        <w:gridCol w:w="4928"/>
      </w:tblGrid>
      <w:tr>
        <w:trPr/>
        <w:tc>
          <w:tcPr>
            <w:tcW w:w="51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8" w:type="dxa"/>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EXHIBITS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sz w:val="4"/>
                <w:szCs w:val="4"/>
              </w:rPr>
            </w:pPr>
            <w:r>
              <w:rPr>
                <w:sz w:val="4"/>
                <w:szCs w:val="4"/>
              </w:rPr>
            </w:r>
          </w:p>
        </w:tc>
      </w:tr>
      <w:tr>
        <w:trPr>
          <w:trHeight w:val="24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Exhibit 2.1</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Notice of Lease Dates</w:t>
            </w:r>
          </w:p>
        </w:tc>
      </w:tr>
      <w:tr>
        <w:trPr/>
        <w:tc>
          <w:tcPr>
            <w:tcW w:w="5157" w:type="dxa"/>
            <w:tcBorders/>
          </w:tcPr>
          <w:p>
            <w:pPr>
              <w:pStyle w:val="TableContents"/>
              <w:bidi w:val="0"/>
              <w:spacing w:before="0" w:after="283"/>
              <w:jc w:val="left"/>
              <w:rPr/>
            </w:pPr>
            <w:r>
              <w:rPr/>
              <w:t>Exhibit 2.2</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Premises</w:t>
            </w:r>
          </w:p>
        </w:tc>
      </w:tr>
      <w:tr>
        <w:trPr/>
        <w:tc>
          <w:tcPr>
            <w:tcW w:w="5157" w:type="dxa"/>
            <w:tcBorders/>
          </w:tcPr>
          <w:p>
            <w:pPr>
              <w:pStyle w:val="TableContents"/>
              <w:bidi w:val="0"/>
              <w:spacing w:before="0" w:after="283"/>
              <w:jc w:val="left"/>
              <w:rPr/>
            </w:pPr>
            <w:r>
              <w:rPr/>
              <w:t>Exhibit 5.2</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Rules and Regulations</w:t>
            </w:r>
          </w:p>
        </w:tc>
      </w:tr>
      <w:tr>
        <w:trPr/>
        <w:tc>
          <w:tcPr>
            <w:tcW w:w="5157" w:type="dxa"/>
            <w:tcBorders/>
          </w:tcPr>
          <w:p>
            <w:pPr>
              <w:pStyle w:val="TableContents"/>
              <w:bidi w:val="0"/>
              <w:spacing w:before="0" w:after="283"/>
              <w:jc w:val="left"/>
              <w:rPr/>
            </w:pPr>
            <w:r>
              <w:rPr/>
              <w:t>Exhibit 5.4.4.1</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Environmental Questionnaire</w:t>
            </w:r>
          </w:p>
        </w:tc>
      </w:tr>
      <w:tr>
        <w:trPr/>
        <w:tc>
          <w:tcPr>
            <w:tcW w:w="5157" w:type="dxa"/>
            <w:tcBorders/>
          </w:tcPr>
          <w:p>
            <w:pPr>
              <w:pStyle w:val="TableContents"/>
              <w:bidi w:val="0"/>
              <w:spacing w:before="0" w:after="283"/>
              <w:jc w:val="left"/>
              <w:rPr/>
            </w:pPr>
            <w:r>
              <w:rPr/>
              <w:t>Exhibit 5.4.7</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Environmental Reports</w:t>
            </w:r>
          </w:p>
        </w:tc>
      </w:tr>
      <w:tr>
        <w:trPr/>
        <w:tc>
          <w:tcPr>
            <w:tcW w:w="5157" w:type="dxa"/>
            <w:tcBorders/>
          </w:tcPr>
          <w:p>
            <w:pPr>
              <w:pStyle w:val="TableContents"/>
              <w:bidi w:val="0"/>
              <w:spacing w:before="0" w:after="283"/>
              <w:jc w:val="left"/>
              <w:rPr/>
            </w:pPr>
            <w:r>
              <w:rPr/>
              <w:t>Exhibit 6.3</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Tenant Utility Matrix</w:t>
            </w:r>
          </w:p>
        </w:tc>
      </w:tr>
      <w:tr>
        <w:trPr/>
        <w:tc>
          <w:tcPr>
            <w:tcW w:w="5157" w:type="dxa"/>
            <w:tcBorders/>
          </w:tcPr>
          <w:p>
            <w:pPr>
              <w:pStyle w:val="TableContents"/>
              <w:bidi w:val="0"/>
              <w:spacing w:before="0" w:after="283"/>
              <w:jc w:val="left"/>
              <w:rPr/>
            </w:pPr>
            <w:r>
              <w:rPr/>
              <w:t>Exhibit 17</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Tenant Estoppel Certificate</w:t>
            </w:r>
          </w:p>
        </w:tc>
      </w:tr>
      <w:tr>
        <w:trPr/>
        <w:tc>
          <w:tcPr>
            <w:tcW w:w="5157" w:type="dxa"/>
            <w:tcBorders/>
          </w:tcPr>
          <w:p>
            <w:pPr>
              <w:pStyle w:val="TableContents"/>
              <w:bidi w:val="0"/>
              <w:spacing w:before="0" w:after="283"/>
              <w:jc w:val="left"/>
              <w:rPr/>
            </w:pPr>
            <w:r>
              <w:rPr/>
              <w:t>Exhibit 18</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Form of SNDA</w:t>
            </w:r>
          </w:p>
        </w:tc>
      </w:tr>
      <w:tr>
        <w:trPr/>
        <w:tc>
          <w:tcPr>
            <w:tcW w:w="5157" w:type="dxa"/>
            <w:tcBorders/>
          </w:tcPr>
          <w:p>
            <w:pPr>
              <w:pStyle w:val="TableContents"/>
              <w:bidi w:val="0"/>
              <w:spacing w:before="0" w:after="283"/>
              <w:jc w:val="left"/>
              <w:rPr/>
            </w:pPr>
            <w:r>
              <w:rPr/>
              <w:t>Exhibit 21</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Form of Letter of Credit</w:t>
            </w:r>
          </w:p>
        </w:tc>
      </w:tr>
      <w:tr>
        <w:trPr/>
        <w:tc>
          <w:tcPr>
            <w:tcW w:w="5157" w:type="dxa"/>
            <w:tcBorders/>
          </w:tcPr>
          <w:p>
            <w:pPr>
              <w:pStyle w:val="TableContents"/>
              <w:bidi w:val="0"/>
              <w:spacing w:before="0" w:after="283"/>
              <w:jc w:val="left"/>
              <w:rPr/>
            </w:pPr>
            <w:r>
              <w:rPr/>
              <w:t>Exhibit 27</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Future Shaft Areas</w:t>
            </w:r>
          </w:p>
        </w:tc>
      </w:tr>
      <w:tr>
        <w:trPr/>
        <w:tc>
          <w:tcPr>
            <w:tcW w:w="5157" w:type="dxa"/>
            <w:tcBorders/>
          </w:tcPr>
          <w:p>
            <w:pPr>
              <w:pStyle w:val="TableContents"/>
              <w:bidi w:val="0"/>
              <w:spacing w:before="0" w:after="283"/>
              <w:jc w:val="left"/>
              <w:rPr/>
            </w:pPr>
            <w:r>
              <w:rPr/>
              <w:t>Exhibit 29.33</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Special System Connection Points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 PREMISES, BUILDING, PROJECT, AND COMMON AREAS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Premises, Building, Project and Common Areas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u w:val="single"/>
        </w:rPr>
        <w:t>The Premises</w:t>
      </w:r>
      <w:r>
        <w:rPr>
          <w:rFonts w:ascii="Times New Roman" w:hAnsi="Times New Roman"/>
          <w:sz w:val="20"/>
        </w:rPr>
        <w:t>. Landlord hereby leases to Tenant and Tenant hereby leases from Landlord the premises set forth in Section 2.2 of the Summary (the “</w:t>
      </w:r>
      <w:r>
        <w:rPr>
          <w:rFonts w:ascii="Times New Roman" w:hAnsi="Times New Roman"/>
          <w:b/>
          <w:sz w:val="20"/>
        </w:rPr>
        <w:t>Premises</w:t>
      </w:r>
      <w:r>
        <w:rPr>
          <w:rFonts w:ascii="Times New Roman" w:hAnsi="Times New Roman"/>
          <w:sz w:val="20"/>
        </w:rPr>
        <w:t>”). The outline of the Premises is set forth in Exhibit 2.2 attached hereto and the Premises has the number of rentable square feet as set forth in Section 2.2 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Exhibit 2.2 is to show the approximate location of the Premises in the “</w:t>
      </w:r>
      <w:r>
        <w:rPr>
          <w:rFonts w:ascii="Times New Roman" w:hAnsi="Times New Roman"/>
          <w:b/>
          <w:sz w:val="20"/>
        </w:rPr>
        <w:t>Building</w:t>
      </w:r>
      <w:r>
        <w:rPr>
          <w:rFonts w:ascii="Times New Roman" w:hAnsi="Times New Roman"/>
          <w:sz w:val="20"/>
        </w:rPr>
        <w:t>” as that term is defined in Section 1.1.2, below, only, and such Exhibit is not meant to constitute an agreement, representation or warranty as to the construction of the Premises, the precise area thereof or the specific location of the “</w:t>
      </w:r>
      <w:r>
        <w:rPr>
          <w:rFonts w:ascii="Times New Roman" w:hAnsi="Times New Roman"/>
          <w:b/>
          <w:sz w:val="20"/>
        </w:rPr>
        <w:t>Common Areas</w:t>
      </w:r>
      <w:r>
        <w:rPr>
          <w:rFonts w:ascii="Times New Roman" w:hAnsi="Times New Roman"/>
          <w:sz w:val="20"/>
        </w:rPr>
        <w:t>,” as that term is defined in Section 1.1.3, below, or the elements thereof or of “</w:t>
      </w:r>
      <w:r>
        <w:rPr>
          <w:rFonts w:ascii="Times New Roman" w:hAnsi="Times New Roman"/>
          <w:b/>
          <w:sz w:val="20"/>
        </w:rPr>
        <w:t>Project</w:t>
      </w:r>
      <w:r>
        <w:rPr>
          <w:rFonts w:ascii="Times New Roman" w:hAnsi="Times New Roman"/>
          <w:sz w:val="20"/>
        </w:rPr>
        <w:t xml:space="preserve">,” as that term is defined in Section 1.1.2, below. The Premises shall exclude Common Areas, including without limitation exterior faces of exterior walls, the entry, vestibules and main lobby of the Building, elevator lobbies and common lavatories, the common stairways and stairwells, elevators and elevator wells, boiler room, sprinkler rooms, elevator rooms, mechanical rooms, loading and receiving areas, electric and telephone closets, janitor closets, and pipes, ducts, conduits, wires and appurtenant fixtures and equipment serving exclusively or in common with other parts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provided in this Lease, Landlord has made no representations, warranties or undertakings as to the present or future condition of the Premises or the fitness or availability of the Premises for any particular use, and Tenant accepts the Premises in its “AS IS” condition. Landlord shall not be obligated to provide or pay for any improvement work or services related to the improvement of the Premises except as otherwise expressly set forth in this Lease.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u w:val="single"/>
        </w:rPr>
        <w:t>The Building and The Project</w:t>
      </w:r>
      <w:r>
        <w:rPr>
          <w:rFonts w:ascii="Times New Roman" w:hAnsi="Times New Roman"/>
          <w:sz w:val="20"/>
        </w:rPr>
        <w:t>. The Premises are a part of the building set forth in Section 2.1 of the Summary (the “</w:t>
      </w:r>
      <w:r>
        <w:rPr>
          <w:rFonts w:ascii="Times New Roman" w:hAnsi="Times New Roman"/>
          <w:b/>
          <w:sz w:val="20"/>
        </w:rPr>
        <w:t>Building</w:t>
      </w:r>
      <w:r>
        <w:rPr>
          <w:rFonts w:ascii="Times New Roman" w:hAnsi="Times New Roman"/>
          <w:sz w:val="20"/>
        </w:rPr>
        <w:t>”). The term “</w:t>
      </w:r>
      <w:r>
        <w:rPr>
          <w:rFonts w:ascii="Times New Roman" w:hAnsi="Times New Roman"/>
          <w:b/>
          <w:sz w:val="20"/>
        </w:rPr>
        <w:t>Project</w:t>
      </w:r>
      <w:r>
        <w:rPr>
          <w:rFonts w:ascii="Times New Roman" w:hAnsi="Times New Roman"/>
          <w:sz w:val="20"/>
        </w:rPr>
        <w:t xml:space="preserve">,” as used in this Lease, shall mean (i) the Building and the Common Areas and (ii) the land (which is improved with landscaping, parking facilities and other improvements) upon which the common areas are located.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u w:val="single"/>
        </w:rPr>
        <w:t>Common Areas</w:t>
      </w:r>
      <w:r>
        <w:rPr>
          <w:rFonts w:ascii="Times New Roman" w:hAnsi="Times New Roman"/>
          <w:b/>
          <w:sz w:val="20"/>
        </w:rPr>
        <w:t xml:space="preserve">. </w:t>
      </w:r>
      <w:r>
        <w:rPr>
          <w:rFonts w:ascii="Times New Roman" w:hAnsi="Times New Roman"/>
          <w:sz w:val="20"/>
        </w:rPr>
        <w:t>Tenants, all have the non-exclusive right to use in common with other tenants in the Project, and subject to the rules and regulations referred to in Article 5 of this Lease, those portions of the Project which are provided, from time to -time, for use in common by Landlord, Tenant and any other tenants of the Project (such areas, together with such other portions of the Project designated by Landlord, in its discretion, including certain area designated for the exclusive use of certain tenants, including Tenant, or to be shared by Landlord and certain tenants, including Tenant, are collectively referred to herein as the “</w:t>
      </w:r>
      <w:r>
        <w:rPr>
          <w:rFonts w:ascii="Times New Roman" w:hAnsi="Times New Roman"/>
          <w:b/>
          <w:sz w:val="20"/>
        </w:rPr>
        <w:t>Common Areas</w:t>
      </w:r>
      <w:r>
        <w:rPr>
          <w:rFonts w:ascii="Times New Roman" w:hAnsi="Times New Roman"/>
          <w:sz w:val="20"/>
        </w:rPr>
        <w:t>”). The Common Areas shall consist of the “</w:t>
      </w:r>
      <w:r>
        <w:rPr>
          <w:rFonts w:ascii="Times New Roman" w:hAnsi="Times New Roman"/>
          <w:b/>
          <w:sz w:val="20"/>
        </w:rPr>
        <w:t>Project Common Areas</w:t>
      </w:r>
      <w:r>
        <w:rPr>
          <w:rFonts w:ascii="Times New Roman" w:hAnsi="Times New Roman"/>
          <w:sz w:val="20"/>
        </w:rPr>
        <w:t>” and the “</w:t>
      </w:r>
      <w:r>
        <w:rPr>
          <w:rFonts w:ascii="Times New Roman" w:hAnsi="Times New Roman"/>
          <w:b/>
          <w:sz w:val="20"/>
        </w:rPr>
        <w:t>Building Common Areas</w:t>
      </w:r>
      <w:r>
        <w:rPr>
          <w:rFonts w:ascii="Times New Roman" w:hAnsi="Times New Roman"/>
          <w:sz w:val="20"/>
        </w:rPr>
        <w:t>.” The term “</w:t>
      </w:r>
      <w:r>
        <w:rPr>
          <w:rFonts w:ascii="Times New Roman" w:hAnsi="Times New Roman"/>
          <w:b/>
          <w:sz w:val="20"/>
        </w:rPr>
        <w:t>Project Common Areas</w:t>
      </w:r>
      <w:r>
        <w:rPr>
          <w:rFonts w:ascii="Times New Roman" w:hAnsi="Times New Roman"/>
          <w:sz w:val="20"/>
        </w:rPr>
        <w:t xml:space="preserve">,” as used in this Lease, shall mean the portion of the Project designated as such by Landlord. The manner in which the Common Areas are maintained and operated shall be at the sole discretion of Landlord. The manner in which the Common Areas are maintained and operated shall be at the sole discretion of Landlord and the use thereof shall be subject to such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 Landlord also shall have the right at any time, without the same constituting an actual or constructive eviction and without incurring any liability to Tenant therefor, to change the arrangement or location of entrances or passageways, doors and doorways, and corridors, elevators, stairs, toilets, or other public parts of the Building and to change the name, address, number or designation by which the Premises is commonly known, provided any such change does not (A) unreasonably reduce, interfere with or deprive Tenant of access to the Premises, or (B) reduce the rentable area (except by a </w:t>
      </w:r>
      <w:r>
        <w:rPr>
          <w:rFonts w:ascii="Times New Roman" w:hAnsi="Times New Roman"/>
          <w:i/>
          <w:sz w:val="20"/>
        </w:rPr>
        <w:t xml:space="preserve">de minimis </w:t>
      </w:r>
      <w:r>
        <w:rPr>
          <w:rFonts w:ascii="Times New Roman" w:hAnsi="Times New Roman"/>
          <w:sz w:val="20"/>
        </w:rPr>
        <w:t xml:space="preserve">amount)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Stipulation of Rentable Square Feet of Premises</w:t>
      </w:r>
      <w:r>
        <w:rPr>
          <w:rFonts w:ascii="Times New Roman" w:hAnsi="Times New Roman"/>
          <w:sz w:val="20"/>
        </w:rPr>
        <w:t xml:space="preserve">. For purposes of this Lease, “rentable square feet” of the Premises shall be deemed as set forth in Section 2.2 of the Summary.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LEASE TERM; OPTION TERM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Lease Term</w:t>
      </w:r>
      <w:r>
        <w:rPr>
          <w:rFonts w:ascii="Times New Roman" w:hAnsi="Times New Roman"/>
          <w:b/>
          <w:sz w:val="20"/>
        </w:rPr>
        <w:t xml:space="preserve">. </w:t>
      </w:r>
      <w:r>
        <w:rPr>
          <w:rFonts w:ascii="Times New Roman" w:hAnsi="Times New Roman"/>
          <w:sz w:val="20"/>
        </w:rPr>
        <w:t>The terms and provisions of this Lease shall be effective as of the date of this Lease. The term of this Lease (the “</w:t>
      </w:r>
      <w:r>
        <w:rPr>
          <w:rFonts w:ascii="Times New Roman" w:hAnsi="Times New Roman"/>
          <w:b/>
          <w:sz w:val="20"/>
        </w:rPr>
        <w:t>Lease Term</w:t>
      </w:r>
      <w:r>
        <w:rPr>
          <w:rFonts w:ascii="Times New Roman" w:hAnsi="Times New Roman"/>
          <w:sz w:val="20"/>
        </w:rPr>
        <w:t>”</w:t>
      </w:r>
      <w:r>
        <w:rPr>
          <w:rFonts w:ascii="Times New Roman" w:hAnsi="Times New Roman"/>
          <w:b/>
          <w:sz w:val="20"/>
        </w:rPr>
        <w:t xml:space="preserve">) </w:t>
      </w:r>
      <w:r>
        <w:rPr>
          <w:rFonts w:ascii="Times New Roman" w:hAnsi="Times New Roman"/>
          <w:sz w:val="20"/>
        </w:rPr>
        <w:t>shall be as set forth in Section 3.1 of the Summary, shall commence on the date set forth in Section 3.2 of the Summary (the “</w:t>
      </w:r>
      <w:r>
        <w:rPr>
          <w:rFonts w:ascii="Times New Roman" w:hAnsi="Times New Roman"/>
          <w:b/>
          <w:sz w:val="20"/>
        </w:rPr>
        <w:t>Lease Commencement Date</w:t>
      </w:r>
      <w:r>
        <w:rPr>
          <w:rFonts w:ascii="Times New Roman" w:hAnsi="Times New Roman"/>
          <w:sz w:val="20"/>
        </w:rPr>
        <w:t>”</w:t>
      </w:r>
      <w:r>
        <w:rPr>
          <w:rFonts w:ascii="Times New Roman" w:hAnsi="Times New Roman"/>
          <w:b/>
          <w:sz w:val="20"/>
        </w:rPr>
        <w:t xml:space="preserve">), </w:t>
      </w:r>
      <w:r>
        <w:rPr>
          <w:rFonts w:ascii="Times New Roman" w:hAnsi="Times New Roman"/>
          <w:sz w:val="20"/>
        </w:rPr>
        <w:t>and shall terminate on the date set forth in Section 3.4 of the Summary (the “</w:t>
      </w:r>
      <w:r>
        <w:rPr>
          <w:rFonts w:ascii="Times New Roman" w:hAnsi="Times New Roman"/>
          <w:b/>
          <w:sz w:val="20"/>
        </w:rPr>
        <w:t>Lease Expiration Date</w:t>
      </w:r>
      <w:r>
        <w:rPr>
          <w:rFonts w:ascii="Times New Roman" w:hAnsi="Times New Roman"/>
          <w:sz w:val="20"/>
        </w:rPr>
        <w:t>”</w:t>
      </w:r>
      <w:r>
        <w:rPr>
          <w:rFonts w:ascii="Times New Roman" w:hAnsi="Times New Roman"/>
          <w:b/>
          <w:sz w:val="20"/>
        </w:rPr>
        <w:t xml:space="preserve">) </w:t>
      </w:r>
      <w:r>
        <w:rPr>
          <w:rFonts w:ascii="Times New Roman" w:hAnsi="Times New Roman"/>
          <w:sz w:val="20"/>
        </w:rPr>
        <w:t>unless this Lease is sooner terminated as hereinafter provided. For purposes of this Lease, the first “</w:t>
      </w:r>
      <w:r>
        <w:rPr>
          <w:rFonts w:ascii="Times New Roman" w:hAnsi="Times New Roman"/>
          <w:b/>
          <w:sz w:val="20"/>
        </w:rPr>
        <w:t>Lease Year</w:t>
      </w:r>
      <w:r>
        <w:rPr>
          <w:rFonts w:ascii="Times New Roman" w:hAnsi="Times New Roman"/>
          <w:sz w:val="20"/>
        </w:rPr>
        <w:t xml:space="preserve">” shall begin on the Fourth Floor Premises Commencement Date and shall end on the last day of the twelfth (12th) full calendar month following the Fourth Floor Premises Rent Commencement Date. Each Lease Year thereafter shall consist of Twelve (12) consecutive calendar months following the end of the immediately preceding Lease Year. At any time during the Lease Term, Landlord may deliver to Tenant a notice in the form as set forth in Exhibit 2,1, attached hereto, as a confirmation only of the information set forth therein, which Tenant shall execute and return to Landlord within ten (10) business days of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Option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b/>
          <w:sz w:val="20"/>
          <w:u w:val="single"/>
        </w:rPr>
        <w:t>Option Right</w:t>
      </w:r>
      <w:r>
        <w:rPr>
          <w:rFonts w:ascii="Times New Roman" w:hAnsi="Times New Roman"/>
          <w:b/>
          <w:sz w:val="20"/>
        </w:rPr>
        <w:t xml:space="preserve">. </w:t>
      </w:r>
      <w:r>
        <w:rPr>
          <w:rFonts w:ascii="Times New Roman" w:hAnsi="Times New Roman"/>
          <w:sz w:val="20"/>
        </w:rPr>
        <w:t>Landlord hereby grants to the originally named Tenant herein (“</w:t>
      </w:r>
      <w:r>
        <w:rPr>
          <w:rFonts w:ascii="Times New Roman" w:hAnsi="Times New Roman"/>
          <w:b/>
          <w:sz w:val="20"/>
        </w:rPr>
        <w:t>Original Tenant”</w:t>
      </w:r>
      <w:r>
        <w:rPr>
          <w:rFonts w:ascii="Times New Roman" w:hAnsi="Times New Roman"/>
          <w:sz w:val="20"/>
        </w:rPr>
        <w:t>), one (1) option to extend the Lease Term a period of three (3) years (the “</w:t>
      </w:r>
      <w:r>
        <w:rPr>
          <w:rFonts w:ascii="Times New Roman" w:hAnsi="Times New Roman"/>
          <w:b/>
          <w:sz w:val="20"/>
        </w:rPr>
        <w:t>Option Term</w:t>
      </w:r>
      <w:r>
        <w:rPr>
          <w:rFonts w:ascii="Times New Roman" w:hAnsi="Times New Roman"/>
          <w:sz w:val="20"/>
        </w:rPr>
        <w:t>”), which shall be irrevocably exercised only by written and delivered by Tenant to Landlord not more than fifteen (15) months nor less than twelve (12) months prior to the expiration of the initial Lease Term, provided that the following conditions (the “</w:t>
      </w:r>
      <w:r>
        <w:rPr>
          <w:rFonts w:ascii="Times New Roman" w:hAnsi="Times New Roman"/>
          <w:b/>
          <w:sz w:val="20"/>
        </w:rPr>
        <w:t>Option Conditions”</w:t>
      </w:r>
      <w:r>
        <w:rPr>
          <w:rFonts w:ascii="Times New Roman" w:hAnsi="Times New Roman"/>
          <w:sz w:val="20"/>
        </w:rPr>
        <w:t>) satisfied: (i) as of the date of delivery of such notice, Tenant is not in default under this Lease, after the expiration of any applicable notice and cure period; (ii) as of the end of the Lease Term, Tenant is not in default under this Lease, after/the expiration of any applicable notice and cure period; and (iii) Tenant has not previously been in default under this Lease, after the expiration of any applicable notice and cure period, more than twice in any 24-month period; and (iv) the Lease then remains in full force and effect and Original Tenant has not sublet more than 25% of the Premises at the time the option to extend is exercised and as of the commencement of the Option Term. Landlord Way, at Landlord’s option, exercised in Landlord’s sole and absolute discretion, waive any of the Option Conditions in which 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^e extended for a period of three (3) years. The rights contained in this Section 2.2 shall be personal to Original Tenant and may be exercised by Original Tenant (and not by any assignee, sublessee or other “</w:t>
      </w:r>
      <w:r>
        <w:rPr>
          <w:rFonts w:ascii="Times New Roman" w:hAnsi="Times New Roman"/>
          <w:b/>
          <w:sz w:val="20"/>
        </w:rPr>
        <w:t xml:space="preserve">Transferee,” </w:t>
      </w:r>
      <w:r>
        <w:rPr>
          <w:rFonts w:ascii="Times New Roman" w:hAnsi="Times New Roman"/>
          <w:sz w:val="20"/>
        </w:rPr>
        <w:t xml:space="preserve">as that term is defined in Section 14.1 of this Lease, of Tenant’s interest in this Lease). </w:t>
      </w:r>
    </w:p>
    <w:p>
      <w:pPr>
        <w:pStyle w:val="TextBody"/>
        <w:bidi w:val="0"/>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b/>
          <w:sz w:val="20"/>
          <w:u w:val="single"/>
        </w:rPr>
        <w:t>Option Rent</w:t>
      </w:r>
      <w:r>
        <w:rPr>
          <w:rFonts w:ascii="Times New Roman" w:hAnsi="Times New Roman"/>
          <w:b/>
          <w:sz w:val="20"/>
        </w:rPr>
        <w:t xml:space="preserve">. </w:t>
      </w:r>
      <w:r>
        <w:rPr>
          <w:rFonts w:ascii="Times New Roman" w:hAnsi="Times New Roman"/>
          <w:sz w:val="20"/>
        </w:rPr>
        <w:t>The annual Base Rent payable by Tenant during the Option Term (the “</w:t>
      </w:r>
      <w:r>
        <w:rPr>
          <w:rFonts w:ascii="Times New Roman" w:hAnsi="Times New Roman"/>
          <w:b/>
          <w:sz w:val="20"/>
        </w:rPr>
        <w:t xml:space="preserve">Option Rent”) </w:t>
      </w:r>
      <w:r>
        <w:rPr>
          <w:rFonts w:ascii="Times New Roman" w:hAnsi="Times New Roman"/>
          <w:sz w:val="20"/>
        </w:rPr>
        <w:t>shall be equal to the “Fair Rental Value”, as that term is defined below, for the Premises as of the commencement date of the Option Term. The “</w:t>
      </w:r>
      <w:r>
        <w:rPr>
          <w:rFonts w:ascii="Times New Roman" w:hAnsi="Times New Roman"/>
          <w:b/>
          <w:sz w:val="20"/>
        </w:rPr>
        <w:t xml:space="preserve">Fair Rental Value”, </w:t>
      </w:r>
      <w:r>
        <w:rPr>
          <w:rFonts w:ascii="Times New Roman" w:hAnsi="Times New Roman"/>
          <w:sz w:val="20"/>
        </w:rPr>
        <w:t>as used in this Lease, shall be equal to the annual fixed, base rent per rentable square foot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“Comparable Buildings”, as that term is defined below (transactions satisfying the foregoing criteria shall be known as the “</w:t>
      </w:r>
      <w:r>
        <w:rPr>
          <w:rFonts w:ascii="Times New Roman" w:hAnsi="Times New Roman"/>
          <w:b/>
          <w:sz w:val="20"/>
        </w:rPr>
        <w:t xml:space="preserve">Comparable Transactions”), </w:t>
      </w:r>
      <w:r>
        <w:rPr>
          <w:rFonts w:ascii="Times New Roman" w:hAnsi="Times New Roman"/>
          <w:sz w:val="20"/>
        </w:rPr>
        <w:t>taking into consideration all reasonable factors considered by landlords and tenants in the determination of fixed annual rent. The term “</w:t>
      </w:r>
      <w:r>
        <w:rPr>
          <w:rFonts w:ascii="Times New Roman" w:hAnsi="Times New Roman"/>
          <w:b/>
          <w:sz w:val="20"/>
        </w:rPr>
        <w:t xml:space="preserve">Comparable Buildings” </w:t>
      </w:r>
      <w:r>
        <w:rPr>
          <w:rFonts w:ascii="Times New Roman" w:hAnsi="Times New Roman"/>
          <w:sz w:val="20"/>
        </w:rPr>
        <w:t xml:space="preserve">shall mean the Building and those other life sciences buildings which are comparable to the Building in terms of age (based upon the date of completion of construction or major renovation of to the building), quality of construction, level of services and amenities, size and appearance, and are located in the East and Mid-Cambridge submarkets of the City of Cambridge, Massachusetts. The parties acknowledge that Fair Rental Value may include increases in the rental rate payable over the Option Term, but in no event shall the Fair Rental Value ever decrease during any Option Term. </w:t>
      </w:r>
    </w:p>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b/>
          <w:sz w:val="20"/>
          <w:u w:val="single"/>
        </w:rPr>
        <w:t>Determination of Option Rent</w:t>
      </w:r>
      <w:r>
        <w:rPr>
          <w:rFonts w:ascii="Times New Roman" w:hAnsi="Times New Roman"/>
          <w:b/>
          <w:sz w:val="20"/>
        </w:rPr>
        <w:t xml:space="preserve">. </w:t>
      </w:r>
      <w:r>
        <w:rPr>
          <w:rFonts w:ascii="Times New Roman" w:hAnsi="Times New Roman"/>
          <w:sz w:val="20"/>
        </w:rPr>
        <w:t xml:space="preserve">In the event Tenant timely and appropriately exercises the option to extend the Lease Term, Landlord shall notify Tenant in writing of Landlord’s determination of the Option Rent no later than eleven (11) months prior to the Lease Expiration Date. If Tenant, on or before the date which is ten (10)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 days following Tenant’s objection to the Option Rent (the “</w:t>
      </w:r>
      <w:r>
        <w:rPr>
          <w:rFonts w:ascii="Times New Roman" w:hAnsi="Times New Roman"/>
          <w:b/>
          <w:sz w:val="20"/>
        </w:rPr>
        <w:t xml:space="preserve">Outside Agreement Date”), </w:t>
      </w:r>
      <w:r>
        <w:rPr>
          <w:rFonts w:ascii="Times New Roman" w:hAnsi="Times New Roman"/>
          <w:sz w:val="20"/>
        </w:rPr>
        <w:t xml:space="preserve">then each party shall make a separate determination of the Option Rent, as the case may be, within five (5) days, and such determinations shall be submitted to arbitration in accordance with Sections 2,2.3.1 through 2.2.3.7, below. If Tenant fails to object to Landlord’s determination of the Option Rent within the time period set forth herein, then Tenant shall be deemed to have accepted Landlord’s determination of Option Rent. </w:t>
      </w:r>
    </w:p>
    <w:p>
      <w:pPr>
        <w:pStyle w:val="TextBody"/>
        <w:bidi w:val="0"/>
        <w:spacing w:before="240" w:after="0"/>
        <w:jc w:val="left"/>
        <w:rPr>
          <w:rFonts w:ascii="Times New Roman" w:hAnsi="Times New Roman"/>
          <w:sz w:val="20"/>
        </w:rPr>
      </w:pPr>
      <w:r>
        <w:rPr>
          <w:rFonts w:ascii="Times New Roman" w:hAnsi="Times New Roman"/>
          <w:sz w:val="20"/>
        </w:rPr>
        <w:t xml:space="preserve">2.2.3.1 If Landlord and Tenant fail to reach agreement prior to the Outside Agreement Date, then Landlord and Tenant shall each appoint one arbitrator who shall be, at the option of the appointing party, a qualified real estate broker or appraiser who shall have been active over the ten (10) year period ending on the date of such appointment in the leasing or appraisal, as the case may be, of other class A life sciences buildings located in the City of Cambridge, Massachusetts, market area. The determination of the arbitrators shall be limited solely to the issue of whether Landlord’s or Tenant’s submitted Option Rent is the closet jo the actual Option Rent, taking into account the requirements of </w:t>
      </w:r>
      <w:r>
        <w:rPr>
          <w:rFonts w:ascii="Times New Roman" w:hAnsi="Times New Roman"/>
          <w:sz w:val="20"/>
          <w:u w:val="single"/>
        </w:rPr>
        <w:t>Section 2.2.2</w:t>
      </w:r>
      <w:r>
        <w:rPr>
          <w:rFonts w:ascii="Times New Roman" w:hAnsi="Times New Roman"/>
          <w:sz w:val="20"/>
        </w:rPr>
        <w:t xml:space="preserve"> of this Lease, as determined by the arbitrators. Each such arbitrator shall be appointed within fifteen (15) days after the Outside Agreement Date. Landlord and Tenant may consult with their selected arbitrators prior to appointment arid nay select an arbitrator who is favorable to their respective positions. The arbitrators so selected by Landlord and Tenant shall be deemed “</w:t>
      </w:r>
      <w:r>
        <w:rPr>
          <w:rFonts w:ascii="Times New Roman" w:hAnsi="Times New Roman"/>
          <w:b/>
          <w:sz w:val="20"/>
        </w:rPr>
        <w:t>Advocate Arbitrators.”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2.2.3.2 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hAnsi="Times New Roman"/>
          <w:b/>
          <w:sz w:val="20"/>
        </w:rPr>
        <w:t xml:space="preserve">(“Neutral Arbitrator”) </w:t>
      </w:r>
      <w:r>
        <w:rPr>
          <w:rFonts w:ascii="Times New Roman" w:hAnsi="Times New Roman"/>
          <w:sz w:val="20"/>
        </w:rPr>
        <w:t xml:space="preserve">who shall be qualified under the same criteria set forth hereinabove for qualification of the two Advocate Arbitrators, except that neither the Landlord or Tenant or either party’s Advocate Arbitrator may, directly or indirectly, consult with the Neutral Arbitrator prior or subsequent to his or her appearance The Neutral Arbitrator shall be retained via an engagement letter jointly prepared by Landlord’s counsel and Tenant’s counsel. </w:t>
      </w:r>
    </w:p>
    <w:p>
      <w:pPr>
        <w:pStyle w:val="TextBody"/>
        <w:bidi w:val="0"/>
        <w:spacing w:before="240" w:after="0"/>
        <w:jc w:val="left"/>
        <w:rPr>
          <w:rFonts w:ascii="Times New Roman" w:hAnsi="Times New Roman"/>
          <w:sz w:val="20"/>
        </w:rPr>
      </w:pPr>
      <w:r>
        <w:rPr>
          <w:rFonts w:ascii="Times New Roman" w:hAnsi="Times New Roman"/>
          <w:sz w:val="20"/>
        </w:rPr>
        <w:t xml:space="preserve">2.2.3.3 The three arbitrators shall, within thirty (30) days of the appointment of the Neutral Arbitrator, reach a decision as to whether the parties shall use Landlord’s or Tenant’s submitted Option Rent, and shall notify Landlord and Tenant thereof. </w:t>
      </w:r>
    </w:p>
    <w:p>
      <w:pPr>
        <w:pStyle w:val="TextBody"/>
        <w:bidi w:val="0"/>
        <w:spacing w:before="240" w:after="0"/>
        <w:jc w:val="left"/>
        <w:rPr>
          <w:rFonts w:ascii="Times New Roman" w:hAnsi="Times New Roman"/>
          <w:sz w:val="20"/>
        </w:rPr>
      </w:pPr>
      <w:r>
        <w:rPr>
          <w:rFonts w:ascii="Times New Roman" w:hAnsi="Times New Roman"/>
          <w:sz w:val="20"/>
        </w:rPr>
        <w:t xml:space="preserve">2.2.3.4 The decision of the majority of the three arbitrators shall be binding upon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2.2.3.5 If either Landlord or Tenant fails to appoint an Advocate Arbitrator within fifteen (15) days after the Outside Agreement Date, then either party may petition the then-President of the Greater Boston Real Estate Board to appoint such Advocate Arbitrator subject to the criteria in </w:t>
      </w:r>
      <w:r>
        <w:rPr>
          <w:rFonts w:ascii="Times New Roman" w:hAnsi="Times New Roman"/>
          <w:sz w:val="20"/>
          <w:u w:val="single"/>
        </w:rPr>
        <w:t>Section 2.2.3.1</w:t>
      </w:r>
      <w:r>
        <w:rPr>
          <w:rFonts w:ascii="Times New Roman" w:hAnsi="Times New Roman"/>
          <w:sz w:val="20"/>
        </w:rPr>
        <w:t xml:space="preserve"> of this Lease, or if he or she refuses to act, either party may petition the Boston office of the American Arbitration Association to appoint such Advocate Arbitrator. </w:t>
      </w:r>
    </w:p>
    <w:p>
      <w:pPr>
        <w:pStyle w:val="TextBody"/>
        <w:bidi w:val="0"/>
        <w:spacing w:before="240" w:after="0"/>
        <w:jc w:val="left"/>
        <w:rPr>
          <w:rFonts w:ascii="Times New Roman" w:hAnsi="Times New Roman"/>
          <w:sz w:val="20"/>
        </w:rPr>
      </w:pPr>
      <w:r>
        <w:rPr>
          <w:rFonts w:ascii="Times New Roman" w:hAnsi="Times New Roman"/>
          <w:sz w:val="20"/>
        </w:rPr>
        <w:t xml:space="preserve">2.2.3.6 If the two (2) Advocate Arbitrators fail to agree upon and appoint the Neutral Arbitrator, then either party may petition the then-President of the Greater Boston Real Estate Board to appoint the Neutral Arbitrator, subject to criteria in </w:t>
      </w:r>
      <w:r>
        <w:rPr>
          <w:rFonts w:ascii="Times New Roman" w:hAnsi="Times New Roman"/>
          <w:sz w:val="20"/>
          <w:u w:val="single"/>
        </w:rPr>
        <w:t>Section 2.2.3.1</w:t>
      </w:r>
      <w:r>
        <w:rPr>
          <w:rFonts w:ascii="Times New Roman" w:hAnsi="Times New Roman"/>
          <w:sz w:val="20"/>
        </w:rPr>
        <w:t xml:space="preserve"> of this Lease, or if he or she refuses to act, either party may petition any judge having jurisdiction over the parties to appoint such arbitrator. </w:t>
      </w:r>
    </w:p>
    <w:p>
      <w:pPr>
        <w:pStyle w:val="TextBody"/>
        <w:bidi w:val="0"/>
        <w:spacing w:before="240" w:after="0"/>
        <w:jc w:val="left"/>
        <w:rPr>
          <w:rFonts w:ascii="Times New Roman" w:hAnsi="Times New Roman"/>
          <w:sz w:val="20"/>
        </w:rPr>
      </w:pPr>
      <w:r>
        <w:rPr>
          <w:rFonts w:ascii="Times New Roman" w:hAnsi="Times New Roman"/>
          <w:sz w:val="20"/>
        </w:rPr>
        <w:t xml:space="preserve">2.2.3.7 The cost of the Neutral Arbitrator shall be paid by Landlord and Tenant equally and each of Landlord and Tenant shall pay the cost of its respective Advocate Arbitrator. </w:t>
      </w:r>
    </w:p>
    <w:p>
      <w:pPr>
        <w:pStyle w:val="TextBody"/>
        <w:bidi w:val="0"/>
        <w:spacing w:before="240" w:after="0"/>
        <w:jc w:val="left"/>
        <w:rPr>
          <w:rFonts w:ascii="Times New Roman" w:hAnsi="Times New Roman"/>
          <w:sz w:val="20"/>
        </w:rPr>
      </w:pPr>
      <w:r>
        <w:rPr>
          <w:rFonts w:ascii="Times New Roman" w:hAnsi="Times New Roman"/>
          <w:sz w:val="20"/>
        </w:rPr>
        <w:t xml:space="preserve">2.2.3.8 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2.2.3.9 The terms of this Lease during the Option Term shall be the same as the terms during the initial Lease Term, other than as expressly set forth in this </w:t>
      </w:r>
      <w:r>
        <w:rPr>
          <w:rFonts w:ascii="Times New Roman" w:hAnsi="Times New Roman"/>
          <w:sz w:val="20"/>
          <w:u w:val="single"/>
        </w:rPr>
        <w:t>Section 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BASE RENT </w:t>
      </w:r>
    </w:p>
    <w:p>
      <w:pPr>
        <w:pStyle w:val="TextBody"/>
        <w:bidi w:val="0"/>
        <w:spacing w:before="120" w:after="0"/>
        <w:jc w:val="left"/>
        <w:rPr>
          <w:rFonts w:ascii="Times New Roman" w:hAnsi="Times New Roman"/>
          <w:sz w:val="20"/>
        </w:rPr>
      </w:pPr>
      <w:r>
        <w:rPr>
          <w:rFonts w:ascii="Times New Roman" w:hAnsi="Times New Roman"/>
          <w:sz w:val="20"/>
        </w:rPr>
        <w:t xml:space="preserve">3.1 Tenant shall pay, without prior notice or demand, at such place as Landlord may from time to time designate in writing, by a check for currency which, at the time of payment, is legal tender for private or public debts in the Linked States of America or pursuant to wire or electronic payment instructions provided by Landlord, base rent </w:t>
      </w:r>
      <w:r>
        <w:rPr>
          <w:rFonts w:ascii="Times New Roman" w:hAnsi="Times New Roman"/>
          <w:b/>
          <w:sz w:val="20"/>
        </w:rPr>
        <w:t>(</w:t>
      </w:r>
      <w:r>
        <w:rPr>
          <w:rFonts w:ascii="Times New Roman" w:hAnsi="Times New Roman"/>
          <w:sz w:val="20"/>
        </w:rPr>
        <w:t>“</w:t>
      </w:r>
      <w:r>
        <w:rPr>
          <w:rFonts w:ascii="Times New Roman" w:hAnsi="Times New Roman"/>
          <w:b/>
          <w:sz w:val="20"/>
        </w:rPr>
        <w:t>Base Rent</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as set forth in </w:t>
      </w:r>
      <w:r>
        <w:rPr>
          <w:rFonts w:ascii="Times New Roman" w:hAnsi="Times New Roman"/>
          <w:sz w:val="20"/>
          <w:u w:val="single"/>
        </w:rPr>
        <w:t>Section 4</w:t>
      </w:r>
      <w:r>
        <w:rPr>
          <w:rFonts w:ascii="Times New Roman" w:hAnsi="Times New Roman"/>
          <w:sz w:val="20"/>
        </w:rPr>
        <w:t xml:space="preserve"> of the Summary payable in equal monthly installments as set forth in Section 4 of the Summary, in advance, on or before the first day of each and every calendar month during the Lease Term, without any setoff or deduction whatsoever except as expressly set forth in this Lease. Base Rent for the first full month of the Lease Term shall be paid at the time of Tenant’s execution of this Lease. If any Rent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the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 Base Rent and Additional Rent shall together be denominated “</w:t>
      </w:r>
      <w:r>
        <w:rPr>
          <w:rFonts w:ascii="Times New Roman" w:hAnsi="Times New Roman"/>
          <w:b/>
          <w:sz w:val="20"/>
        </w:rPr>
        <w:t>Rent</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Without limiting the foregoing, Tenant’s obligation to pay Rent shall be absolute, unconditional and independent of any Landlord covenants and shall not be discharged or otherwise affected by any law or regulation now or hereafter applicable to the Premises, or any other restriction on Tenant’s use, or (except as expressly provided herein) any casualty or taking, or any failure by Landlord to perform any covenant contained herein, or any other occurrence; and Tenant assumes the risk of the foregoing and waives all rights now or hereafter existing to terminate or cancel this Lease or quit or surrender the Premises or any part thereof, or to assert any defense in the nature of constructive eviction to any action seeking to recover rent. Tenant’s covenants contained herein are independent and not dependent, and Tenant hereby waives the benefit of any statute or judicial law to the contrary. Tenant hereby acknowledges and agrees that it has been represented by counsel of its choice and has participated fully in the negotiation of this Lease, that Tenant understands that the remedies available to Tenant in the event of a default by Landlord may be more limited than those that would otherwise be available to Tenant under the common law in the absence of certain provisions of this Lease, and that the so-called “dependent covenants” rule as developed under the common law shall not apply to this Lease or to the relationship of Landlord and Tenant created hereunder. </w:t>
      </w:r>
    </w:p>
    <w:p>
      <w:pPr>
        <w:pStyle w:val="TextBody"/>
        <w:bidi w:val="0"/>
        <w:spacing w:before="36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ADDITIONAL RENT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General Terms</w:t>
      </w:r>
      <w:r>
        <w:rPr>
          <w:rFonts w:ascii="Times New Roman" w:hAnsi="Times New Roman"/>
          <w:b/>
          <w:sz w:val="20"/>
        </w:rPr>
        <w:t xml:space="preserve">. </w:t>
      </w:r>
      <w:r>
        <w:rPr>
          <w:rFonts w:ascii="Times New Roman" w:hAnsi="Times New Roman"/>
          <w:sz w:val="20"/>
        </w:rPr>
        <w:t>In addition to paying the Base Rent specified in Article 3 of this Lease, commencing on the Fourth Floor Premises Commencement Date, Tenant shall pay “</w:t>
      </w:r>
      <w:r>
        <w:rPr>
          <w:rFonts w:ascii="Times New Roman" w:hAnsi="Times New Roman"/>
          <w:b/>
          <w:sz w:val="20"/>
        </w:rPr>
        <w:t>Tenant</w:t>
      </w:r>
      <w:r>
        <w:rPr>
          <w:rFonts w:ascii="Times New Roman" w:hAnsi="Times New Roman"/>
          <w:sz w:val="20"/>
        </w:rPr>
        <w:t>’</w:t>
      </w:r>
      <w:r>
        <w:rPr>
          <w:rFonts w:ascii="Times New Roman" w:hAnsi="Times New Roman"/>
          <w:b/>
          <w:sz w:val="20"/>
        </w:rPr>
        <w:t>s Share</w:t>
      </w:r>
      <w:r>
        <w:rPr>
          <w:rFonts w:ascii="Times New Roman" w:hAnsi="Times New Roman"/>
          <w:sz w:val="20"/>
        </w:rPr>
        <w:t>” of the annual “</w:t>
      </w:r>
      <w:r>
        <w:rPr>
          <w:rFonts w:ascii="Times New Roman" w:hAnsi="Times New Roman"/>
          <w:b/>
          <w:sz w:val="20"/>
        </w:rPr>
        <w:t>Direct Expenses,</w:t>
      </w:r>
      <w:r>
        <w:rPr>
          <w:rFonts w:ascii="Times New Roman" w:hAnsi="Times New Roman"/>
          <w:sz w:val="20"/>
        </w:rPr>
        <w:t xml:space="preserve">” as those terms are defined in </w:t>
      </w:r>
      <w:r>
        <w:rPr>
          <w:rFonts w:ascii="Times New Roman" w:hAnsi="Times New Roman"/>
          <w:sz w:val="20"/>
          <w:u w:val="single"/>
        </w:rPr>
        <w:t>Sections 4.2.6 and 4.2.2</w:t>
      </w:r>
      <w:r>
        <w:rPr>
          <w:rFonts w:ascii="Times New Roman" w:hAnsi="Times New Roman"/>
          <w:sz w:val="20"/>
        </w:rPr>
        <w:t xml:space="preserve"> of this Lease, respectively. Such payments by Tenant, together with any and all other amounts payable by Tenant to Landlord pursuant to the terms of this Lease other than Base Rate. are hereinafter collectively referred to as the “</w:t>
      </w:r>
      <w:r>
        <w:rPr>
          <w:rFonts w:ascii="Times New Roman" w:hAnsi="Times New Roman"/>
          <w:b/>
          <w:sz w:val="20"/>
        </w:rPr>
        <w:t>Additional Rent</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All amounts due under this Article 4 as Additional Rent shall be payable for the same periods and in the same manner as the Base Rent. Without limitation on other obligations of Tenant which survive the expiration of the Lease Term, the obligations of Tenant to pay the Additional Rent provided for in this Article 4 shall survive the expiration of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Definitions of Key Terms Relating to Additional Rent</w:t>
      </w:r>
      <w:r>
        <w:rPr>
          <w:rFonts w:ascii="Times New Roman" w:hAnsi="Times New Roman"/>
          <w:b/>
          <w:sz w:val="20"/>
        </w:rPr>
        <w:t xml:space="preserve">. </w:t>
      </w:r>
      <w:r>
        <w:rPr>
          <w:rFonts w:ascii="Times New Roman" w:hAnsi="Times New Roman"/>
          <w:sz w:val="20"/>
        </w:rPr>
        <w:t xml:space="preserve">As used in this Article 4, the following terms shall have the meanings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4.2.1 Intentionally Omitted. </w:t>
      </w:r>
    </w:p>
    <w:p>
      <w:pPr>
        <w:pStyle w:val="TextBody"/>
        <w:bidi w:val="0"/>
        <w:spacing w:before="240" w:after="0"/>
        <w:jc w:val="left"/>
        <w:rPr>
          <w:rFonts w:ascii="Times New Roman" w:hAnsi="Times New Roman"/>
          <w:sz w:val="20"/>
        </w:rPr>
      </w:pPr>
      <w:r>
        <w:rPr>
          <w:rFonts w:ascii="Times New Roman" w:hAnsi="Times New Roman"/>
          <w:sz w:val="20"/>
        </w:rPr>
        <w:t>4.2.2 “</w:t>
      </w:r>
      <w:r>
        <w:rPr>
          <w:rFonts w:ascii="Times New Roman" w:hAnsi="Times New Roman"/>
          <w:b/>
          <w:sz w:val="20"/>
        </w:rPr>
        <w:t xml:space="preserve">Direct Expenses” </w:t>
      </w:r>
      <w:r>
        <w:rPr>
          <w:rFonts w:ascii="Times New Roman" w:hAnsi="Times New Roman"/>
          <w:sz w:val="20"/>
        </w:rPr>
        <w:t>shall mean “</w:t>
      </w:r>
      <w:r>
        <w:rPr>
          <w:rFonts w:ascii="Times New Roman" w:hAnsi="Times New Roman"/>
          <w:b/>
          <w:sz w:val="20"/>
        </w:rPr>
        <w:t xml:space="preserve">Operating Expenses” </w:t>
      </w:r>
      <w:r>
        <w:rPr>
          <w:rFonts w:ascii="Times New Roman" w:hAnsi="Times New Roman"/>
          <w:sz w:val="20"/>
        </w:rPr>
        <w:t>and “</w:t>
      </w:r>
      <w:r>
        <w:rPr>
          <w:rFonts w:ascii="Times New Roman" w:hAnsi="Times New Roman"/>
          <w:b/>
          <w:sz w:val="20"/>
        </w:rPr>
        <w:t>Tax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4.2.3 “</w:t>
      </w:r>
      <w:r>
        <w:rPr>
          <w:rFonts w:ascii="Times New Roman" w:hAnsi="Times New Roman"/>
          <w:b/>
          <w:sz w:val="20"/>
        </w:rPr>
        <w:t xml:space="preserve">Expense Year” </w:t>
      </w:r>
      <w:r>
        <w:rPr>
          <w:rFonts w:ascii="Times New Roman" w:hAnsi="Times New Roman"/>
          <w:sz w:val="20"/>
        </w:rPr>
        <w:t xml:space="preserve">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 </w:t>
      </w:r>
    </w:p>
    <w:p>
      <w:pPr>
        <w:pStyle w:val="TextBody"/>
        <w:bidi w:val="0"/>
        <w:spacing w:before="240" w:after="0"/>
        <w:jc w:val="left"/>
        <w:rPr>
          <w:rFonts w:ascii="Times New Roman" w:hAnsi="Times New Roman"/>
          <w:sz w:val="20"/>
        </w:rPr>
      </w:pPr>
      <w:r>
        <w:rPr>
          <w:rFonts w:ascii="Times New Roman" w:hAnsi="Times New Roman"/>
          <w:sz w:val="20"/>
        </w:rPr>
        <w:t>4.2.4 “</w:t>
      </w:r>
      <w:r>
        <w:rPr>
          <w:rFonts w:ascii="Times New Roman" w:hAnsi="Times New Roman"/>
          <w:b/>
          <w:sz w:val="20"/>
        </w:rPr>
        <w:t xml:space="preserve">Operating Expenses” </w:t>
      </w:r>
      <w:r>
        <w:rPr>
          <w:rFonts w:ascii="Times New Roman" w:hAnsi="Times New Roman"/>
          <w:sz w:val="20"/>
        </w:rPr>
        <w:t xml:space="preserve">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(other than separately metered utilities, or utilities supplied, to the premises of other tenants),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federal, state or municipal governmental enactments which may affect Operating Expenses, and the costs incurred in connection with a federal, state or municipal governmentally mandated transportation demand management program or similar program; (iii) the cost of all insurance carried by Landlord in connection with the Project as reasonably determined by Landlord; (iv) the cost of landscaping, revamping, and all supplies, tools, equipment and materials used in the operation, repair and maintenance of the Project, or any portion thereof; (v) the cost of parking area 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repair, restoration and maintenance; (vi) fees and other costs, including a property management fee of not more than 3% of Project revenues (including expense pass-throughs),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reasonable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reduce expenses in the operation or maintenance of the Project, or any portion thereof, or to reduce current or future Operating Expenses or to enhance the safety or security of the Project or its occupants, (B) that are required to comply with present or anticipated mandatory energy conservation programs, (C) which are replacements or modifications of nonstructural items located in the Common Areas required to keep the Common Areas in the same good order or condition as on the Fourth Floor Premises Lease Commencement Date, or (D) that are required under any federal, state or municipal governmental law or regulation that was not in force or effect as of the Commencement Date; provided, however, that the costs of any capital expenditure shall be amortized (including reasonable interest on the amortized cost as reasonably determined by Landlord) over such period of time as Landlord shall reasonably determine; and (xiv) costs, fees, charges or assessments imposed by, or resulting from any mandate imposed on Landlord by, any federal, state or municipal government for fire and police protection, trash removal, community services, or other services which do not constitute “Tax Expenses” as that term is defined in Section 4.2.5,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restrictions, and reciprocal easement agreements affecting the Project, and any agreements with federal, state or municipal governmental agencies affecting the Project (any of the foregoing that now or hereafter affect the Property, collectively, the “</w:t>
      </w:r>
      <w:r>
        <w:rPr>
          <w:rFonts w:ascii="Times New Roman" w:hAnsi="Times New Roman"/>
          <w:b/>
          <w:sz w:val="20"/>
        </w:rPr>
        <w:t xml:space="preserve">Underlying Documents”). </w:t>
      </w:r>
      <w:r>
        <w:rPr>
          <w:rFonts w:ascii="Times New Roman" w:hAnsi="Times New Roman"/>
          <w:sz w:val="20"/>
        </w:rPr>
        <w:t xml:space="preserve">In the event that Landlord or Landlord’s managers or agents perform services for the benefit of the Building off-site which would otherwise be performed on-site (e.g., accounting), the cost of such services shall be reasonably allocated among the properties benefitting from such service and shall be included in Operating Expenses. Notwithstanding the foregoing, for purposes of this Lease, Operating Expenses shall not, however, include: </w:t>
      </w:r>
    </w:p>
    <w:p>
      <w:pPr>
        <w:pStyle w:val="TextBody"/>
        <w:bidi w:val="0"/>
        <w:spacing w:before="240" w:after="0"/>
        <w:jc w:val="left"/>
        <w:rPr>
          <w:rFonts w:ascii="Times New Roman" w:hAnsi="Times New Roman"/>
          <w:sz w:val="20"/>
        </w:rPr>
      </w:pPr>
      <w:r>
        <w:rPr>
          <w:rFonts w:ascii="Times New Roman" w:hAnsi="Times New Roman"/>
          <w:sz w:val="20"/>
        </w:rPr>
        <w:t xml:space="preserve">(a) costs, including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Commencement Date or incurred in renovating or otherwise improving, decorating, painting or redecorating vacant space for tenants or other occupants of the Project (excluding, however, such costs relating to any common areas of the Project);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items (xii), (xiii), and (xiv) above, depreciation, interest and principal payments on mortgages and other debt costs, if any, penalties and interest, and costs of capital improvements (as distinguished from repairs or replacements); </w:t>
      </w:r>
    </w:p>
    <w:p>
      <w:pPr>
        <w:pStyle w:val="TextBody"/>
        <w:bidi w:val="0"/>
        <w:spacing w:before="0" w:after="0"/>
        <w:jc w:val="left"/>
        <w:rPr>
          <w:rFonts w:ascii="Times New Roman" w:hAnsi="Times New Roman"/>
          <w:sz w:val="20"/>
        </w:rPr>
      </w:pPr>
      <w:r>
        <w:rPr>
          <w:rFonts w:ascii="Times New Roman" w:hAnsi="Times New Roman"/>
          <w:sz w:val="20"/>
        </w:rPr>
        <w:t xml:space="preserve">(c) costs for which the Landlord is reimbursed by any tenant or occupant of the Project (other than as Direct Expenses) or by insurance by its carrier or any tenant’s carrier or by anyone else, and electric power costs for which any tenant directly contracts with the local public service Compaq; </w:t>
      </w:r>
    </w:p>
    <w:p>
      <w:pPr>
        <w:pStyle w:val="TextBody"/>
        <w:bidi w:val="0"/>
        <w:spacing w:before="240" w:after="0"/>
        <w:jc w:val="left"/>
        <w:rPr>
          <w:rFonts w:ascii="Times New Roman" w:hAnsi="Times New Roman"/>
          <w:sz w:val="20"/>
        </w:rPr>
      </w:pPr>
      <w:r>
        <w:rPr>
          <w:rFonts w:ascii="Times New Roman" w:hAnsi="Times New Roman"/>
          <w:sz w:val="20"/>
        </w:rPr>
        <w:t xml:space="preserve">(d) any bad debt loss, rent loss, or reserves for bad debts or rent loss; </w:t>
      </w:r>
    </w:p>
    <w:p>
      <w:pPr>
        <w:pStyle w:val="TextBody"/>
        <w:bidi w:val="0"/>
        <w:spacing w:before="240" w:after="0"/>
        <w:jc w:val="left"/>
        <w:rPr>
          <w:rFonts w:ascii="Times New Roman" w:hAnsi="Times New Roman"/>
          <w:sz w:val="20"/>
        </w:rPr>
      </w:pPr>
      <w:r>
        <w:rPr>
          <w:rFonts w:ascii="Times New Roman" w:hAnsi="Times New Roman"/>
          <w:sz w:val="20"/>
        </w:rPr>
        <w:t xml:space="preserve">(e) 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 </w:t>
      </w:r>
    </w:p>
    <w:p>
      <w:pPr>
        <w:pStyle w:val="TextBody"/>
        <w:bidi w:val="0"/>
        <w:spacing w:before="240" w:after="0"/>
        <w:jc w:val="left"/>
        <w:rPr>
          <w:rFonts w:ascii="Times New Roman" w:hAnsi="Times New Roman"/>
          <w:sz w:val="20"/>
        </w:rPr>
      </w:pPr>
      <w:r>
        <w:rPr>
          <w:rFonts w:ascii="Times New Roman" w:hAnsi="Times New Roman"/>
          <w:sz w:val="20"/>
        </w:rPr>
        <w:t xml:space="preserve">(g) amount paid as ground rental for the Project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(h) except for a property management fee to the extent expressly allowed above, overhead and profit increment paid to the Landlord or to subsidiaries or affiliates of the Landlord for services in the Project to the extent the same exceeds the costs of such services rendered by qualified, first-class unaffiliated third parties on a competitive basis; </w:t>
      </w:r>
    </w:p>
    <w:p>
      <w:pPr>
        <w:pStyle w:val="TextBody"/>
        <w:bidi w:val="0"/>
        <w:spacing w:before="240" w:after="0"/>
        <w:jc w:val="left"/>
        <w:rPr>
          <w:rFonts w:ascii="Times New Roman" w:hAnsi="Times New Roman"/>
          <w:sz w:val="20"/>
        </w:rPr>
      </w:pPr>
      <w:r>
        <w:rPr>
          <w:rFonts w:ascii="Times New Roman" w:hAnsi="Times New Roman"/>
          <w:sz w:val="20"/>
        </w:rPr>
        <w:t xml:space="preserve">(i) any compensation paid to clerks, attendants or other persons in commercial concessions operated by the Landlord, provided that any compensation paid to any concierge at the Project shall be includable as an Operating Expense; </w:t>
      </w:r>
    </w:p>
    <w:p>
      <w:pPr>
        <w:pStyle w:val="TextBody"/>
        <w:bidi w:val="0"/>
        <w:spacing w:before="240" w:after="0"/>
        <w:jc w:val="left"/>
        <w:rPr>
          <w:rFonts w:ascii="Times New Roman" w:hAnsi="Times New Roman"/>
          <w:sz w:val="20"/>
        </w:rPr>
      </w:pPr>
      <w:r>
        <w:rPr>
          <w:rFonts w:ascii="Times New Roman" w:hAnsi="Times New Roman"/>
          <w:sz w:val="20"/>
        </w:rPr>
        <w:t xml:space="preserve">(j) rentals and other related expenses incurred in leasing air conditioning systems, elevators or other equipment which if purchased the cost of which would be excluded from Operating Expenses as a capital improvement, except equipment not affixed to the Project which is used in providing janitorial or similar services and, further excepting from this exclusion such equipment rented or leased to remedy or ameliorate an emergency condition in the Project; </w:t>
      </w:r>
    </w:p>
    <w:p>
      <w:pPr>
        <w:pStyle w:val="TextBody"/>
        <w:bidi w:val="0"/>
        <w:spacing w:before="240" w:after="0"/>
        <w:jc w:val="left"/>
        <w:rPr>
          <w:rFonts w:ascii="Times New Roman" w:hAnsi="Times New Roman"/>
          <w:sz w:val="20"/>
        </w:rPr>
      </w:pPr>
      <w:r>
        <w:rPr>
          <w:rFonts w:ascii="Times New Roman" w:hAnsi="Times New Roman"/>
          <w:sz w:val="20"/>
        </w:rPr>
        <w:t xml:space="preserve">(k) all items and services for which Tenant or any other tenant in the Project reimburses Landlord (other than as Direct Expenses) or which Landlord provides selectively to one or more tenants (other than Tenant) without reimbursement; </w:t>
      </w:r>
    </w:p>
    <w:p>
      <w:pPr>
        <w:pStyle w:val="TextBody"/>
        <w:bidi w:val="0"/>
        <w:spacing w:before="240" w:after="0"/>
        <w:jc w:val="left"/>
        <w:rPr>
          <w:rFonts w:ascii="Times New Roman" w:hAnsi="Times New Roman"/>
          <w:sz w:val="20"/>
        </w:rPr>
      </w:pPr>
      <w:r>
        <w:rPr>
          <w:rFonts w:ascii="Times New Roman" w:hAnsi="Times New Roman"/>
          <w:sz w:val="20"/>
        </w:rPr>
        <w:t xml:space="preserve">(l) 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 </w:t>
      </w:r>
    </w:p>
    <w:p>
      <w:pPr>
        <w:pStyle w:val="TextBody"/>
        <w:bidi w:val="0"/>
        <w:spacing w:before="240" w:after="0"/>
        <w:jc w:val="left"/>
        <w:rPr>
          <w:rFonts w:ascii="Times New Roman" w:hAnsi="Times New Roman"/>
          <w:sz w:val="20"/>
        </w:rPr>
      </w:pPr>
      <w:r>
        <w:rPr>
          <w:rFonts w:ascii="Times New Roman" w:hAnsi="Times New Roman"/>
          <w:sz w:val="20"/>
        </w:rPr>
        <w:t xml:space="preserve">(m) costs incurred to comply with laws relating to the removal of Hazardous Materials (other than Hazardous Materials typically found in first-class office buildings, such as recyclable materials and typical construction materials, and costs to comply with the Operation and Maintenance Plan described on Exhibit 5.4.7); </w:t>
      </w:r>
    </w:p>
    <w:p>
      <w:pPr>
        <w:pStyle w:val="TextBody"/>
        <w:bidi w:val="0"/>
        <w:spacing w:before="240" w:after="0"/>
        <w:jc w:val="left"/>
        <w:rPr>
          <w:rFonts w:ascii="Times New Roman" w:hAnsi="Times New Roman"/>
          <w:sz w:val="20"/>
        </w:rPr>
      </w:pPr>
      <w:r>
        <w:rPr>
          <w:rFonts w:ascii="Times New Roman" w:hAnsi="Times New Roman"/>
          <w:sz w:val="20"/>
        </w:rPr>
        <w:t xml:space="preserve">(n) the cost of special services, goods or materials provided to any other tenant of the Project free of charge, and not provided to Tenant; </w:t>
      </w:r>
    </w:p>
    <w:p>
      <w:pPr>
        <w:pStyle w:val="TextBody"/>
        <w:bidi w:val="0"/>
        <w:spacing w:before="0" w:after="0"/>
        <w:jc w:val="left"/>
        <w:rPr>
          <w:rFonts w:ascii="Times New Roman" w:hAnsi="Times New Roman"/>
          <w:sz w:val="20"/>
        </w:rPr>
      </w:pPr>
      <w:r>
        <w:rPr>
          <w:rFonts w:ascii="Times New Roman" w:hAnsi="Times New Roman"/>
          <w:sz w:val="20"/>
        </w:rPr>
        <w:t xml:space="preserve">(o) Landlord’s general overhead expenses not related to the legal fees, accountants’ fees (other than normal bookkeeping expenses) and other expenses incurred in connection with disputes of tenants or other occupants of the Project or associated with the enforcement of the terms of any leases with tenants or the defense of Landlord’s title to or interest in the Project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(p) costs incurred due to a violation by Landlord or any other tenant of the Project of the terms and conditions of a lease; </w:t>
      </w:r>
    </w:p>
    <w:p>
      <w:pPr>
        <w:pStyle w:val="TextBody"/>
        <w:bidi w:val="0"/>
        <w:spacing w:before="240" w:after="0"/>
        <w:jc w:val="left"/>
        <w:rPr>
          <w:rFonts w:ascii="Times New Roman" w:hAnsi="Times New Roman"/>
          <w:sz w:val="20"/>
        </w:rPr>
      </w:pPr>
      <w:r>
        <w:rPr>
          <w:rFonts w:ascii="Times New Roman" w:hAnsi="Times New Roman"/>
          <w:sz w:val="20"/>
        </w:rPr>
        <w:t xml:space="preserve">(q) property management fees in excels of the amount expressly permitted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any reserve funds; and </w:t>
      </w:r>
    </w:p>
    <w:p>
      <w:pPr>
        <w:pStyle w:val="TextBody"/>
        <w:bidi w:val="0"/>
        <w:spacing w:before="240" w:after="0"/>
        <w:jc w:val="left"/>
        <w:rPr>
          <w:rFonts w:ascii="Times New Roman" w:hAnsi="Times New Roman"/>
          <w:sz w:val="20"/>
        </w:rPr>
      </w:pPr>
      <w:r>
        <w:rPr>
          <w:rFonts w:ascii="Times New Roman" w:hAnsi="Times New Roman"/>
          <w:sz w:val="20"/>
        </w:rPr>
        <w:t xml:space="preserve">(s) any share of Operating Expenses attributable to retail space in the Building. </w:t>
      </w:r>
    </w:p>
    <w:p>
      <w:pPr>
        <w:pStyle w:val="TextBody"/>
        <w:bidi w:val="0"/>
        <w:spacing w:before="240" w:after="0"/>
        <w:jc w:val="left"/>
        <w:rPr>
          <w:rFonts w:ascii="Times New Roman" w:hAnsi="Times New Roman"/>
          <w:sz w:val="20"/>
        </w:rPr>
      </w:pPr>
      <w:r>
        <w:rPr>
          <w:rFonts w:ascii="Times New Roman" w:hAnsi="Times New Roman"/>
          <w:sz w:val="20"/>
        </w:rPr>
        <w:t xml:space="preserve">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ninety-five percent (95%) occupied during all or a portion of any Expense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4.2.5.1 “</w:t>
      </w:r>
      <w:r>
        <w:rPr>
          <w:rFonts w:ascii="Times New Roman" w:hAnsi="Times New Roman"/>
          <w:b/>
          <w:sz w:val="20"/>
        </w:rPr>
        <w:t xml:space="preserve">Tax Expenses” </w:t>
      </w:r>
      <w:r>
        <w:rPr>
          <w:rFonts w:ascii="Times New Roman" w:hAnsi="Times New Roman"/>
          <w:sz w:val="20"/>
        </w:rPr>
        <w:t xml:space="preserve">shall mean all federal, state, county, or local governmental or municipal taxes, fees, charges or other impositions of every kind and nature, whether general, special, ordinary or extraordinary (including, without prim tat ion, real estate taxes, general and special assessments, transit taxes, payments in lieu of taxes, business improvement district charges,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All general and special assessments that are not specifically charged to Tenant because of what Tenant has done and that can be paid by Landlord in installments over a period of greater than four (4) years shall be included in Taxes only to the extent of the amounts that would have been payable had such assessments been paid by Landlord over the maximum number of installments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 If at any time during the Lease Term there shall be assessed on Landlord, in addition to or lieu of the whole or any part of the ad valorem tax on real or personal property, a capital levy or other tax on the gross rents or other measures of building operations, or a governmental income, franchise, excise or similar tax, assessment, levy, charge or fee measured by or based, in whole or in part, upon building valuation, gross rents or other measures of building operations or benefits of governmental services furnished to the Building, then any and all of such taxes, assessments, levies, charges and fees, to the extent so measured or based, shall be included within the term Tax Expenses, but only to the extent that the same would be payable if the Building and Land were the only property of Landlord. </w:t>
      </w:r>
    </w:p>
    <w:p>
      <w:pPr>
        <w:pStyle w:val="TextBody"/>
        <w:bidi w:val="0"/>
        <w:spacing w:before="240" w:after="0"/>
        <w:jc w:val="left"/>
        <w:rPr>
          <w:rFonts w:ascii="Times New Roman" w:hAnsi="Times New Roman"/>
          <w:sz w:val="20"/>
        </w:rPr>
      </w:pPr>
      <w:r>
        <w:rPr>
          <w:rFonts w:ascii="Times New Roman" w:hAnsi="Times New Roman"/>
          <w:sz w:val="20"/>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on account of Tax Expenses under this </w:t>
      </w:r>
      <w:r>
        <w:rPr>
          <w:rFonts w:ascii="Times New Roman" w:hAnsi="Times New Roman"/>
          <w:sz w:val="20"/>
          <w:u w:val="single"/>
        </w:rPr>
        <w:t>Article 4</w:t>
      </w:r>
      <w:r>
        <w:rPr>
          <w:rFonts w:ascii="Times New Roman" w:hAnsi="Times New Roman"/>
          <w:sz w:val="20"/>
        </w:rPr>
        <w:t xml:space="preserve"> for such Expense Year. The foregoing sentence shall survive the expiration or earlier termination of this Lease. If Tax Expenses for any period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Times New Roman" w:hAnsi="Times New Roman"/>
          <w:sz w:val="20"/>
          <w:u w:val="single"/>
        </w:rPr>
        <w:t>Section 4.2.5</w:t>
      </w:r>
      <w:r>
        <w:rPr>
          <w:rFonts w:ascii="Times New Roman" w:hAnsi="Times New Roman"/>
          <w:sz w:val="20"/>
        </w:rPr>
        <w:t xml:space="preserve">, there shall be excluded from Tax Expenses (i) all excess profits taxes, franchise taxes, gift taxes, capital stock taxes, inheritance and succession taxes, estate taxes, transfer tax or fee, federal and state income taxes, and other taxes to the extent applicable to Landlord’s general or net income (as opposed to rents, receipts or income attributable to operations at the Project), (ii) any items included as Operating Expenses, and (iii) any items paid by Tenant under </w:t>
      </w:r>
      <w:r>
        <w:rPr>
          <w:rFonts w:ascii="Times New Roman" w:hAnsi="Times New Roman"/>
          <w:sz w:val="20"/>
          <w:u w:val="single"/>
        </w:rPr>
        <w:t>Section 4,5</w:t>
      </w:r>
      <w:r>
        <w:rPr>
          <w:rFonts w:ascii="Times New Roman" w:hAnsi="Times New Roman"/>
          <w:sz w:val="20"/>
        </w:rPr>
        <w:t xml:space="preserve"> of this Lease. </w:t>
      </w:r>
    </w:p>
    <w:p>
      <w:pPr>
        <w:pStyle w:val="TextBody"/>
        <w:bidi w:val="0"/>
        <w:spacing w:before="240" w:after="0"/>
        <w:jc w:val="left"/>
        <w:rPr>
          <w:rFonts w:ascii="Times New Roman" w:hAnsi="Times New Roman"/>
          <w:sz w:val="20"/>
        </w:rPr>
      </w:pPr>
      <w:r>
        <w:rPr>
          <w:rFonts w:ascii="Times New Roman" w:hAnsi="Times New Roman"/>
          <w:sz w:val="20"/>
        </w:rPr>
        <w:t>4.2.6 “</w:t>
      </w:r>
      <w:r>
        <w:rPr>
          <w:rFonts w:ascii="Times New Roman" w:hAnsi="Times New Roman"/>
          <w:b/>
          <w:sz w:val="20"/>
        </w:rPr>
        <w:t xml:space="preserve">Tenant’s Share” </w:t>
      </w:r>
      <w:r>
        <w:rPr>
          <w:rFonts w:ascii="Times New Roman" w:hAnsi="Times New Roman"/>
          <w:sz w:val="20"/>
        </w:rPr>
        <w:t xml:space="preserve">is based upon the ratio that the rentable square feet of the Premises bears to the rentable square feet of the Building and initially shall mean the percentage set forth in </w:t>
      </w:r>
      <w:r>
        <w:rPr>
          <w:rFonts w:ascii="Times New Roman" w:hAnsi="Times New Roman"/>
          <w:sz w:val="20"/>
          <w:u w:val="single"/>
        </w:rPr>
        <w:t>Section 7</w:t>
      </w:r>
      <w:r>
        <w:rPr>
          <w:rFonts w:ascii="Times New Roman" w:hAnsi="Times New Roman"/>
          <w:sz w:val="20"/>
        </w:rPr>
        <w:t xml:space="preserve"> of the Summary, subject to adjustment in the event that Tenant expands the Premises within the Building.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Calculation and Payment of Additional Rent</w:t>
      </w:r>
      <w:r>
        <w:rPr>
          <w:rFonts w:ascii="Times New Roman" w:hAnsi="Times New Roman"/>
          <w:sz w:val="20"/>
        </w:rPr>
        <w:t xml:space="preserve">. In the event Tenant extends the Lease Term, pursuant to </w:t>
      </w:r>
      <w:r>
        <w:rPr>
          <w:rFonts w:ascii="Times New Roman" w:hAnsi="Times New Roman"/>
          <w:sz w:val="20"/>
          <w:u w:val="single"/>
        </w:rPr>
        <w:t>Section 2.2</w:t>
      </w:r>
      <w:r>
        <w:rPr>
          <w:rFonts w:ascii="Times New Roman" w:hAnsi="Times New Roman"/>
          <w:sz w:val="20"/>
        </w:rPr>
        <w:t xml:space="preserve">, above, or otherwise, then Tenant shall pay to Landlord, in the manner set forth in </w:t>
      </w:r>
      <w:r>
        <w:rPr>
          <w:rFonts w:ascii="Times New Roman" w:hAnsi="Times New Roman"/>
          <w:sz w:val="20"/>
          <w:u w:val="single"/>
        </w:rPr>
        <w:t>Section 4.4.1</w:t>
      </w:r>
      <w:r>
        <w:rPr>
          <w:rFonts w:ascii="Times New Roman" w:hAnsi="Times New Roman"/>
          <w:sz w:val="20"/>
        </w:rPr>
        <w:t xml:space="preserve">, below, and as Additional Rent, Tenant’s Share of Direct Expenses for each Expense Year.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b/>
          <w:sz w:val="20"/>
          <w:u w:val="single"/>
        </w:rPr>
        <w:t>Statement of Actual Direct Expenses and Payment by Tenant</w:t>
      </w:r>
      <w:r>
        <w:rPr>
          <w:rFonts w:ascii="Times New Roman" w:hAnsi="Times New Roman"/>
          <w:b/>
          <w:sz w:val="20"/>
        </w:rPr>
        <w:t xml:space="preserve">. </w:t>
      </w:r>
      <w:r>
        <w:rPr>
          <w:rFonts w:ascii="Times New Roman" w:hAnsi="Times New Roman"/>
          <w:sz w:val="20"/>
        </w:rPr>
        <w:t>Landlord shall give to Tenant within six (6) months following the end of each Expense Year, a statement (the “</w:t>
      </w:r>
      <w:r>
        <w:rPr>
          <w:rFonts w:ascii="Times New Roman" w:hAnsi="Times New Roman"/>
          <w:b/>
          <w:sz w:val="20"/>
        </w:rPr>
        <w:t xml:space="preserve">Statement”) </w:t>
      </w:r>
      <w:r>
        <w:rPr>
          <w:rFonts w:ascii="Times New Roman" w:hAnsi="Times New Roman"/>
          <w:sz w:val="20"/>
        </w:rPr>
        <w:t>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Times New Roman" w:hAnsi="Times New Roman"/>
          <w:b/>
          <w:sz w:val="20"/>
        </w:rPr>
        <w:t xml:space="preserve">Estimated Direct Expenses,” </w:t>
      </w:r>
      <w:r>
        <w:rPr>
          <w:rFonts w:ascii="Times New Roman" w:hAnsi="Times New Roman"/>
          <w:sz w:val="20"/>
        </w:rPr>
        <w:t xml:space="preserve">as that term is defined in </w:t>
      </w:r>
      <w:r>
        <w:rPr>
          <w:rFonts w:ascii="Times New Roman" w:hAnsi="Times New Roman"/>
          <w:sz w:val="20"/>
          <w:u w:val="single"/>
        </w:rPr>
        <w:t>Section 4.4.2</w:t>
      </w:r>
      <w:r>
        <w:rPr>
          <w:rFonts w:ascii="Times New Roman" w:hAnsi="Times New Roman"/>
          <w:sz w:val="20"/>
        </w:rPr>
        <w:t xml:space="preserve">, below, and if Tenant paid more as Estimated Direct Expenses than the actual Tenant’s Share of Direct Expenses, Tenant shall receive a credit in the amount of Tenant’s overpayment against Rent next due under this Lease or, if Landlord elects, Landlord shall reimburse such overpayment amount to Tenant. The failure of Landlord to timely furnish the Statement for any Expense Year shall not prejudice Landlord or Tenant from enforcing its rights under this </w:t>
      </w:r>
      <w:r>
        <w:rPr>
          <w:rFonts w:ascii="Times New Roman" w:hAnsi="Times New Roman"/>
          <w:sz w:val="20"/>
          <w:u w:val="single"/>
        </w:rPr>
        <w:t>Article 4</w:t>
      </w:r>
      <w:r>
        <w:rPr>
          <w:rFonts w:ascii="Times New Roman" w:hAnsi="Times New Roman"/>
          <w:sz w:val="20"/>
        </w:rPr>
        <w:t xml:space="preserve">; provided, however, Tenant shall have no obligation to reimburse Landlord for any Direct Expenses first billed to Tenant more than two (2) calendar years following the Expense Year in which such Direct Expense was incurred by Landlord. Even though the Lease Term has expired and Tenant has vacated the Premises, when the final determination is made of Tenant’s Share of Direct Expenses for the Expense Year in which this Lease terminates, Tenant shall pay to Landlord such amount within thirty (30) days, and if Tenant paid more as Estimated Direct Expenses than the actual Tenant’s Share of Direct Expenses, Landlord shall pay to Tenant the amount of the overpayment within thirty (30) days. The provisions of this </w:t>
      </w:r>
      <w:r>
        <w:rPr>
          <w:rFonts w:ascii="Times New Roman" w:hAnsi="Times New Roman"/>
          <w:sz w:val="20"/>
          <w:u w:val="single"/>
        </w:rPr>
        <w:t>Section 4.4,1</w:t>
      </w:r>
      <w:r>
        <w:rPr>
          <w:rFonts w:ascii="Times New Roman" w:hAnsi="Times New Roman"/>
          <w:sz w:val="20"/>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earlier of the expiration of the applicable Expense Year or the Lease Expiration Date, provided that in any event Tenant shall be responsible for Tenant’s Share of Direct Expenses levied by any governmental authority or by any public utility companies at any time following the Lease Expiration Date which are attributable to the last Expense Year of the Lease Term (provided that Landlord delivers Tenant a bill for such amounts within thirty (30) days following Landlord’s receipt of the bill therefor). </w:t>
      </w:r>
    </w:p>
    <w:p>
      <w:pPr>
        <w:pStyle w:val="TextBody"/>
        <w:bidi w:val="0"/>
        <w:spacing w:before="240" w:after="0"/>
        <w:jc w:val="left"/>
        <w:rPr>
          <w:rFonts w:ascii="Times New Roman" w:hAnsi="Times New Roman"/>
          <w:sz w:val="20"/>
        </w:rPr>
      </w:pPr>
      <w:r>
        <w:rPr>
          <w:rFonts w:ascii="Times New Roman" w:hAnsi="Times New Roman"/>
          <w:sz w:val="20"/>
        </w:rPr>
        <w:t xml:space="preserve">Tenant shall have the right for a period of ninety (90) days (the “Audit Period”) following its receipt of the Statement to examine Landlord’s books and records concerning Direct Expenses for the calendar year covered by such Statement in the offices of the property manager or another location reasonably designated by Landlord. Tenant’s audit may be conducted by its employees or its designated accountants, provided that the accountants must be employed on a regular fee for services basis and not on a, contingency fee basis. If, by notice to Landlord given after such examination but during the Audit Period (which notice shall be accompanied by documentation evidencing the results of Tenant’s audit to Landlord’s reasonable satisfaction), Tenant disputes the amount of Additional Rent for Direct Expenses shown on the Statement, and Landlord and Tenant are unable to resolve such dispute within 30 days thereafter, then either party may request that the amount of Additional Rent for Direct Expenses for the year in question be determined by an audit conducted by a certified public accountant reasonably selected by both parties, provided that if the parties are unable so to agree on an accountant within ten (10) days after receipt of Tenant’s notice, then within twenty (20) days after Tenant’s notice is given Tenant may submit the dispute for determination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arbitration conducted by a single arbitrator in the Boston Office of the American Arbitration Association (“AAA”) in accordance with the AAA’s Commercial Arbitration Rules. The arbitrator shall be selected by the AAA and shall be a certified public accountant with at least ten (10) years of experience in auditing first class laboratory buildings in the City of Cambridge. The cost of the accountant selected by both parties, and the arbitrator, if applicable, shall be shared equally by the parties. Tenant and each person reviewing Landlord’s books and records or participating in the arbitration shall agree in an instrument prepared by Landlord that all information obtained from Landlord’s books and records shall be kept confidential and used only for the purpose of determining amounts properly due under this Lease. If the Additional Rent due is finally determined to be less or more than the Additional Rent paid by Tenant on account of Landlord’s calculation of Direct Expenses, Landlord shall either promptly refund to Tenant the difference or credit same against Rent next due from Tenant or Tenant shall promptly pay to Landlord the difference, as applicable. If the Additional Rent due was less than ninety- five percent (95%) of the Additional Rent paid by Tenant on account of Landlord’s calculation of Operating Expenses, Landlord shall reimburse Tenant for the reasonable third-party costs of such audit, including without limitation the costs of reviewing Landlord’s books and records, but in any event not to exceed $7,500.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b/>
          <w:sz w:val="20"/>
          <w:u w:val="single"/>
        </w:rPr>
        <w:t>Statement of Estimated Direct Expenses</w:t>
      </w:r>
      <w:r>
        <w:rPr>
          <w:rFonts w:ascii="Times New Roman" w:hAnsi="Times New Roman"/>
          <w:b/>
          <w:sz w:val="20"/>
        </w:rPr>
        <w:t xml:space="preserve">. </w:t>
      </w:r>
      <w:r>
        <w:rPr>
          <w:rFonts w:ascii="Times New Roman" w:hAnsi="Times New Roman"/>
          <w:sz w:val="20"/>
        </w:rPr>
        <w:t>In addition, Landlord shall endeavor to give Tenant a yearly expense estimate statement (the “</w:t>
      </w:r>
      <w:r>
        <w:rPr>
          <w:rFonts w:ascii="Times New Roman" w:hAnsi="Times New Roman"/>
          <w:b/>
          <w:sz w:val="20"/>
        </w:rPr>
        <w:t xml:space="preserve">Estimate Statement”) </w:t>
      </w:r>
      <w:r>
        <w:rPr>
          <w:rFonts w:ascii="Times New Roman" w:hAnsi="Times New Roman"/>
          <w:sz w:val="20"/>
        </w:rPr>
        <w:t>which shall set forth Landlord’s reasonable estimate (the “</w:t>
      </w:r>
      <w:r>
        <w:rPr>
          <w:rFonts w:ascii="Times New Roman" w:hAnsi="Times New Roman"/>
          <w:b/>
          <w:sz w:val="20"/>
        </w:rPr>
        <w:t xml:space="preserve">Estimate”) </w:t>
      </w:r>
      <w:r>
        <w:rPr>
          <w:rFonts w:ascii="Times New Roman" w:hAnsi="Times New Roman"/>
          <w:sz w:val="20"/>
        </w:rPr>
        <w:t>of what the total amount of Direct Expenses for the then-current Expense Year shall be and the estimated Tenant’s Share of Direct Expenses (the “</w:t>
      </w:r>
      <w:r>
        <w:rPr>
          <w:rFonts w:ascii="Times New Roman" w:hAnsi="Times New Roman"/>
          <w:b/>
          <w:sz w:val="20"/>
        </w:rPr>
        <w:t xml:space="preserve">Estimated Direct Expenses”). </w:t>
      </w:r>
      <w:r>
        <w:rPr>
          <w:rFonts w:ascii="Times New Roman" w:hAnsi="Times New Roman"/>
          <w:sz w:val="20"/>
        </w:rPr>
        <w:t xml:space="preserve">The failure of Landlord to timely furnish the Estimate Statement for any Expense Year shall not preclude Landlord from enforcing its rights to collect any Estimated Direct Expenses under this </w:t>
      </w:r>
      <w:r>
        <w:rPr>
          <w:rFonts w:ascii="Times New Roman" w:hAnsi="Times New Roman"/>
          <w:sz w:val="20"/>
          <w:u w:val="single"/>
        </w:rPr>
        <w:t>Article 4</w:t>
      </w:r>
      <w:r>
        <w:rPr>
          <w:rFonts w:ascii="Times New Roman" w:hAnsi="Times New Roman"/>
          <w:sz w:val="20"/>
        </w:rPr>
        <w:t xml:space="preserve">, nor shall Landlord be prohibited from revising any Estimate Statement or Estimated Direct Expenses theretofore delivered to the extent necessary. Thereafter, Tenant shall pay, with its next installment of Base Rent due, a fraction of the Estimated Direct Expenses for the then-current Expense Year (reduced by any amounts paid pursuant to the last sentence of this </w:t>
      </w:r>
      <w:r>
        <w:rPr>
          <w:rFonts w:ascii="Times New Roman" w:hAnsi="Times New Roman"/>
          <w:sz w:val="20"/>
          <w:u w:val="single"/>
        </w:rPr>
        <w:t>Section 4.4.2</w:t>
      </w:r>
      <w:r>
        <w:rPr>
          <w:rFonts w:ascii="Times New Roman" w:hAnsi="Times New Roman"/>
          <w:sz w:val="20"/>
        </w:rPr>
        <w:t xml:space="preserve">).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Taxes and Other Charges for Which Tenant Is Directly Responsible</w:t>
      </w:r>
      <w:r>
        <w:rPr>
          <w:rFonts w:ascii="Times New Roman" w:hAnsi="Times New Roman"/>
          <w:b/>
          <w:sz w:val="20"/>
        </w:rPr>
        <w:t xml:space="preserve">. </w:t>
      </w:r>
      <w:r>
        <w:rPr>
          <w:rFonts w:ascii="Times New Roman" w:hAnsi="Times New Roman"/>
          <w:sz w:val="20"/>
        </w:rPr>
        <w:t xml:space="preserve">Tenant shall be liable for and shall pay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 </w:t>
      </w:r>
    </w:p>
    <w:p>
      <w:pPr>
        <w:pStyle w:val="TextBody"/>
        <w:bidi w:val="0"/>
        <w:spacing w:before="36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USE OF PREMISES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u w:val="single"/>
        </w:rPr>
        <w:t>Permitted Use</w:t>
      </w:r>
      <w:r>
        <w:rPr>
          <w:rFonts w:ascii="Times New Roman" w:hAnsi="Times New Roman"/>
          <w:b/>
          <w:sz w:val="20"/>
        </w:rPr>
        <w:t xml:space="preserve">. </w:t>
      </w:r>
      <w:r>
        <w:rPr>
          <w:rFonts w:ascii="Times New Roman" w:hAnsi="Times New Roman"/>
          <w:sz w:val="20"/>
        </w:rPr>
        <w:t xml:space="preserve">Tenant shall use the Premises solely for the Permitted Use set forth in Section 8 of the Summary and Tenant shall not use or permit the Premises or the Project to be used for any other purpose or purposes whatsoever without the prior written consent of Landlord, which may be withheld in Landlord’s sole discretion. Landlord represents and warrants to Tenant that, as of the date of this Lease, the Permitted Use is permitted at the Property, generally (without regard for Tenant’s particular use), pursuant to the applicable zoning laws in effect at the Project.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u w:val="single"/>
        </w:rPr>
        <w:t>Prohibited Uses</w:t>
      </w:r>
      <w:r>
        <w:rPr>
          <w:rFonts w:ascii="Times New Roman" w:hAnsi="Times New Roman"/>
          <w:b/>
          <w:sz w:val="20"/>
        </w:rPr>
        <w:t xml:space="preserve">. </w:t>
      </w:r>
      <w:r>
        <w:rPr>
          <w:rFonts w:ascii="Times New Roman" w:hAnsi="Times New Roman"/>
          <w:sz w:val="20"/>
        </w:rPr>
        <w:t xml:space="preserve">Tenant further covenants and agrees that Tenant shall not use, or suffer or permit any person or persons to use, the Premises or any part thereof for any use or purpose contrary to the provisions of the Rules and Regulations attached hereto as </w:t>
      </w:r>
      <w:r>
        <w:rPr>
          <w:rFonts w:ascii="Times New Roman" w:hAnsi="Times New Roman"/>
          <w:sz w:val="20"/>
          <w:u w:val="single"/>
        </w:rPr>
        <w:t>Exhibit 5.2</w:t>
      </w:r>
      <w:r>
        <w:rPr>
          <w:rFonts w:ascii="Times New Roman" w:hAnsi="Times New Roman"/>
          <w:sz w:val="20"/>
        </w:rPr>
        <w:t xml:space="preserve">, as the same may be amended from time to time, or in violation of the laws of the United States of America, the Commonwealth of Massachusetts,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(to the extent the same have been provided to or are otherwise known to Tenant).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Tenant acknowledges that the Project is subject to an Activity and Use Limitation, notice of which dated April 10, 2001 has been recorded at Book 32708, Page 374 of the Middlesex South Registry of Deeds and Document No. 1168354 of the Middlesex County Registry District of the Land Court, a copy of which has been provided to Tenant.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u w:val="single"/>
        </w:rPr>
        <w:t>Intentionally</w:t>
      </w:r>
      <w:r>
        <w:rPr>
          <w:rFonts w:ascii="Times New Roman" w:hAnsi="Times New Roman"/>
          <w:sz w:val="20"/>
          <w:u w:val="single"/>
        </w:rPr>
        <w:t xml:space="preserve"> </w:t>
      </w:r>
      <w:r>
        <w:rPr>
          <w:rFonts w:ascii="Times New Roman" w:hAnsi="Times New Roman"/>
          <w:b/>
          <w:sz w:val="20"/>
          <w:u w:val="single"/>
        </w:rPr>
        <w:t>Deleted.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u w:val="single"/>
        </w:rPr>
        <w:t>Hazardous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5.4.1 </w:t>
      </w:r>
      <w:r>
        <w:rPr>
          <w:rFonts w:ascii="Times New Roman" w:hAnsi="Times New Roman"/>
          <w:b/>
          <w:sz w:val="20"/>
          <w:u w:val="single"/>
        </w:rPr>
        <w:t>Tenant’s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5.4.1.1 </w:t>
      </w:r>
      <w:r>
        <w:rPr>
          <w:rFonts w:ascii="Times New Roman" w:hAnsi="Times New Roman"/>
          <w:b/>
          <w:sz w:val="20"/>
          <w:u w:val="single"/>
        </w:rPr>
        <w:t>Prohibitions</w:t>
      </w:r>
      <w:r>
        <w:rPr>
          <w:rFonts w:ascii="Times New Roman" w:hAnsi="Times New Roman"/>
          <w:b/>
          <w:sz w:val="20"/>
        </w:rPr>
        <w:t xml:space="preserve">. </w:t>
      </w:r>
      <w:r>
        <w:rPr>
          <w:rFonts w:ascii="Times New Roman" w:hAnsi="Times New Roman"/>
          <w:sz w:val="20"/>
        </w:rPr>
        <w:t>As a material inducement to Landlord to enter into this Lease it has fully and accurately completed Landlord’s Pre-Leasing Environmental Exposure Questionnaire (the “</w:t>
      </w:r>
      <w:r>
        <w:rPr>
          <w:rFonts w:ascii="Times New Roman" w:hAnsi="Times New Roman"/>
          <w:b/>
          <w:sz w:val="20"/>
        </w:rPr>
        <w:t xml:space="preserve">Environmental Questionnaire”), </w:t>
      </w:r>
      <w:r>
        <w:rPr>
          <w:rFonts w:ascii="Times New Roman" w:hAnsi="Times New Roman"/>
          <w:sz w:val="20"/>
        </w:rPr>
        <w:t xml:space="preserve">which is attached as </w:t>
      </w:r>
      <w:r>
        <w:rPr>
          <w:rFonts w:ascii="Times New Roman" w:hAnsi="Times New Roman"/>
          <w:sz w:val="20"/>
          <w:u w:val="single"/>
        </w:rPr>
        <w:t>Exhibit 5.4.1.1</w:t>
      </w:r>
      <w:r>
        <w:rPr>
          <w:rFonts w:ascii="Times New Roman" w:hAnsi="Times New Roman"/>
          <w:sz w:val="20"/>
        </w:rPr>
        <w:t>. Tenant hereby represents, warrants and covenants that except for those chemicals or materials, and their respective quantities, specifically listed on the Environmental Questionnaire, as the same may be updated from time-to-time in accordance with this Lease, neither Tenant nor Tenant’s subtenants or assigns, or any of their respective employees, contractors and subcontractors of any tier, entities with a contractual relationship with such parties (other than Landlord), or any entity acting as an agent or sub-agent of such parties or any of the foregoing (collectively, “</w:t>
      </w:r>
      <w:r>
        <w:rPr>
          <w:rFonts w:ascii="Times New Roman" w:hAnsi="Times New Roman"/>
          <w:b/>
          <w:sz w:val="20"/>
        </w:rPr>
        <w:t xml:space="preserve">Tenant Parties”) </w:t>
      </w:r>
      <w:r>
        <w:rPr>
          <w:rFonts w:ascii="Times New Roman" w:hAnsi="Times New Roman"/>
          <w:sz w:val="20"/>
        </w:rPr>
        <w:t>will produce, use, store or generate any “</w:t>
      </w:r>
      <w:r>
        <w:rPr>
          <w:rFonts w:ascii="Times New Roman" w:hAnsi="Times New Roman"/>
          <w:b/>
          <w:sz w:val="20"/>
        </w:rPr>
        <w:t xml:space="preserve">Hazardous Materials,” </w:t>
      </w:r>
      <w:r>
        <w:rPr>
          <w:rFonts w:ascii="Times New Roman" w:hAnsi="Times New Roman"/>
          <w:sz w:val="20"/>
        </w:rPr>
        <w:t>as that term is defined below, on, under or about the Premises, nor cause or permit any Hazardous Material to be brought upon, placed, stored, manufactured, generated, blended, handled, recycled, used or “</w:t>
      </w:r>
      <w:r>
        <w:rPr>
          <w:rFonts w:ascii="Times New Roman" w:hAnsi="Times New Roman"/>
          <w:b/>
          <w:sz w:val="20"/>
        </w:rPr>
        <w:t xml:space="preserve">Released,” </w:t>
      </w:r>
      <w:r>
        <w:rPr>
          <w:rFonts w:ascii="Times New Roman" w:hAnsi="Times New Roman"/>
          <w:sz w:val="20"/>
        </w:rPr>
        <w:t>as that term is defined below, on, in, under or about the Premises or Project by Tenant or any Tenant Parties. If any information provided to Landlord by Tenant on the Environmental Questionnaire, or otherwise relating to information concerning Hazardous Materials is false, incomplete, or misleading in any material respect, the same shall be deemed a default by Tenant under this Lease. Upon Landlord’s request, or in the event of any material change in Tenant’s use of Hazardous Materials at the Premises, Tenant shall deliver to Landlord an updated Environmental Questionnaire at least once a year. Landlord’s prior written consent shall be required for any Hazardous Materials use for the Premises not described on the initial Environmental Questionnaire, such consent not to be unreasonably withheld. Tenant shall not install or permit any underground storage tank on the Premises. In addition, Tenant agrees that it: (i) shall not cause or suffer to occur, the Release (as defined below) of any Hazardous Materials by Tenant or any Tenant Parties at, upon, under or within the Premises or any contiguous or adjacent premises; and (ii) shall not engage in activities at the Premises that could result in, give rise to, or lead to the imposition of liability upon Tenant or Landlord or the creation of an environmental lien or use restriction upon the Premises. For purposes of this Lease, “</w:t>
      </w:r>
      <w:r>
        <w:rPr>
          <w:rFonts w:ascii="Times New Roman" w:hAnsi="Times New Roman"/>
          <w:b/>
          <w:sz w:val="20"/>
        </w:rPr>
        <w:t xml:space="preserve">Hazardous Materials” </w:t>
      </w:r>
      <w:r>
        <w:rPr>
          <w:rFonts w:ascii="Times New Roman" w:hAnsi="Times New Roman"/>
          <w:sz w:val="20"/>
        </w:rPr>
        <w:t xml:space="preserve">means all flammable explosives, petroleum and petroleum products, waste oil, radon, radioactive materials, toxic pollutants, asbestos, polychlorinated biphenyls </w:t>
      </w:r>
      <w:r>
        <w:rPr>
          <w:rFonts w:ascii="Times New Roman" w:hAnsi="Times New Roman"/>
          <w:b/>
          <w:sz w:val="20"/>
        </w:rPr>
        <w:t xml:space="preserve">(“PCBs”), </w:t>
      </w:r>
      <w:r>
        <w:rPr>
          <w:rFonts w:ascii="Times New Roman" w:hAnsi="Times New Roman"/>
          <w:sz w:val="20"/>
        </w:rPr>
        <w:t>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hereafter be determined to be hazardous to human health, safety or for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w:t>
      </w:r>
      <w:r>
        <w:rPr>
          <w:rFonts w:ascii="Times New Roman" w:hAnsi="Times New Roman"/>
          <w:b/>
          <w:sz w:val="20"/>
        </w:rPr>
        <w:t xml:space="preserve">Hazardous Materials” </w:t>
      </w:r>
      <w:r>
        <w:rPr>
          <w:rFonts w:ascii="Times New Roman" w:hAnsi="Times New Roman"/>
          <w:sz w:val="20"/>
        </w:rPr>
        <w:t>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sz w:val="20"/>
        </w:rPr>
        <w:t xml:space="preserve">Release” </w:t>
      </w:r>
      <w:r>
        <w:rPr>
          <w:rFonts w:ascii="Times New Roman" w:hAnsi="Times New Roman"/>
          <w:sz w:val="20"/>
        </w:rPr>
        <w:t>or “</w:t>
      </w:r>
      <w:r>
        <w:rPr>
          <w:rFonts w:ascii="Times New Roman" w:hAnsi="Times New Roman"/>
          <w:b/>
          <w:sz w:val="20"/>
        </w:rPr>
        <w:t xml:space="preserve">Released” </w:t>
      </w:r>
      <w:r>
        <w:rPr>
          <w:rFonts w:ascii="Times New Roman" w:hAnsi="Times New Roman"/>
          <w:sz w:val="20"/>
        </w:rPr>
        <w:t>or “</w:t>
      </w:r>
      <w:r>
        <w:rPr>
          <w:rFonts w:ascii="Times New Roman" w:hAnsi="Times New Roman"/>
          <w:b/>
          <w:sz w:val="20"/>
        </w:rPr>
        <w:t xml:space="preserve">Releases” </w:t>
      </w:r>
      <w:r>
        <w:rPr>
          <w:rFonts w:ascii="Times New Roman" w:hAnsi="Times New Roman"/>
          <w:sz w:val="20"/>
        </w:rPr>
        <w:t xml:space="preserve">shall mean any release, deposit, discharge, emission, leaking, spiking, seeping, migrating, injecting, pumping, pouring, emptying, escaping, dumping, disposing, or other movement of Hazardous Materials into the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use or storage of Hazardous Materials by Tenant permitted pursuant to this </w:t>
      </w:r>
      <w:r>
        <w:rPr>
          <w:rFonts w:ascii="Times New Roman" w:hAnsi="Times New Roman"/>
          <w:sz w:val="20"/>
          <w:u w:val="single"/>
        </w:rPr>
        <w:t xml:space="preserve">Article 5 </w:t>
      </w:r>
      <w:r>
        <w:rPr>
          <w:rFonts w:ascii="Times New Roman" w:hAnsi="Times New Roman"/>
          <w:sz w:val="20"/>
        </w:rPr>
        <w:t xml:space="preserve">shall not exceed Tenant’s proportionate share (measured on a per floor basis) of similarly classed Hazardous Materials. Notwithstanding anything contained herein to the contrary, in no event shall Tenant or anyone claiming by through or under Tenant perform work at or above (he risk category Biosafety Level 3 as established by the Department of Health and Human Services </w:t>
      </w:r>
      <w:r>
        <w:rPr>
          <w:rFonts w:ascii="Times New Roman" w:hAnsi="Times New Roman"/>
          <w:b/>
          <w:sz w:val="20"/>
        </w:rPr>
        <w:t xml:space="preserve">(“DHHS”) </w:t>
      </w:r>
      <w:r>
        <w:rPr>
          <w:rFonts w:ascii="Times New Roman" w:hAnsi="Times New Roman"/>
          <w:sz w:val="20"/>
        </w:rPr>
        <w:t>and as further described in the DHHS publication Biosafety in Microbiological and Biomedical Laboratories (5th Edition) (as it may be or may have been further revised, the “</w:t>
      </w:r>
      <w:r>
        <w:rPr>
          <w:rFonts w:ascii="Times New Roman" w:hAnsi="Times New Roman"/>
          <w:b/>
          <w:sz w:val="20"/>
        </w:rPr>
        <w:t xml:space="preserve">BMBL”) </w:t>
      </w:r>
      <w:r>
        <w:rPr>
          <w:rFonts w:ascii="Times New Roman" w:hAnsi="Times New Roman"/>
          <w:sz w:val="20"/>
        </w:rPr>
        <w:t xml:space="preserve">or such nationally recognized new or replacement standards as Landlord may reasonable designate). Tenant shall comply with all applicable provisions of the standards of the BMBL to the extent applicable to Tenant’s operations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5.4.1.2 </w:t>
      </w:r>
      <w:r>
        <w:rPr>
          <w:rFonts w:ascii="Times New Roman" w:hAnsi="Times New Roman"/>
          <w:b/>
          <w:sz w:val="20"/>
          <w:u w:val="single"/>
        </w:rPr>
        <w:t>Notices to Landlord</w:t>
      </w:r>
      <w:r>
        <w:rPr>
          <w:rFonts w:ascii="Times New Roman" w:hAnsi="Times New Roman"/>
          <w:sz w:val="20"/>
        </w:rPr>
        <w:t>. Unless Tenant is required by Applicable Laws to give earlier notice to Landlord, Tenant shall notify Landlord in writing as soon as possible but in no event later than five (5) days after (i)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sz w:val="20"/>
        </w:rPr>
        <w:t xml:space="preserve">Hazardous Materials Claims”. </w:t>
      </w:r>
      <w:r>
        <w:rPr>
          <w:rFonts w:ascii="Times New Roman" w:hAnsi="Times New Roman"/>
          <w:sz w:val="20"/>
        </w:rPr>
        <w:t>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w:t>
      </w:r>
      <w:r>
        <w:rPr>
          <w:rFonts w:ascii="Times New Roman" w:hAnsi="Times New Roman"/>
          <w:b/>
          <w:sz w:val="20"/>
        </w:rPr>
        <w:t xml:space="preserve">Environmental Laws,” </w:t>
      </w:r>
      <w:r>
        <w:rPr>
          <w:rFonts w:ascii="Times New Roman" w:hAnsi="Times New Roman"/>
          <w:sz w:val="20"/>
        </w:rPr>
        <w:t>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Project without Landlord’s prior written consent. Landlord shall have the right to appear at and participate in, any and all legal or other administrative proceedings concerning any Hazardous Materials Claim. For purposes of this Lease, “</w:t>
      </w:r>
      <w:r>
        <w:rPr>
          <w:rFonts w:ascii="Times New Roman" w:hAnsi="Times New Roman"/>
          <w:b/>
          <w:sz w:val="20"/>
        </w:rPr>
        <w:t xml:space="preserve">Environmental Laws” </w:t>
      </w:r>
      <w:r>
        <w:rPr>
          <w:rFonts w:ascii="Times New Roman" w:hAnsi="Times New Roman"/>
          <w:sz w:val="20"/>
        </w:rPr>
        <w:t xml:space="preserve">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or pertaining to animal confinement and experimentation and stem cell research;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§4321 et seq., the Federal Insecticide, Fungicide and Rodenticide Act of 1947, 7 USC § 136 et seq., M.G.L. c.21C; and oil and hazardous materials as defined in M.G.L. c.21E and any other state or local law counterparts, as amended, as such Applicable Laws, are in effect as of the Fourth Floor Premises Commencement Date, or thereafter adopted, published, or promulgated. </w:t>
      </w:r>
    </w:p>
    <w:p>
      <w:pPr>
        <w:pStyle w:val="TextBody"/>
        <w:bidi w:val="0"/>
        <w:spacing w:before="240" w:after="0"/>
        <w:jc w:val="left"/>
        <w:rPr>
          <w:rFonts w:ascii="Times New Roman" w:hAnsi="Times New Roman"/>
          <w:sz w:val="20"/>
        </w:rPr>
      </w:pPr>
      <w:r>
        <w:rPr>
          <w:rFonts w:ascii="Times New Roman" w:hAnsi="Times New Roman"/>
          <w:sz w:val="20"/>
        </w:rPr>
        <w:t xml:space="preserve">5.4.1.3 </w:t>
      </w:r>
      <w:r>
        <w:rPr>
          <w:rFonts w:ascii="Times New Roman" w:hAnsi="Times New Roman"/>
          <w:b/>
          <w:sz w:val="20"/>
          <w:u w:val="single"/>
        </w:rPr>
        <w:t>Releases of Hazardous Materials</w:t>
      </w:r>
      <w:r>
        <w:rPr>
          <w:rFonts w:ascii="Times New Roman" w:hAnsi="Times New Roman"/>
          <w:sz w:val="20"/>
        </w:rPr>
        <w:t xml:space="preserve">. If (a) any Release of any Hazardous Material in, on, under, from or about the Premises shall occur at any fine during the Lease and/or (b) if any other Hazardous Material condition exists at the Premises or Project due to the acts or omissions of Tenant that requires response actions of any kind, in addition to notifying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5.4</w:t>
      </w:r>
      <w:r>
        <w:rPr>
          <w:rFonts w:ascii="Times New Roman" w:hAnsi="Times New Roman"/>
          <w:sz w:val="20"/>
        </w:rPr>
        <w:t xml:space="preserve">, including, without limitation, </w:t>
      </w:r>
      <w:r>
        <w:rPr>
          <w:rFonts w:ascii="Times New Roman" w:hAnsi="Times New Roman"/>
          <w:sz w:val="20"/>
          <w:u w:val="single"/>
        </w:rPr>
        <w:t>Section 5.4.4</w:t>
      </w:r>
      <w:r>
        <w:rPr>
          <w:rFonts w:ascii="Times New Roman" w:hAnsi="Times New Roman"/>
          <w:sz w:val="20"/>
        </w:rPr>
        <w:t xml:space="preserve">, and (iv) take any such additional investigative, remedial and corrective actions as Landlord shall in its reasonable discretion deem necessary such that the Premises and Project are remediated to a condition allowing unrestricted use of the Premises and Project (i.e. to a level that will allow any future use of the Premises, including residential, without any engineering controls or deed restrictions), all in accordance with the provisions and requirements of this </w:t>
      </w:r>
      <w:r>
        <w:rPr>
          <w:rFonts w:ascii="Times New Roman" w:hAnsi="Times New Roman"/>
          <w:sz w:val="20"/>
          <w:u w:val="single"/>
        </w:rPr>
        <w:t>Section 5.4</w:t>
      </w:r>
      <w:r>
        <w:rPr>
          <w:rFonts w:ascii="Times New Roman" w:hAnsi="Times New Roman"/>
          <w:sz w:val="20"/>
        </w:rPr>
        <w:t xml:space="preserve">. Landlord may, as required by any and all Environmental Laws, report the Release of any Hazardous Material to the appropriate governmental authority, identifying Tenant as the responsible party. Tenant shall deliver to Landlord copies of all administrative orders, notices, demands, directives or other communications directed to Tenant from any governmental authority with respect to any Release of Hazardous Materials in, on, under, from, or about the Premises, together with copies of all investigation, assessment, and remediation plans and reports prepared by or on behalf of Tenant in response to any such regulatory order or directive. </w:t>
      </w:r>
    </w:p>
    <w:p>
      <w:pPr>
        <w:pStyle w:val="TextBody"/>
        <w:bidi w:val="0"/>
        <w:spacing w:before="240" w:after="0"/>
        <w:jc w:val="left"/>
        <w:rPr>
          <w:rFonts w:ascii="Times New Roman" w:hAnsi="Times New Roman"/>
          <w:sz w:val="20"/>
        </w:rPr>
      </w:pPr>
      <w:r>
        <w:rPr>
          <w:rFonts w:ascii="Times New Roman" w:hAnsi="Times New Roman"/>
          <w:sz w:val="20"/>
        </w:rPr>
        <w:t xml:space="preserve">5.4.1.4 </w:t>
      </w:r>
      <w:r>
        <w:rPr>
          <w:rFonts w:ascii="Times New Roman" w:hAnsi="Times New Roman"/>
          <w:b/>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5.4.1.4.1 </w:t>
      </w:r>
      <w:r>
        <w:rPr>
          <w:rFonts w:ascii="Times New Roman" w:hAnsi="Times New Roman"/>
          <w:b/>
          <w:sz w:val="20"/>
          <w:u w:val="single"/>
        </w:rPr>
        <w:t>In General</w:t>
      </w:r>
      <w:r>
        <w:rPr>
          <w:rFonts w:ascii="Times New Roman" w:hAnsi="Times New Roman"/>
          <w:b/>
          <w:sz w:val="20"/>
        </w:rPr>
        <w:t>.</w:t>
      </w:r>
      <w:r>
        <w:rPr>
          <w:rFonts w:ascii="Times New Roman" w:hAnsi="Times New Roman"/>
          <w:sz w:val="20"/>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directly or indirectly arising out of or attributable to the presence, use, generation, manufacture, treatment, handling, refining, production, processing, storage, Release or presence of Hazardous Materials in, on, under or about the Premises or Project by any Tenant Party, except to the extent such liabilities result from the negligence or willful misconduct of Landlord following the Fourth Floor Premises Commencement Date. Tenant’s obligations in this </w:t>
      </w:r>
      <w:r>
        <w:rPr>
          <w:rFonts w:ascii="Times New Roman" w:hAnsi="Times New Roman"/>
          <w:sz w:val="20"/>
          <w:u w:val="single"/>
        </w:rPr>
        <w:t>Section 5.4.1.4.1</w:t>
      </w:r>
      <w:r>
        <w:rPr>
          <w:rFonts w:ascii="Times New Roman" w:hAnsi="Times New Roman"/>
          <w:sz w:val="20"/>
        </w:rPr>
        <w:t xml:space="preserve"> shall include, without limitation: (i) the costs of any required or necessary removal, repair, cleanup or remediation of the Premises and Project, and the preparation and implementation of any closure, removal, remedial or other required plans; (ii) judgments for personal injury or property damages; and (iii) all costs and expenses incurred by Landlord in connection therewith. It is the express intention of the parties to this Lease that Tenant assumes all such liabilities, and holds Landlord harmless from all such liabilities, associated with the environmental condition of the Premises, arising on or after the date Tenant takes possession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5.4.1.4.2 </w:t>
      </w:r>
      <w:r>
        <w:rPr>
          <w:rFonts w:ascii="Times New Roman" w:hAnsi="Times New Roman"/>
          <w:b/>
          <w:sz w:val="20"/>
          <w:u w:val="single"/>
        </w:rPr>
        <w:t>Limitations</w:t>
      </w:r>
      <w:r>
        <w:rPr>
          <w:rFonts w:ascii="Times New Roman" w:hAnsi="Times New Roman"/>
          <w:b/>
          <w:sz w:val="20"/>
        </w:rPr>
        <w:t xml:space="preserve">. </w:t>
      </w:r>
      <w:r>
        <w:rPr>
          <w:rFonts w:ascii="Times New Roman" w:hAnsi="Times New Roman"/>
          <w:sz w:val="20"/>
        </w:rPr>
        <w:t xml:space="preserve">Notwithstanding anything in </w:t>
      </w:r>
      <w:r>
        <w:rPr>
          <w:rFonts w:ascii="Times New Roman" w:hAnsi="Times New Roman"/>
          <w:sz w:val="20"/>
          <w:u w:val="single"/>
        </w:rPr>
        <w:t>Section 5.4.1,4</w:t>
      </w:r>
      <w:r>
        <w:rPr>
          <w:rFonts w:ascii="Times New Roman" w:hAnsi="Times New Roman"/>
          <w:sz w:val="20"/>
        </w:rPr>
        <w:t xml:space="preserve">, above, to the contrary, Tenant’s indemnity of Landlord as set forth in </w:t>
      </w:r>
      <w:r>
        <w:rPr>
          <w:rFonts w:ascii="Times New Roman" w:hAnsi="Times New Roman"/>
          <w:sz w:val="20"/>
          <w:u w:val="single"/>
        </w:rPr>
        <w:t>Section 5.4.1.4</w:t>
      </w:r>
      <w:r>
        <w:rPr>
          <w:rFonts w:ascii="Times New Roman" w:hAnsi="Times New Roman"/>
          <w:sz w:val="20"/>
        </w:rPr>
        <w:t>, above, shall not be applicable to claims based upon “</w:t>
      </w:r>
      <w:r>
        <w:rPr>
          <w:rFonts w:ascii="Times New Roman" w:hAnsi="Times New Roman"/>
          <w:b/>
          <w:sz w:val="20"/>
        </w:rPr>
        <w:t>Existing Hazardous Materials,”</w:t>
      </w:r>
      <w:r>
        <w:rPr>
          <w:rFonts w:ascii="Times New Roman" w:hAnsi="Times New Roman"/>
          <w:sz w:val="20"/>
        </w:rPr>
        <w:t xml:space="preserve"> as that term is defined in </w:t>
      </w:r>
      <w:r>
        <w:rPr>
          <w:rFonts w:ascii="Times New Roman" w:hAnsi="Times New Roman"/>
          <w:sz w:val="20"/>
          <w:u w:val="single"/>
        </w:rPr>
        <w:t>Section 5.4.7</w:t>
      </w:r>
      <w:r>
        <w:rPr>
          <w:rFonts w:ascii="Times New Roman" w:hAnsi="Times New Roman"/>
          <w:sz w:val="20"/>
        </w:rPr>
        <w:t>, below, except to the extent that Tenant’s construction activities and/or Tenant’s other acts or omissions caused or exacerbated the subject claim (including Tenant’s failure to remove, remediate or otherwise treat or “</w:t>
      </w:r>
      <w:r>
        <w:rPr>
          <w:rFonts w:ascii="Times New Roman" w:hAnsi="Times New Roman"/>
          <w:b/>
          <w:sz w:val="20"/>
        </w:rPr>
        <w:t>Clean-up,”</w:t>
      </w:r>
      <w:r>
        <w:rPr>
          <w:rFonts w:ascii="Times New Roman" w:hAnsi="Times New Roman"/>
          <w:sz w:val="20"/>
        </w:rPr>
        <w:t xml:space="preserve"> as that term is defined in </w:t>
      </w:r>
      <w:r>
        <w:rPr>
          <w:rFonts w:ascii="Times New Roman" w:hAnsi="Times New Roman"/>
          <w:sz w:val="20"/>
          <w:u w:val="single"/>
        </w:rPr>
        <w:t>Section 5.4.7</w:t>
      </w:r>
      <w:r>
        <w:rPr>
          <w:rFonts w:ascii="Times New Roman" w:hAnsi="Times New Roman"/>
          <w:sz w:val="20"/>
        </w:rPr>
        <w:t xml:space="preserve">, below, the subject Existing Hazardous Materials during the tenancy of the Premises or Tenant’s use of materials that are Existing Hazardous Materials for its own purposes within the Premises). Notwithstanding anything contained in this Lease to the contrary, other than costs relating to the ongoing Operation and Maintenance Plan referenced on </w:t>
      </w:r>
      <w:r>
        <w:rPr>
          <w:rFonts w:ascii="Times New Roman" w:hAnsi="Times New Roman"/>
          <w:sz w:val="20"/>
          <w:u w:val="single"/>
        </w:rPr>
        <w:t>Exhibit 5.4.7</w:t>
      </w:r>
      <w:r>
        <w:rPr>
          <w:rFonts w:ascii="Times New Roman" w:hAnsi="Times New Roman"/>
          <w:sz w:val="20"/>
        </w:rPr>
        <w:t xml:space="preserve">, attached, Landlord shall be responsible, at its sole cost and expense, which cost and expense shall not be passed through to Tenant as Direct Expenses, for the removal, remediation, treatment and/or Clean-up of any and all Existing Hazardous Materials except to the extent that the construction activities and/or other acts or omissions of any Tenant Parties caused or exacerbated the condition of Existing Hazardous Materials at the Property. </w:t>
      </w:r>
    </w:p>
    <w:p>
      <w:pPr>
        <w:pStyle w:val="TextBody"/>
        <w:bidi w:val="0"/>
        <w:spacing w:before="240" w:after="0"/>
        <w:jc w:val="left"/>
        <w:rPr>
          <w:rFonts w:ascii="Times New Roman" w:hAnsi="Times New Roman"/>
          <w:sz w:val="20"/>
        </w:rPr>
      </w:pPr>
      <w:r>
        <w:rPr>
          <w:rFonts w:ascii="Times New Roman" w:hAnsi="Times New Roman"/>
          <w:sz w:val="20"/>
        </w:rPr>
        <w:t xml:space="preserve">5.4.1.5 </w:t>
      </w:r>
      <w:r>
        <w:rPr>
          <w:rFonts w:ascii="Times New Roman" w:hAnsi="Times New Roman"/>
          <w:b/>
          <w:sz w:val="20"/>
          <w:u w:val="single"/>
        </w:rPr>
        <w:t>Compliance with Environmental Laws</w:t>
      </w:r>
      <w:r>
        <w:rPr>
          <w:rFonts w:ascii="Times New Roman" w:hAnsi="Times New Roman"/>
          <w:sz w:val="20"/>
        </w:rPr>
        <w:t xml:space="preserve">. Without limiting the generality of Tenant’s obligation to comply with Applicable Laws as otherwise provided in this Lease, Tenant shall, at its sole cost and expense, comply with all Environmental Laws applicable to the Project and Tenant’s activities under this Lease.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reasonable satisfaction compliance with all Environmental Laws and thé terms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5.4.2 </w:t>
      </w:r>
      <w:r>
        <w:rPr>
          <w:rFonts w:ascii="Times New Roman" w:hAnsi="Times New Roman"/>
          <w:b/>
          <w:sz w:val="20"/>
          <w:u w:val="single"/>
        </w:rPr>
        <w:t>Assurance of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5.4.2.1 </w:t>
      </w:r>
      <w:r>
        <w:rPr>
          <w:rFonts w:ascii="Times New Roman" w:hAnsi="Times New Roman"/>
          <w:b/>
          <w:sz w:val="20"/>
          <w:u w:val="single"/>
        </w:rPr>
        <w:t>Environmental Assessments In General</w:t>
      </w:r>
      <w:r>
        <w:rPr>
          <w:rFonts w:ascii="Times New Roman" w:hAnsi="Times New Roman"/>
          <w:b/>
          <w:sz w:val="20"/>
        </w:rPr>
        <w:t xml:space="preserve">. </w:t>
      </w:r>
      <w:r>
        <w:rPr>
          <w:rFonts w:ascii="Times New Roman" w:hAnsi="Times New Roman"/>
          <w:sz w:val="20"/>
        </w:rPr>
        <w:t>Landlord may, but shall not be required to, engage from time to time such contractors as Landlord determines to be appropriate to perform “</w:t>
      </w:r>
      <w:r>
        <w:rPr>
          <w:rFonts w:ascii="Times New Roman" w:hAnsi="Times New Roman"/>
          <w:b/>
          <w:sz w:val="20"/>
        </w:rPr>
        <w:t xml:space="preserve">Environmental Assessments,” </w:t>
      </w:r>
      <w:r>
        <w:rPr>
          <w:rFonts w:ascii="Times New Roman" w:hAnsi="Times New Roman"/>
          <w:sz w:val="20"/>
        </w:rPr>
        <w:t>as that term is defined below, to ensure Tenant’s compliance with the requirements of this Lease with respect to Hazardous Materials. For purposes of this Lease, “</w:t>
      </w:r>
      <w:r>
        <w:rPr>
          <w:rFonts w:ascii="Times New Roman" w:hAnsi="Times New Roman"/>
          <w:b/>
          <w:sz w:val="20"/>
        </w:rPr>
        <w:t xml:space="preserve">Environmental Assessment” </w:t>
      </w:r>
      <w:r>
        <w:rPr>
          <w:rFonts w:ascii="Times New Roman" w:hAnsi="Times New Roman"/>
          <w:sz w:val="20"/>
        </w:rPr>
        <w:t xml:space="preserve">means an assessment including, without limitation: (i) an environmental site assessment conducted in accordance with the then-current standards of the American Society for Testing and Materials and meeting the requirements for satisfying the “all appropriate inquiries” requirements; and (ii) sampling and testing of the Premises based upon potential recognized environmental conditions or areas of concern or inquiry identified by the environmental site assessment. </w:t>
      </w:r>
    </w:p>
    <w:p>
      <w:pPr>
        <w:pStyle w:val="TextBody"/>
        <w:bidi w:val="0"/>
        <w:spacing w:before="240" w:after="0"/>
        <w:jc w:val="left"/>
        <w:rPr>
          <w:rFonts w:ascii="Times New Roman" w:hAnsi="Times New Roman"/>
          <w:sz w:val="20"/>
        </w:rPr>
      </w:pPr>
      <w:r>
        <w:rPr>
          <w:rFonts w:ascii="Times New Roman" w:hAnsi="Times New Roman"/>
          <w:sz w:val="20"/>
        </w:rPr>
        <w:t xml:space="preserve">5.4.2.2 </w:t>
      </w:r>
      <w:r>
        <w:rPr>
          <w:rFonts w:ascii="Times New Roman" w:hAnsi="Times New Roman"/>
          <w:b/>
          <w:sz w:val="20"/>
          <w:u w:val="single"/>
        </w:rPr>
        <w:t>Costs of Environmental Assessments</w:t>
      </w:r>
      <w:r>
        <w:rPr>
          <w:rFonts w:ascii="Times New Roman" w:hAnsi="Times New Roman"/>
          <w:b/>
          <w:sz w:val="20"/>
        </w:rPr>
        <w:t xml:space="preserve">. </w:t>
      </w:r>
      <w:r>
        <w:rPr>
          <w:rFonts w:ascii="Times New Roman" w:hAnsi="Times New Roman"/>
          <w:sz w:val="20"/>
        </w:rPr>
        <w:t xml:space="preserve">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hAnsi="Times New Roman"/>
          <w:sz w:val="20"/>
          <w:u w:val="single"/>
        </w:rPr>
        <w:t>Section 5.4</w:t>
      </w:r>
      <w:r>
        <w:rPr>
          <w:rFonts w:ascii="Times New Roman" w:hAnsi="Times New Roman"/>
          <w:sz w:val="20"/>
        </w:rPr>
        <w:t xml:space="preserve">, then all of the costs and expenses of such Environmental Assessment shall be reimbursed by Tenant as Additional Rent within thirty (30) days after receipt of written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5.4.3 </w:t>
      </w:r>
      <w:r>
        <w:rPr>
          <w:rFonts w:ascii="Times New Roman" w:hAnsi="Times New Roman"/>
          <w:b/>
          <w:sz w:val="20"/>
          <w:u w:val="single"/>
        </w:rPr>
        <w:t>Tenant’s Obligations upon Surrender</w:t>
      </w:r>
      <w:r>
        <w:rPr>
          <w:rFonts w:ascii="Times New Roman" w:hAnsi="Times New Roman"/>
          <w:b/>
          <w:sz w:val="20"/>
        </w:rPr>
        <w:t xml:space="preserve">. </w:t>
      </w:r>
      <w:r>
        <w:rPr>
          <w:rFonts w:ascii="Times New Roman" w:hAnsi="Times New Roman"/>
          <w:sz w:val="20"/>
        </w:rPr>
        <w:t xml:space="preserve">At the expiration or earlier termination of the Lease Term, Tenant, at Tenant’s sole cost and expense, shall: (i) cause an Environmental Assessment of the Premises to be conducted in accordance with </w:t>
      </w:r>
      <w:r>
        <w:rPr>
          <w:rFonts w:ascii="Times New Roman" w:hAnsi="Times New Roman"/>
          <w:sz w:val="20"/>
          <w:u w:val="single"/>
        </w:rPr>
        <w:t>Section 15.3</w:t>
      </w:r>
      <w:r>
        <w:rPr>
          <w:rFonts w:ascii="Times New Roman" w:hAnsi="Times New Roman"/>
          <w:sz w:val="20"/>
        </w:rPr>
        <w:t xml:space="preserve">; (ii) cause all Hazardous Materials to be removed from the Premises and disposed of in accordance with all Environmental Laws and as necessary to allow the Premises to be used for any purpose; and (iii) cause to be removed all containers installed or used by any Tenant Parties to store any Hazardous Materials on the Premises, and cause to be repaired any damage to the Premises caused by such removal. </w:t>
      </w:r>
    </w:p>
    <w:p>
      <w:pPr>
        <w:pStyle w:val="TextBody"/>
        <w:bidi w:val="0"/>
        <w:spacing w:before="240" w:after="0"/>
        <w:jc w:val="left"/>
        <w:rPr>
          <w:rFonts w:ascii="Times New Roman" w:hAnsi="Times New Roman"/>
          <w:sz w:val="20"/>
        </w:rPr>
      </w:pPr>
      <w:r>
        <w:rPr>
          <w:rFonts w:ascii="Times New Roman" w:hAnsi="Times New Roman"/>
          <w:sz w:val="20"/>
        </w:rPr>
        <w:t xml:space="preserve">5.4.4 </w:t>
      </w:r>
      <w:r>
        <w:rPr>
          <w:rFonts w:ascii="Times New Roman" w:hAnsi="Times New Roman"/>
          <w:b/>
          <w:sz w:val="20"/>
          <w:u w:val="single"/>
        </w:rPr>
        <w:t>Clean-up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5.4.4.1 </w:t>
      </w:r>
      <w:r>
        <w:rPr>
          <w:rFonts w:ascii="Times New Roman" w:hAnsi="Times New Roman"/>
          <w:b/>
          <w:sz w:val="20"/>
          <w:u w:val="single"/>
        </w:rPr>
        <w:t>Environmental Reports; Clean-Up</w:t>
      </w:r>
      <w:r>
        <w:rPr>
          <w:rFonts w:ascii="Times New Roman" w:hAnsi="Times New Roman"/>
          <w:b/>
          <w:sz w:val="20"/>
        </w:rPr>
        <w:t xml:space="preserve">. </w:t>
      </w:r>
      <w:r>
        <w:rPr>
          <w:rFonts w:ascii="Times New Roman" w:hAnsi="Times New Roman"/>
          <w:sz w:val="20"/>
        </w:rPr>
        <w:t>If any written report, including any report containing results of any Environmental Assessment (an “</w:t>
      </w:r>
      <w:r>
        <w:rPr>
          <w:rFonts w:ascii="Times New Roman" w:hAnsi="Times New Roman"/>
          <w:b/>
          <w:sz w:val="20"/>
        </w:rPr>
        <w:t xml:space="preserve">Environmental Report”) </w:t>
      </w:r>
      <w:r>
        <w:rPr>
          <w:rFonts w:ascii="Times New Roman" w:hAnsi="Times New Roman"/>
          <w:sz w:val="20"/>
        </w:rPr>
        <w:t xml:space="preserve">shall indicate (i) the presence of any Hazardous Materials as to which Tenant has a removal or remediation obligation under this </w:t>
      </w:r>
      <w:r>
        <w:rPr>
          <w:rFonts w:ascii="Times New Roman" w:hAnsi="Times New Roman"/>
          <w:sz w:val="20"/>
          <w:u w:val="single"/>
        </w:rPr>
        <w:t>Section 5.4</w:t>
      </w:r>
      <w:r>
        <w:rPr>
          <w:rFonts w:ascii="Times New Roman" w:hAnsi="Times New Roman"/>
          <w:sz w:val="20"/>
        </w:rPr>
        <w:t>, and (ii) that as a result of same, the investigation, characterization, monitoring, assessment, repair, closure, remediation, removal, or other clean-up (the “</w:t>
      </w:r>
      <w:r>
        <w:rPr>
          <w:rFonts w:ascii="Times New Roman" w:hAnsi="Times New Roman"/>
          <w:b/>
          <w:sz w:val="20"/>
        </w:rPr>
        <w:t xml:space="preserve">Clean-up”) </w:t>
      </w:r>
      <w:r>
        <w:rPr>
          <w:rFonts w:ascii="Times New Roman" w:hAnsi="Times New Roman"/>
          <w:sz w:val="20"/>
        </w:rPr>
        <w:t xml:space="preserve">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and Project are restored to the conditions required by this Lease. Upon Landlord’s approval of the Clean-up plan, Tenant shall, at Tenant’s sole cost and expense, without limitation of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tests and expenses thereof from Tenant as Additional Rent, payable within ten (10) days after receipt of written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5.4.4.2 </w:t>
      </w:r>
      <w:r>
        <w:rPr>
          <w:rFonts w:ascii="Times New Roman" w:hAnsi="Times New Roman"/>
          <w:b/>
          <w:sz w:val="20"/>
          <w:u w:val="single"/>
        </w:rPr>
        <w:t>No Rent Abatement</w:t>
      </w:r>
      <w:r>
        <w:rPr>
          <w:rFonts w:ascii="Times New Roman" w:hAnsi="Times New Roman"/>
          <w:b/>
          <w:sz w:val="20"/>
        </w:rPr>
        <w:t xml:space="preserve">. </w:t>
      </w:r>
      <w:r>
        <w:rPr>
          <w:rFonts w:ascii="Times New Roman" w:hAnsi="Times New Roman"/>
          <w:sz w:val="20"/>
        </w:rPr>
        <w:t xml:space="preserve">Tenant shall continue to pay all Rent due or accruing under this Lease during any Clean-up, and shall not be entitled to any reduction, offset or deferral of any Base Rent or Additional Rent due or accruing under this Lease during any such Clean-up.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5.4.4.3 </w:t>
      </w:r>
      <w:r>
        <w:rPr>
          <w:rFonts w:ascii="Times New Roman" w:hAnsi="Times New Roman"/>
          <w:b/>
          <w:sz w:val="20"/>
          <w:u w:val="single"/>
        </w:rPr>
        <w:t>Surrender of Premises</w:t>
      </w:r>
      <w:r>
        <w:rPr>
          <w:rFonts w:ascii="Times New Roman" w:hAnsi="Times New Roman"/>
          <w:b/>
          <w:sz w:val="20"/>
        </w:rPr>
        <w:t xml:space="preserve">. </w:t>
      </w:r>
      <w:r>
        <w:rPr>
          <w:rFonts w:ascii="Times New Roman" w:hAnsi="Times New Roman"/>
          <w:sz w:val="20"/>
        </w:rPr>
        <w:t xml:space="preserve">Tenant shall complete any Clean-up prior to surrender of the Premises upon the expiration or earlier termination of this Lease, and shall fully comply with all Environmental Laws and requirements of any governmental authority with respect to such completion, including, without limitation, fully comply with any requirement to fife a risk assessment, mitigation plan or other information with any such governmental authority in conjunction with the Clean-up prior to such surrender.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sz w:val="20"/>
        </w:rPr>
        <w:t xml:space="preserve">(“Closure Letter”). </w:t>
      </w:r>
      <w:r>
        <w:rPr>
          <w:rFonts w:ascii="Times New Roman" w:hAnsi="Times New Roman"/>
          <w:sz w:val="20"/>
        </w:rPr>
        <w:t xml:space="preserve">Upon the expiration or earlier termination of this Lease, Tenant shall also be obligated to close all permits obtained by Tenant or any Tenant Parties in connection with Hazardous Materials in accordance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5.4.4.4 </w:t>
      </w:r>
      <w:r>
        <w:rPr>
          <w:rFonts w:ascii="Times New Roman" w:hAnsi="Times New Roman"/>
          <w:b/>
          <w:sz w:val="20"/>
          <w:u w:val="single"/>
        </w:rPr>
        <w:t>Failure to Timely Clean-Up</w:t>
      </w:r>
      <w:r>
        <w:rPr>
          <w:rFonts w:ascii="Times New Roman" w:hAnsi="Times New Roman"/>
          <w:b/>
          <w:sz w:val="20"/>
        </w:rPr>
        <w:t xml:space="preserve">. </w:t>
      </w:r>
      <w:r>
        <w:rPr>
          <w:rFonts w:ascii="Times New Roman" w:hAnsi="Times New Roman"/>
          <w:sz w:val="20"/>
        </w:rPr>
        <w:t xml:space="preserve">Should any Clean-up for which Tenant is responsible not be completed, or should Tenant not receive the Closure Letter and any governmental approvals required under Environmental Laws in conjunction with such Clean-up prior to the expiration or earlier termination of this Lease, and Tenant’ s failure to receive the Closure Letter is prohibiting Landlord from leasing the Premises or any part thereof to a third pa^/or prevents the occupancy or use of the Premises or any part thereof by a third party, then Tenant shall be liable to Landlord as a holdover tenant (as more particularly provided in </w:t>
      </w:r>
      <w:r>
        <w:rPr>
          <w:rFonts w:ascii="Times New Roman" w:hAnsi="Times New Roman"/>
          <w:sz w:val="20"/>
          <w:u w:val="single"/>
        </w:rPr>
        <w:t>Article 16</w:t>
      </w:r>
      <w:r>
        <w:rPr>
          <w:rFonts w:ascii="Times New Roman" w:hAnsi="Times New Roman"/>
          <w:sz w:val="20"/>
        </w:rPr>
        <w:t xml:space="preserve">) until Tenant has fully complied with its obligations under this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5.4.5 </w:t>
      </w:r>
      <w:r>
        <w:rPr>
          <w:rFonts w:ascii="Times New Roman" w:hAnsi="Times New Roman"/>
          <w:b/>
          <w:sz w:val="20"/>
          <w:u w:val="single"/>
        </w:rPr>
        <w:t>Confidentiality</w:t>
      </w:r>
      <w:r>
        <w:rPr>
          <w:rFonts w:ascii="Times New Roman" w:hAnsi="Times New Roman"/>
          <w:b/>
          <w:sz w:val="20"/>
        </w:rPr>
        <w:t xml:space="preserve">. </w:t>
      </w:r>
      <w:r>
        <w:rPr>
          <w:rFonts w:ascii="Times New Roman" w:hAnsi="Times New Roman"/>
          <w:sz w:val="20"/>
        </w:rPr>
        <w:t xml:space="preserve">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5.4.6 </w:t>
      </w:r>
      <w:r>
        <w:rPr>
          <w:rFonts w:ascii="Times New Roman" w:hAnsi="Times New Roman"/>
          <w:b/>
          <w:sz w:val="20"/>
          <w:u w:val="single"/>
        </w:rPr>
        <w:t>Copies of Environmental Reports</w:t>
      </w:r>
      <w:r>
        <w:rPr>
          <w:rFonts w:ascii="Times New Roman" w:hAnsi="Times New Roman"/>
          <w:b/>
          <w:sz w:val="20"/>
        </w:rPr>
        <w:t xml:space="preserve">. </w:t>
      </w:r>
      <w:r>
        <w:rPr>
          <w:rFonts w:ascii="Times New Roman" w:hAnsi="Times New Roman"/>
          <w:sz w:val="20"/>
        </w:rPr>
        <w:t xml:space="preserve">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 </w:t>
      </w:r>
    </w:p>
    <w:p>
      <w:pPr>
        <w:pStyle w:val="TextBody"/>
        <w:bidi w:val="0"/>
        <w:spacing w:before="240" w:after="0"/>
        <w:jc w:val="left"/>
        <w:rPr>
          <w:rFonts w:ascii="Times New Roman" w:hAnsi="Times New Roman"/>
          <w:sz w:val="20"/>
        </w:rPr>
      </w:pPr>
      <w:r>
        <w:rPr>
          <w:rFonts w:ascii="Times New Roman" w:hAnsi="Times New Roman"/>
          <w:sz w:val="20"/>
        </w:rPr>
        <w:t xml:space="preserve">5.4.7 </w:t>
      </w:r>
      <w:r>
        <w:rPr>
          <w:rFonts w:ascii="Times New Roman" w:hAnsi="Times New Roman"/>
          <w:b/>
          <w:sz w:val="20"/>
          <w:u w:val="single"/>
        </w:rPr>
        <w:t>Existing Hazardous Materials</w:t>
      </w:r>
      <w:r>
        <w:rPr>
          <w:rFonts w:ascii="Times New Roman" w:hAnsi="Times New Roman"/>
          <w:b/>
          <w:sz w:val="20"/>
        </w:rPr>
        <w:t>.</w:t>
      </w:r>
      <w:r>
        <w:rPr>
          <w:rFonts w:ascii="Times New Roman" w:hAnsi="Times New Roman"/>
          <w:sz w:val="20"/>
        </w:rPr>
        <w:t xml:space="preserve"> “</w:t>
      </w:r>
      <w:r>
        <w:rPr>
          <w:rFonts w:ascii="Times New Roman" w:hAnsi="Times New Roman"/>
          <w:b/>
          <w:sz w:val="20"/>
        </w:rPr>
        <w:t>Existing Hazardous Materials</w:t>
      </w:r>
      <w:r>
        <w:rPr>
          <w:rFonts w:ascii="Times New Roman" w:hAnsi="Times New Roman"/>
          <w:sz w:val="20"/>
        </w:rPr>
        <w:t xml:space="preserve">” shall mean those Hazardous Materials, if any, specifically described as being present at the Project in excess of amounts permitted pursuant to Applicable Laws pursuant to those certain environmental reports listed on </w:t>
      </w:r>
      <w:r>
        <w:rPr>
          <w:rFonts w:ascii="Times New Roman" w:hAnsi="Times New Roman"/>
          <w:sz w:val="20"/>
          <w:u w:val="single"/>
        </w:rPr>
        <w:t>Exhibit 5.4.7</w:t>
      </w:r>
      <w:r>
        <w:rPr>
          <w:rFonts w:ascii="Times New Roman" w:hAnsi="Times New Roman"/>
          <w:sz w:val="20"/>
        </w:rPr>
        <w:t xml:space="preserve">, attached, copies of which have been provided to Tenant. Notwithstanding the foregoing, Landlord and Tenant hereby agree that the term, Existing Hazardous Materials, shall included, without limitation, the constituents of concern (including, without limitation, trichloroethylene and tetrachloroethylene) associated with Massachusetts Department of Environmental Protection Release Tracking Number 3-19657. </w:t>
      </w:r>
    </w:p>
    <w:p>
      <w:pPr>
        <w:pStyle w:val="TextBody"/>
        <w:bidi w:val="0"/>
        <w:spacing w:before="240" w:after="0"/>
        <w:jc w:val="left"/>
        <w:rPr>
          <w:rFonts w:ascii="Times New Roman" w:hAnsi="Times New Roman"/>
          <w:sz w:val="20"/>
        </w:rPr>
      </w:pPr>
      <w:r>
        <w:rPr>
          <w:rFonts w:ascii="Times New Roman" w:hAnsi="Times New Roman"/>
          <w:sz w:val="20"/>
        </w:rPr>
        <w:t xml:space="preserve">5.4.8 </w:t>
      </w:r>
      <w:r>
        <w:rPr>
          <w:rFonts w:ascii="Times New Roman" w:hAnsi="Times New Roman"/>
          <w:b/>
          <w:sz w:val="20"/>
          <w:u w:val="single"/>
        </w:rPr>
        <w:t>Signs, Response Plans, Etc</w:t>
      </w:r>
      <w:r>
        <w:rPr>
          <w:rFonts w:ascii="Times New Roman" w:hAnsi="Times New Roman"/>
          <w:b/>
          <w:sz w:val="20"/>
        </w:rPr>
        <w:t>.</w:t>
      </w:r>
      <w:r>
        <w:rPr>
          <w:rFonts w:ascii="Times New Roman" w:hAnsi="Times New Roman"/>
          <w:sz w:val="20"/>
        </w:rPr>
        <w:t xml:space="preserve">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 </w:t>
      </w:r>
    </w:p>
    <w:p>
      <w:pPr>
        <w:pStyle w:val="TextBody"/>
        <w:bidi w:val="0"/>
        <w:spacing w:before="240" w:after="0"/>
        <w:jc w:val="left"/>
        <w:rPr>
          <w:rFonts w:ascii="Times New Roman" w:hAnsi="Times New Roman"/>
          <w:sz w:val="20"/>
        </w:rPr>
      </w:pPr>
      <w:r>
        <w:rPr>
          <w:rFonts w:ascii="Times New Roman" w:hAnsi="Times New Roman"/>
          <w:sz w:val="20"/>
        </w:rPr>
        <w:t xml:space="preserve">5.4.9 </w:t>
      </w:r>
      <w:r>
        <w:rPr>
          <w:rFonts w:ascii="Times New Roman" w:hAnsi="Times New Roman"/>
          <w:b/>
          <w:sz w:val="20"/>
          <w:u w:val="single"/>
        </w:rPr>
        <w:t>Survival</w:t>
      </w:r>
      <w:r>
        <w:rPr>
          <w:rFonts w:ascii="Times New Roman" w:hAnsi="Times New Roman"/>
          <w:b/>
          <w:sz w:val="20"/>
        </w:rPr>
        <w:t>.</w:t>
      </w:r>
      <w:r>
        <w:rPr>
          <w:rFonts w:ascii="Times New Roman" w:hAnsi="Times New Roman"/>
          <w:sz w:val="20"/>
        </w:rPr>
        <w:t xml:space="preserve"> Each covenant, agreement, representation, warranty and indemnification made by Tenant set forth in this </w:t>
      </w:r>
      <w:r>
        <w:rPr>
          <w:rFonts w:ascii="Times New Roman" w:hAnsi="Times New Roman"/>
          <w:sz w:val="20"/>
          <w:u w:val="single"/>
        </w:rPr>
        <w:t>Section 5.4</w:t>
      </w:r>
      <w:r>
        <w:rPr>
          <w:rFonts w:ascii="Times New Roman" w:hAnsi="Times New Roman"/>
          <w:sz w:val="20"/>
        </w:rPr>
        <w:t xml:space="preserve"> shall survive the expiration or earlier termination of this Lease and shall remain effective until all of Tenant’s obligations under this </w:t>
      </w:r>
      <w:r>
        <w:rPr>
          <w:rFonts w:ascii="Times New Roman" w:hAnsi="Times New Roman"/>
          <w:sz w:val="20"/>
          <w:u w:val="single"/>
        </w:rPr>
        <w:t>Section 5.4</w:t>
      </w:r>
      <w:r>
        <w:rPr>
          <w:rFonts w:ascii="Times New Roman" w:hAnsi="Times New Roman"/>
          <w:sz w:val="20"/>
        </w:rPr>
        <w:t xml:space="preserve"> have been completely performed and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SERVICES AND UTILITIES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u w:val="single"/>
        </w:rPr>
        <w:t>Landlord Provided Services</w:t>
      </w:r>
      <w:r>
        <w:rPr>
          <w:rFonts w:ascii="Times New Roman" w:hAnsi="Times New Roman"/>
          <w:sz w:val="20"/>
        </w:rPr>
        <w:t xml:space="preserve">. Landlord shall provided the following services on all days (unless otherwise stated below) during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6.1.1 Subject to limitations imposed by all governmental rules, regulations and guidelines applicable thereto, and subject to </w:t>
      </w:r>
      <w:r>
        <w:rPr>
          <w:rFonts w:ascii="Times New Roman" w:hAnsi="Times New Roman"/>
          <w:sz w:val="20"/>
          <w:u w:val="single"/>
        </w:rPr>
        <w:t>Section 6.3</w:t>
      </w:r>
      <w:r>
        <w:rPr>
          <w:rFonts w:ascii="Times New Roman" w:hAnsi="Times New Roman"/>
          <w:sz w:val="20"/>
        </w:rPr>
        <w:t xml:space="preserve">, below, Landlord shall provide heating, ventilation (including exhaust) and air conditioning </w:t>
      </w:r>
      <w:r>
        <w:rPr>
          <w:rFonts w:ascii="Times New Roman" w:hAnsi="Times New Roman"/>
          <w:b/>
          <w:sz w:val="20"/>
        </w:rPr>
        <w:t xml:space="preserve">(“HVAC”) </w:t>
      </w:r>
      <w:r>
        <w:rPr>
          <w:rFonts w:ascii="Times New Roman" w:hAnsi="Times New Roman"/>
          <w:sz w:val="20"/>
        </w:rPr>
        <w:t xml:space="preserve">to the Premises on a 24 hours, 7 days per week basis pursuant to the specifications set forth on </w:t>
      </w:r>
      <w:r>
        <w:rPr>
          <w:rFonts w:ascii="Times New Roman" w:hAnsi="Times New Roman"/>
          <w:sz w:val="20"/>
          <w:u w:val="single"/>
        </w:rPr>
        <w:t>Exhibit 6.1</w:t>
      </w:r>
      <w:r>
        <w:rPr>
          <w:rFonts w:ascii="Times New Roman" w:hAnsi="Times New Roman"/>
          <w:sz w:val="20"/>
        </w:rPr>
        <w:t>, attached. Landlord shall provide HVAC when necessary for normal comfort in the Building Common Areas from 8:00 A.M. to 6:00 P.M. Monday through Friday, and on Saturdays from 9:00 A.M. to 1:00 P.M. (collectively, the “</w:t>
      </w:r>
      <w:r>
        <w:rPr>
          <w:rFonts w:ascii="Times New Roman" w:hAnsi="Times New Roman"/>
          <w:b/>
          <w:sz w:val="20"/>
        </w:rPr>
        <w:t xml:space="preserve">Building Houts”), </w:t>
      </w:r>
      <w:r>
        <w:rPr>
          <w:rFonts w:ascii="Times New Roman" w:hAnsi="Times New Roman"/>
          <w:sz w:val="20"/>
        </w:rPr>
        <w:t>except for the date of observance of New Year’s Day, Independence Day, Labor Day, Memorial Day, Thanksgiving Day, Christmas Day and, at Landlord’s discretion, other locally or nationally recognized holidays which are observed by other buildings comparable to and in the vicinity of the Building (collectively, the “</w:t>
      </w:r>
      <w:r>
        <w:rPr>
          <w:rFonts w:ascii="Times New Roman" w:hAnsi="Times New Roman"/>
          <w:b/>
          <w:sz w:val="20"/>
        </w:rPr>
        <w:t>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6.1.2 Landlord shall provide adequate electrical wiring and facilities for connection to Tenant’s lighting fixtures and incidental use equipment, provided that the connected electrical load of the incidental use equipment and the connected electrical load of Tenant’s lighting fixtures does not exceed Tenant’s Share of the per floor limits otherwise set forth on </w:t>
      </w:r>
      <w:r>
        <w:rPr>
          <w:rFonts w:ascii="Times New Roman" w:hAnsi="Times New Roman"/>
          <w:sz w:val="20"/>
          <w:u w:val="single"/>
        </w:rPr>
        <w:t>Exhibit 6.3</w:t>
      </w:r>
      <w:r>
        <w:rPr>
          <w:rFonts w:ascii="Times New Roman" w:hAnsi="Times New Roman"/>
          <w:sz w:val="20"/>
        </w:rPr>
        <w:t xml:space="preserve">, attached. Tenant shall bear the cost of replacement of lamps, starters and ballasts for non-Building standard lighting fixtures within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6.1.3 Landlord shall provide city water from the regular Building outlets for drinking, lavatory and toilet purposes in the Building Common Areas. </w:t>
      </w:r>
    </w:p>
    <w:p>
      <w:pPr>
        <w:pStyle w:val="TextBody"/>
        <w:bidi w:val="0"/>
        <w:spacing w:before="240" w:after="0"/>
        <w:jc w:val="left"/>
        <w:rPr>
          <w:rFonts w:ascii="Times New Roman" w:hAnsi="Times New Roman"/>
          <w:sz w:val="20"/>
        </w:rPr>
      </w:pPr>
      <w:r>
        <w:rPr>
          <w:rFonts w:ascii="Times New Roman" w:hAnsi="Times New Roman"/>
          <w:sz w:val="20"/>
        </w:rPr>
        <w:t xml:space="preserve">6.1.4 Landlord shall provide a dumpster and/or trash compactor at the Building for use by Tenant and other tenants for ordinary office waste (and not for Hazardous Materials). </w:t>
      </w:r>
    </w:p>
    <w:p>
      <w:pPr>
        <w:pStyle w:val="TextBody"/>
        <w:bidi w:val="0"/>
        <w:spacing w:before="240" w:after="0"/>
        <w:jc w:val="left"/>
        <w:rPr>
          <w:rFonts w:ascii="Times New Roman" w:hAnsi="Times New Roman"/>
          <w:sz w:val="20"/>
        </w:rPr>
      </w:pPr>
      <w:r>
        <w:rPr>
          <w:rFonts w:ascii="Times New Roman" w:hAnsi="Times New Roman"/>
          <w:sz w:val="20"/>
        </w:rPr>
        <w:t>6.1.5 Landlord shall provide passenger elevator service to all floors of the Building, except the roof, and to the parking garage in the Building, and shall provide use of the loading dock. At Tenant’s expense, Landlord shall coordinate and manage any oversized ordinary and customary deliveries to the Premises (consistent with first class office and laboratory use) that require use of a scissor lift, telescoping fork lift or crane (any of the foregoing, a “</w:t>
      </w:r>
      <w:r>
        <w:rPr>
          <w:rFonts w:ascii="Times New Roman" w:hAnsi="Times New Roman"/>
          <w:b/>
          <w:sz w:val="20"/>
        </w:rPr>
        <w:t xml:space="preserve">Vertical Lift”) </w:t>
      </w:r>
      <w:r>
        <w:rPr>
          <w:rFonts w:ascii="Times New Roman" w:hAnsi="Times New Roman"/>
          <w:sz w:val="20"/>
        </w:rPr>
        <w:t xml:space="preserve">in lieu of using the elevators of the Building, subject to Landlord’s reasonable rules and regulations (e.g. governing prior written notice of the need for such services). Landlord shall provide use of the Vertical Lift at the Premises to Tenant for deliveries utilizing Vertical Lifts at Tenant’s cost (provided that Landlord shall bear the costs of the Vertical Lift to the extent that the actual costs of such vertical lift are in excess of the standard delivery cost that Tenant would have incurred if the Vertical Lift were not required (as reasonably evidenced by Tenant to Landlord)). If Landlord reasonably concludes that the purchase of a Vertical Lift for use by tenants in the Building will result in an overall savings to the tenants (including Tenant) on account of charges assessed pursuant to the provisions of this </w:t>
      </w:r>
      <w:r>
        <w:rPr>
          <w:rFonts w:ascii="Times New Roman" w:hAnsi="Times New Roman"/>
          <w:sz w:val="20"/>
          <w:u w:val="single"/>
        </w:rPr>
        <w:t>Section 6.1.5</w:t>
      </w:r>
      <w:r>
        <w:rPr>
          <w:rFonts w:ascii="Times New Roman" w:hAnsi="Times New Roman"/>
          <w:sz w:val="20"/>
        </w:rPr>
        <w:t xml:space="preserve">, then the reasonable cost of such purchase, amortized over the useful life of the equipment in the manner of other capital expenditures, shall be included in Operating Expenses and no further charges shall be assessed under this </w:t>
      </w:r>
      <w:r>
        <w:rPr>
          <w:rFonts w:ascii="Times New Roman" w:hAnsi="Times New Roman"/>
          <w:sz w:val="20"/>
          <w:u w:val="single"/>
        </w:rPr>
        <w:t>Section 6.1.5</w:t>
      </w:r>
      <w:r>
        <w:rPr>
          <w:rFonts w:ascii="Times New Roman" w:hAnsi="Times New Roman"/>
          <w:sz w:val="20"/>
        </w:rPr>
        <w:t xml:space="preserve"> for the use of such equipment (other than to the extent included in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6.1.6 Landlord agrees to provide and maintain a pH neutralization system and emergency generator at the Building, on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(1) Tenant’s use of the pH neutralization system and emergency generator shall be at Tenant’s sole risk to the extent permitted pursuant to Applicable Laws (Landlord making no representation or warranty regarding the sufficiency of the pH neutralization system and emergency generator for Tenant’s use); </w:t>
      </w:r>
    </w:p>
    <w:p>
      <w:pPr>
        <w:pStyle w:val="TextBody"/>
        <w:bidi w:val="0"/>
        <w:spacing w:before="120" w:after="0"/>
        <w:jc w:val="left"/>
        <w:rPr>
          <w:rFonts w:ascii="Times New Roman" w:hAnsi="Times New Roman"/>
          <w:sz w:val="20"/>
        </w:rPr>
      </w:pPr>
      <w:r>
        <w:rPr>
          <w:rFonts w:ascii="Times New Roman" w:hAnsi="Times New Roman"/>
          <w:sz w:val="20"/>
        </w:rPr>
        <w:t xml:space="preserve">(2) Tenant’s use of the pH neutralization system and emergency generator shall be undertaken by Tenant in compliance with all Applicable Laws, including Environmental Laws, and Tenant shall obtain any and all permits required in connection with such use; </w:t>
      </w:r>
    </w:p>
    <w:p>
      <w:pPr>
        <w:pStyle w:val="TextBody"/>
        <w:bidi w:val="0"/>
        <w:spacing w:before="120" w:after="0"/>
        <w:jc w:val="left"/>
        <w:rPr>
          <w:rFonts w:ascii="Times New Roman" w:hAnsi="Times New Roman"/>
          <w:sz w:val="20"/>
        </w:rPr>
      </w:pPr>
      <w:r>
        <w:rPr>
          <w:rFonts w:ascii="Times New Roman" w:hAnsi="Times New Roman"/>
          <w:sz w:val="20"/>
        </w:rPr>
        <w:t xml:space="preserve">(3) Tenant shall be responsible for connecting to the central distribution point for the pH neutralization system and emergency generator in connection with the Tenant Improvements at the locations shown on </w:t>
      </w:r>
      <w:r>
        <w:rPr>
          <w:rFonts w:ascii="Times New Roman" w:hAnsi="Times New Roman"/>
          <w:b/>
          <w:sz w:val="20"/>
          <w:u w:val="single"/>
        </w:rPr>
        <w:t>Exhibit 29.33;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The costs to operate and maintain the pH neutralization system and emergency generator shall be included in Operating Expenses. Tenant’s use of the pH neutralization system and emergency generator shall not exceed Tenant’s Share of the capacity thereof available to tenants;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use of the pH neutralization system and emergency generator shall be subject to the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(6) Tenant acknowledges and agrees that there are no warranties of any kind, whether express or implied, made by Landlord or otherwise with respect to the pH neutralization system and emergency generator or services (if any) provided with respect thereto, and Tenant disclaims any and all such warranties; and </w:t>
      </w:r>
    </w:p>
    <w:p>
      <w:pPr>
        <w:pStyle w:val="TextBody"/>
        <w:bidi w:val="0"/>
        <w:spacing w:before="120" w:after="0"/>
        <w:jc w:val="left"/>
        <w:rPr>
          <w:rFonts w:ascii="Times New Roman" w:hAnsi="Times New Roman"/>
          <w:sz w:val="20"/>
        </w:rPr>
      </w:pPr>
      <w:r>
        <w:rPr>
          <w:rFonts w:ascii="Times New Roman" w:hAnsi="Times New Roman"/>
          <w:sz w:val="20"/>
        </w:rPr>
        <w:t xml:space="preserve">(7) If the pH neutralization system or emergency generator need to be replaced during the Term, Landlord shall replace such system or generator, as applicable, with a replacement that provides for at least the same functionality as exists on the date of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u w:val="single"/>
        </w:rPr>
        <w:t>Tenant Provided Services and Utilities</w:t>
      </w:r>
      <w:r>
        <w:rPr>
          <w:rFonts w:ascii="Times New Roman" w:hAnsi="Times New Roman"/>
          <w:b/>
          <w:sz w:val="20"/>
        </w:rPr>
        <w:t xml:space="preserve">. </w:t>
      </w:r>
      <w:r>
        <w:rPr>
          <w:rFonts w:ascii="Times New Roman" w:hAnsi="Times New Roman"/>
          <w:sz w:val="20"/>
        </w:rPr>
        <w:t xml:space="preserve">Except as otherwise expressly set forth in </w:t>
      </w:r>
      <w:r>
        <w:rPr>
          <w:rFonts w:ascii="Times New Roman" w:hAnsi="Times New Roman"/>
          <w:sz w:val="20"/>
          <w:u w:val="single"/>
        </w:rPr>
        <w:t>Section 6.1</w:t>
      </w:r>
      <w:r>
        <w:rPr>
          <w:rFonts w:ascii="Times New Roman" w:hAnsi="Times New Roman"/>
          <w:sz w:val="20"/>
        </w:rPr>
        <w:t xml:space="preserve">, above, Tenant will be responsible, at its sole cost and expense, for the furnishing of all services and utilities to the Premises including, without limitation, electricity, water, telephone, janitorial and interior Building security services. </w:t>
      </w:r>
    </w:p>
    <w:p>
      <w:pPr>
        <w:pStyle w:val="TextBody"/>
        <w:bidi w:val="0"/>
        <w:spacing w:before="240" w:after="0"/>
        <w:jc w:val="left"/>
        <w:rPr>
          <w:rFonts w:ascii="Times New Roman" w:hAnsi="Times New Roman"/>
          <w:sz w:val="20"/>
        </w:rPr>
      </w:pPr>
      <w:r>
        <w:rPr>
          <w:rFonts w:ascii="Times New Roman" w:hAnsi="Times New Roman"/>
          <w:sz w:val="20"/>
        </w:rPr>
        <w:t xml:space="preserve">6.2.1 Landlord shall not provide janitorial or trash services for the Premises except as expressly provided in </w:t>
      </w:r>
      <w:r>
        <w:rPr>
          <w:rFonts w:ascii="Times New Roman" w:hAnsi="Times New Roman"/>
          <w:sz w:val="20"/>
          <w:u w:val="single"/>
        </w:rPr>
        <w:t>Section 6.1.4</w:t>
      </w:r>
      <w:r>
        <w:rPr>
          <w:rFonts w:ascii="Times New Roman" w:hAnsi="Times New Roman"/>
          <w:sz w:val="20"/>
        </w:rPr>
        <w:t xml:space="preserve">, above. Tenant shall be solely responsible for performing all janitorial and trash services and other cleaning of the Premises, all in compliance with Applicable Laws. In the event such service is provided by a third party janitorial service, and not by employees of Tenant, such service shall be a janitorial service approved in advance by Landlord, such approval not to be unreasonably withheld, conditioned or delayed. The janitorial and cleaning of the Premises shall be adequate to maintain the Premises in a manner consistent with Comparable Buildings. </w:t>
      </w:r>
    </w:p>
    <w:p>
      <w:pPr>
        <w:pStyle w:val="TextBody"/>
        <w:bidi w:val="0"/>
        <w:spacing w:before="240" w:after="0"/>
        <w:jc w:val="left"/>
        <w:rPr>
          <w:rFonts w:ascii="Times New Roman" w:hAnsi="Times New Roman"/>
          <w:sz w:val="20"/>
        </w:rPr>
      </w:pPr>
      <w:r>
        <w:rPr>
          <w:rFonts w:ascii="Times New Roman" w:hAnsi="Times New Roman"/>
          <w:sz w:val="20"/>
        </w:rPr>
        <w:t xml:space="preserve">6.2.2 Subject to Applicable Laws and the other provisions of this Lease (including, without limitation, the Rules and Regulations, and except in the event of an emergency) and Landlord’s reasonable security measures, Tenant shall have access to the Building, the Premises and the Common Areas of the Building, other than Common Areas requiring access with a Building engineer, twenty-four (24) hours per day, seven (7) days per week, every day of the year; provided, however, that Tenant shall only be permitted to have access to and use of the limited-access areas of the Building during the normal operating hours of such portions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Tenant shall cooperate fully with Landlord at all times and abide by all regulations and requirements that Landlord may reasonably prescribe for the proper functioning and protection of the HVAC, electrical, mechanical and plumbing systems. </w:t>
      </w:r>
    </w:p>
    <w:p>
      <w:pPr>
        <w:pStyle w:val="TextBody"/>
        <w:bidi w:val="0"/>
        <w:spacing w:before="240" w:after="0"/>
        <w:jc w:val="left"/>
        <w:rPr>
          <w:rFonts w:ascii="Times New Roman" w:hAnsi="Times New Roman"/>
          <w:sz w:val="20"/>
        </w:rPr>
      </w:pPr>
      <w:r>
        <w:rPr>
          <w:rFonts w:ascii="Times New Roman" w:hAnsi="Times New Roman"/>
          <w:sz w:val="20"/>
        </w:rPr>
        <w:t xml:space="preserve">6.2.3 Tenant shall pay for all water, gas, heat, light, power, telephone, internet service, cable television, other telecommunications and other utilities supplied to the Premises, together with any fees, surcharges and taxes thereon, whether part of Operating Expenses or as provided under this Article 6. Tenant shall pay all costs and expenses for any separately metered utilities provided exclusively to the Premises directly to the applicable service provider. Tenant shall pay all actual out-of-pocket costs and expenses, without, mark-up, for utility charges that are based on a check- or sub-metering metering installation based on Landlord’s reading of such meters and directly to Landlord, including without limitation for utility charges for power, gas and water serving the HVAC system of the Building (which are measured by the control management system of the Building based on air volume provided to each tenant space). Landlord may, at its sole cost and expense, install devices to separately, check or sub-meter any utility use within the Premises (or use other reasonable industry standard methods to reasonably estimate such use, where applicable) that is not metered in such a manner on the Fourth Floor Premises Commencement Date and in such event Tenant shall thereafter pay the cost directly to the applicable service provider, if separately metered, or to Landlord, if check or sub-metered. Additional Rent for any utilities that are not separately metered may be reasonably estimated monthly by Landlord, based on actual readings of sub- and “check” meters where applicable, and shall be paid monthly by Tenant within thirty (30) days after being billed with a final accounting based upon actual bills received from the utility providers following the conclusion of each fiscal year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u w:val="single"/>
        </w:rPr>
        <w:t>Overstandard Tenant Use</w:t>
      </w:r>
      <w:r>
        <w:rPr>
          <w:rFonts w:ascii="Times New Roman" w:hAnsi="Times New Roman"/>
          <w:sz w:val="20"/>
        </w:rPr>
        <w:t xml:space="preserve">. If Tenant uses water, electricity, heat or air conditioning in excess of that supplied by Landlord pursuant to </w:t>
      </w:r>
      <w:r>
        <w:rPr>
          <w:rFonts w:ascii="Times New Roman" w:hAnsi="Times New Roman"/>
          <w:sz w:val="20"/>
          <w:u w:val="single"/>
        </w:rPr>
        <w:t>Section 6.1</w:t>
      </w:r>
      <w:r>
        <w:rPr>
          <w:rFonts w:ascii="Times New Roman" w:hAnsi="Times New Roman"/>
          <w:sz w:val="20"/>
        </w:rPr>
        <w:t xml:space="preserve"> of this Lease, Tenant shall pay to Landlord, within thirty (30) days after Tenant’s receipt of an invoice therefor, the actual cost of such excess consumption; and if Tenant does not cease such excessive usage promptly following written notice from Landlord, Landlord may install devices to separately meter any increased use (or use other reasonable industry standard methods to reasonably estimate such increased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such event Tenant shall pay the increased cost directly to Landlord, within thirty (30) days after Tenant’s receipt of an invoice therefor, at the rates charged by the public utility company furnishing the same, including the cost of installing, testing and maintaining of such additional metering devices. Tenant’s use of electricity and any other utility .shall never exceed the capacity of the feeders to the Project or the risers or wiring installation or Tenant’s Share of the per floor limits otherwise set forth on </w:t>
      </w:r>
      <w:r>
        <w:rPr>
          <w:rFonts w:ascii="Times New Roman" w:hAnsi="Times New Roman"/>
          <w:sz w:val="20"/>
          <w:u w:val="single"/>
        </w:rPr>
        <w:t>Exhibit 6.3</w:t>
      </w:r>
      <w:r>
        <w:rPr>
          <w:rFonts w:ascii="Times New Roman" w:hAnsi="Times New Roman"/>
          <w:sz w:val="20"/>
        </w:rPr>
        <w:t xml:space="preserve">, attached.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u w:val="single"/>
        </w:rPr>
        <w:t>Interruption of Use</w:t>
      </w:r>
      <w:r>
        <w:rPr>
          <w:rFonts w:ascii="Times New Roman" w:hAnsi="Times New Roman"/>
          <w:sz w:val="20"/>
        </w:rPr>
        <w:t xml:space="preserve">. Tenant agrees that, to the extent permitted pursuant to Applicable Laws, Landlord shall not be liable for damages, by abatement of Rent or otherwise, for failure to furnish or delay in furnishing any service (including telephone and telecommunication services) required to be provided by Landlord under this Lease,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not under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hAnsi="Times New Roman"/>
          <w:sz w:val="20"/>
          <w:u w:val="single"/>
        </w:rPr>
        <w:t>Article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contrary, in the event that there shall be an interruption, curtailment or suspension of any service required to be provided by Landlord pursuant to </w:t>
      </w:r>
      <w:r>
        <w:rPr>
          <w:rFonts w:ascii="Times New Roman" w:hAnsi="Times New Roman"/>
          <w:sz w:val="20"/>
          <w:u w:val="single"/>
        </w:rPr>
        <w:t>Section 6.1</w:t>
      </w:r>
      <w:r>
        <w:rPr>
          <w:rFonts w:ascii="Times New Roman" w:hAnsi="Times New Roman"/>
          <w:sz w:val="20"/>
        </w:rPr>
        <w:t xml:space="preserve"> (and no reasonably equivalent alternative service or supply is provided by Landlord) that shall materially interfere with Tenant’s use and enjoyment of a material portion of the Premises, and Tenant actually ceases to use the affected portion of the Premises (any such event, a “</w:t>
      </w:r>
      <w:r>
        <w:rPr>
          <w:rFonts w:ascii="Times New Roman" w:hAnsi="Times New Roman"/>
          <w:b/>
          <w:sz w:val="20"/>
        </w:rPr>
        <w:t xml:space="preserve">Service Interruption”), </w:t>
      </w:r>
      <w:r>
        <w:rPr>
          <w:rFonts w:ascii="Times New Roman" w:hAnsi="Times New Roman"/>
          <w:sz w:val="20"/>
        </w:rPr>
        <w:t>and if (i) such Service Interruption shall continue for ten (10) consecutive business days following receipt by Landlord of written notice from Tenant describing such Service Interruption (the “</w:t>
      </w:r>
      <w:r>
        <w:rPr>
          <w:rFonts w:ascii="Times New Roman" w:hAnsi="Times New Roman"/>
          <w:b/>
          <w:sz w:val="20"/>
        </w:rPr>
        <w:t xml:space="preserve">Service Interruption Notice”), </w:t>
      </w:r>
      <w:r>
        <w:rPr>
          <w:rFonts w:ascii="Times New Roman" w:hAnsi="Times New Roman"/>
          <w:sz w:val="20"/>
        </w:rPr>
        <w:t>(ii) such Service Interruption shall not have been caused, in whole or in part, by reasons beyond Landlord’s reasonable control or by an act or omission in violation of this Lease by any Tenant Party or by any negligence of Tenant or any Tenant Party, and (iii) either (A) Landlord does not diligently commence and pursue to completion the remedy of such Service Interruption or (B) Landlord receives proceeds from its rental interruption insurance that covers such Service Interruption (a Service Interruption that satisfies the foregoing conditions being referred to hereinafter as a “</w:t>
      </w:r>
      <w:r>
        <w:rPr>
          <w:rFonts w:ascii="Times New Roman" w:hAnsi="Times New Roman"/>
          <w:b/>
          <w:sz w:val="20"/>
        </w:rPr>
        <w:t xml:space="preserve">Material Service Interruption”) </w:t>
      </w:r>
      <w:r>
        <w:rPr>
          <w:rFonts w:ascii="Times New Roman" w:hAnsi="Times New Roman"/>
          <w:sz w:val="20"/>
        </w:rPr>
        <w:t xml:space="preserve">then, as liquidated damages and Tenant’s sole remedy at law or equity, Tenant shall be entitled to an equitable abatement of Base Rent and Tenant’s Share of Direct Expenses, based on the nature and duration of the Material Service Interruption, the area of the Premises affected, and the then current Rent amounts, for the period that shall begin on the commencement of such Material Service Interruption and that shall end on the day such Material Service Interruption shall cease To the extent a Material Service Interruption is caused by an event covered by </w:t>
      </w:r>
      <w:r>
        <w:rPr>
          <w:rFonts w:ascii="Times New Roman" w:hAnsi="Times New Roman"/>
          <w:sz w:val="20"/>
          <w:u w:val="single"/>
        </w:rPr>
        <w:t>Articles 11</w:t>
      </w:r>
      <w:r>
        <w:rPr>
          <w:rFonts w:ascii="Times New Roman" w:hAnsi="Times New Roman"/>
          <w:sz w:val="20"/>
        </w:rPr>
        <w:t xml:space="preserve"> or </w:t>
      </w:r>
      <w:r>
        <w:rPr>
          <w:rFonts w:ascii="Times New Roman" w:hAnsi="Times New Roman"/>
          <w:sz w:val="20"/>
          <w:u w:val="single"/>
        </w:rPr>
        <w:t>13</w:t>
      </w:r>
      <w:r>
        <w:rPr>
          <w:rFonts w:ascii="Times New Roman" w:hAnsi="Times New Roman"/>
          <w:sz w:val="20"/>
        </w:rPr>
        <w:t xml:space="preserve"> of this Lease, then Tenant’s right to abate rent shall be governed by the terms of such </w:t>
      </w:r>
      <w:r>
        <w:rPr>
          <w:rFonts w:ascii="Times New Roman" w:hAnsi="Times New Roman"/>
          <w:sz w:val="20"/>
          <w:u w:val="single"/>
        </w:rPr>
        <w:t>Article 11</w:t>
      </w:r>
      <w:r>
        <w:rPr>
          <w:rFonts w:ascii="Times New Roman" w:hAnsi="Times New Roman"/>
          <w:sz w:val="20"/>
        </w:rPr>
        <w:t xml:space="preserve"> or </w:t>
      </w:r>
      <w:r>
        <w:rPr>
          <w:rFonts w:ascii="Times New Roman" w:hAnsi="Times New Roman"/>
          <w:sz w:val="20"/>
          <w:u w:val="single"/>
        </w:rPr>
        <w:t>13</w:t>
      </w:r>
      <w:r>
        <w:rPr>
          <w:rFonts w:ascii="Times New Roman" w:hAnsi="Times New Roman"/>
          <w:sz w:val="20"/>
        </w:rPr>
        <w:t xml:space="preserve">, as applicable, and the provisions of this paragraph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u w:val="single"/>
        </w:rPr>
        <w:t>Triple Net Lease</w:t>
      </w:r>
      <w:r>
        <w:rPr>
          <w:rFonts w:ascii="Times New Roman" w:hAnsi="Times New Roman"/>
          <w:b/>
          <w:sz w:val="20"/>
        </w:rPr>
        <w:t xml:space="preserve">. </w:t>
      </w:r>
      <w:r>
        <w:rPr>
          <w:rFonts w:ascii="Times New Roman" w:hAnsi="Times New Roman"/>
          <w:sz w:val="20"/>
        </w:rPr>
        <w:t>Landlord and Tenant acknowledge that, except as otherwise provided to the contrary in this Lease, it is their intent and agreement that this Lease be a “</w:t>
      </w:r>
      <w:r>
        <w:rPr>
          <w:rFonts w:ascii="Times New Roman" w:hAnsi="Times New Roman"/>
          <w:b/>
          <w:sz w:val="20"/>
        </w:rPr>
        <w:t>TRIPLE NET</w:t>
      </w:r>
      <w:r>
        <w:rPr>
          <w:rFonts w:ascii="Times New Roman" w:hAnsi="Times New Roman"/>
          <w:sz w:val="20"/>
        </w:rPr>
        <w:t xml:space="preserve">” lease and that as such, the provisions contained in this Lease are intended to pass on to Tenant or reimburse Landlord for the costs and expenses reasonably associated with this Lease, the Building and the Project, and Tenant’s operation therefrom, as set forth herein. To the extent such costs and expenses payable by Tenant cannot be charged directly to, and paid by, Tenant, such costs and expenses shall be paid by Landlord but reimbursed by Tenant as Additional Rent. </w:t>
      </w:r>
    </w:p>
    <w:p>
      <w:pPr>
        <w:pStyle w:val="TextBody"/>
        <w:bidi w:val="0"/>
        <w:spacing w:before="36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REPAIRS </w:t>
      </w:r>
    </w:p>
    <w:p>
      <w:pPr>
        <w:pStyle w:val="TextBody"/>
        <w:bidi w:val="0"/>
        <w:spacing w:before="120" w:after="0"/>
        <w:jc w:val="left"/>
        <w:rPr>
          <w:rFonts w:ascii="Times New Roman" w:hAnsi="Times New Roman"/>
          <w:sz w:val="20"/>
        </w:rPr>
      </w:pPr>
      <w:r>
        <w:rPr>
          <w:rFonts w:ascii="Times New Roman" w:hAnsi="Times New Roman"/>
          <w:sz w:val="20"/>
        </w:rPr>
        <w:t xml:space="preserve">Tenant shall, at Tenant’s own expense, keep the Premises, including all improvements, fixtures, furnishings, and systems and equipment therein (including, without limitation, plumbing fixtures and equipment such as dishwashers, garbage disposals, and insta-hot dispensers), or elsewhere exclusively serving the Premises, and the floor or floors of the Building on which the Premises are located, in good order, repair and condition at all times during the Lease Term reasonable wear and tear and damage by casualty (to the extent not Tenant’s obligation to restore the same) exempted. In addition, Tenant shall, at Tenant’s own expense, but under the supervision and subject to the prior reasonable approval of Landlord, and within any reasonable period of time specified by Landlord, promptly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adequately repair all damage to the Premises and replace or repair all damaged, broken, or worn fixtures and appurtenances, except for damage caused by ordinary wear and tear or beyond the reasonable control of Tenant or damages by casualty (to the extent not Tenant’s obligation to restore the same); provided however, that, at Landlord’s option, or if Tenant fails to make such repairs, Landlord may, but need not, make such repairs and replacements, and Tenant shall pay Landlord the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Without limitation, Tenant shall be responsible for heating, ventilating and air-conditioning systems and utility services serving the Premises from the Building connection point to the Premises (to the extent serving Tenant exclusively), and Tenant shall secure, pay for, and keep in force contracts with appropriate and reputable service companies reasonably approved by Landlord providing for the regular maintenance of such systems. Notwithstanding the foregoing, Landlord shall be responsible for repairs to the exterior walls and windows, foundation and roof (including roof membrane) of the Building, the structural portions of the floors and supporting columns of the Building, and the base building systems and equipment of the Building (including without limitation, the Building heating, ventilating and air conditioning system, electrical, life safety and plumbing systems and, subject to the provisions of </w:t>
      </w:r>
      <w:r>
        <w:rPr>
          <w:rFonts w:ascii="Times New Roman" w:hAnsi="Times New Roman"/>
          <w:sz w:val="20"/>
          <w:u w:val="single"/>
        </w:rPr>
        <w:t>Section 29.33</w:t>
      </w:r>
      <w:r>
        <w:rPr>
          <w:rFonts w:ascii="Times New Roman" w:hAnsi="Times New Roman"/>
          <w:sz w:val="20"/>
        </w:rPr>
        <w:t xml:space="preserve">, the Special Systems) and Common Areas (to the extent not serving Tenant exclusively),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Subject to the terms of </w:t>
      </w:r>
      <w:r>
        <w:rPr>
          <w:rFonts w:ascii="Times New Roman" w:hAnsi="Times New Roman"/>
          <w:sz w:val="20"/>
          <w:u w:val="single"/>
        </w:rPr>
        <w:t>Article 27</w:t>
      </w:r>
      <w:r>
        <w:rPr>
          <w:rFonts w:ascii="Times New Roman" w:hAnsi="Times New Roman"/>
          <w:sz w:val="20"/>
        </w:rPr>
        <w:t xml:space="preserve">, below, Landlord may, but shall not be required to, enter the Premises at all reasonable times and upon reasonable prior notice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w:t>
      </w:r>
    </w:p>
    <w:p>
      <w:pPr>
        <w:pStyle w:val="TextBody"/>
        <w:bidi w:val="0"/>
        <w:spacing w:before="36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ADDITIONS AND ALTERATIONS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Consent to Alterations</w:t>
      </w:r>
      <w:r>
        <w:rPr>
          <w:rFonts w:ascii="Times New Roman" w:hAnsi="Times New Roman"/>
          <w:sz w:val="20"/>
        </w:rPr>
        <w:t>. Tenant may not make any improvements, alterations, additions or changes to the Premises or any mechanical, plumbing or HVAC facilities or other utility or Building systems pertaining to the Premises (collectively, the “</w:t>
      </w:r>
      <w:r>
        <w:rPr>
          <w:rFonts w:ascii="Times New Roman" w:hAnsi="Times New Roman"/>
          <w:b/>
          <w:sz w:val="20"/>
        </w:rPr>
        <w:t>Alterations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without first procuring the prior written consent of Landlord to such Alterations, which consent shall be requested by Tenant not less than fifteen (15) business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in the Premises following ten (10) business days’ notice to Landlord, but without Landlord’s prior consent, to the extent that such Alterations (i) do not affect the Building systems or equipment, (ii) are not visible from the exterior of the Building, and (iii) cost less than $50,000.00 for a particular job of work. Prior to commencing any Alterations affecting air distribution or disbursement from ventilation systems serving Tenant or the Building, including without limitation the installation of Tenant’s exhaust systems, Tenant shall provide Landlord with a third party report from a consultant, and in a form reasonably acceptable to Landlord, showing that such work will not adversely affect the ventilation systems or air quality of the Building (or of any other tenant in the Building) and shall, upon completion of such work, provide Landlord with a certification reasonably satisfactory to Landlord from such consultant confirming that no such adverse effects have resulted from such work.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u w:val="single"/>
        </w:rPr>
        <w:t>Manner of Construction</w:t>
      </w:r>
      <w:r>
        <w:rPr>
          <w:rFonts w:ascii="Times New Roman" w:hAnsi="Times New Roman"/>
          <w:b/>
          <w:sz w:val="20"/>
        </w:rPr>
        <w:t xml:space="preserve">. </w:t>
      </w:r>
      <w:r>
        <w:rPr>
          <w:rFonts w:ascii="Times New Roman" w:hAnsi="Times New Roman"/>
          <w:sz w:val="20"/>
        </w:rPr>
        <w:t xml:space="preserve">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and approved by Landlord (which approval shall not be unreasonably withheld, conditioned or delayed), and the requirement that upon Landlord’s request (subject to the terms of </w:t>
      </w:r>
      <w:r>
        <w:rPr>
          <w:rFonts w:ascii="Times New Roman" w:hAnsi="Times New Roman"/>
          <w:sz w:val="20"/>
          <w:u w:val="single"/>
        </w:rPr>
        <w:t>Section 8.5</w:t>
      </w:r>
      <w:r>
        <w:rPr>
          <w:rFonts w:ascii="Times New Roman" w:hAnsi="Times New Roman"/>
          <w:sz w:val="20"/>
        </w:rPr>
        <w:t xml:space="preserve">, below),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 providers, workmen, labor, materials or equipment that, in Landlord’s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design professionals, service providers, Suppliers and materialmen who performed such work and whose labor, supplies or services give rise to a lien under Massachusetts law. In addition to Tenant’s obligations under </w:t>
      </w:r>
      <w:r>
        <w:rPr>
          <w:rFonts w:ascii="Times New Roman" w:hAnsi="Times New Roman"/>
          <w:sz w:val="20"/>
          <w:u w:val="single"/>
        </w:rPr>
        <w:t>Article 9</w:t>
      </w:r>
      <w:r>
        <w:rPr>
          <w:rFonts w:ascii="Times New Roman" w:hAnsi="Times New Roman"/>
          <w:sz w:val="20"/>
        </w:rPr>
        <w:t xml:space="preserve"> of this Lease, upon completion of any Alterations, Tenant shall deliver to the Project construction manager a reproducible copy of the “</w:t>
      </w:r>
      <w:r>
        <w:rPr>
          <w:rFonts w:ascii="Times New Roman" w:hAnsi="Times New Roman"/>
          <w:b/>
          <w:sz w:val="20"/>
        </w:rPr>
        <w:t>as built</w:t>
      </w:r>
      <w:r>
        <w:rPr>
          <w:rFonts w:ascii="Times New Roman" w:hAnsi="Times New Roman"/>
          <w:sz w:val="20"/>
        </w:rPr>
        <w:t xml:space="preserve">” drawings of the Alterations in CAD format as well as copies of all permits, approvals and other documents issued by any governmental agency in connection with the Alterations.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u w:val="single"/>
        </w:rPr>
        <w:t>Payment for Improvements</w:t>
      </w:r>
      <w:r>
        <w:rPr>
          <w:rFonts w:ascii="Times New Roman" w:hAnsi="Times New Roman"/>
          <w:sz w:val="20"/>
        </w:rPr>
        <w:t xml:space="preserve">. If Tenant orders any work directly from Landlord, Tenant shall pay to Landlord an amount equal to five percent (5%) of the cost of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any proposed Alterations.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u w:val="single"/>
        </w:rPr>
        <w:t>Construction Insurance</w:t>
      </w:r>
      <w:r>
        <w:rPr>
          <w:rFonts w:ascii="Times New Roman" w:hAnsi="Times New Roman"/>
          <w:b/>
          <w:sz w:val="20"/>
        </w:rPr>
        <w:t xml:space="preserve">. </w:t>
      </w:r>
      <w:r>
        <w:rPr>
          <w:rFonts w:ascii="Times New Roman" w:hAnsi="Times New Roman"/>
          <w:sz w:val="20"/>
        </w:rPr>
        <w:t xml:space="preserve">In addition to the requirements of </w:t>
      </w:r>
      <w:r>
        <w:rPr>
          <w:rFonts w:ascii="Times New Roman" w:hAnsi="Times New Roman"/>
          <w:sz w:val="20"/>
          <w:u w:val="single"/>
        </w:rPr>
        <w:t>Article 10</w:t>
      </w:r>
      <w:r>
        <w:rPr>
          <w:rFonts w:ascii="Times New Roman" w:hAnsi="Times New Roman"/>
          <w:sz w:val="20"/>
        </w:rPr>
        <w:t xml:space="preserve"> of this Lease, in the event that Tenant makes any Alterations, prior to the commencement of such Alterations, Tenant shall provide Landlord with evidence that Tenant or Tenant’s general contractor carries “</w:t>
      </w:r>
      <w:r>
        <w:rPr>
          <w:rFonts w:ascii="Times New Roman" w:hAnsi="Times New Roman"/>
          <w:b/>
          <w:sz w:val="20"/>
        </w:rPr>
        <w:t>Builder</w:t>
      </w:r>
      <w:r>
        <w:rPr>
          <w:rFonts w:ascii="Times New Roman" w:hAnsi="Times New Roman"/>
          <w:sz w:val="20"/>
        </w:rPr>
        <w:t>’</w:t>
      </w:r>
      <w:r>
        <w:rPr>
          <w:rFonts w:ascii="Times New Roman" w:hAnsi="Times New Roman"/>
          <w:b/>
          <w:sz w:val="20"/>
        </w:rPr>
        <w:t>s All Risk</w:t>
      </w:r>
      <w:r>
        <w:rPr>
          <w:rFonts w:ascii="Times New Roman" w:hAnsi="Times New Roman"/>
          <w:sz w:val="20"/>
        </w:rPr>
        <w:t xml:space="preserve">” insurance (to the extent that the cost of the work shall exceed $100,000.00) in an amount approved by Landlord covering the construction of such Alterations, and such other insurance as Landlord may reasonably require, it being understood and agreed that all of such Alterations shall be insured by Tenant pursuant to </w:t>
      </w:r>
      <w:r>
        <w:rPr>
          <w:rFonts w:ascii="Times New Roman" w:hAnsi="Times New Roman"/>
          <w:sz w:val="20"/>
          <w:u w:val="single"/>
        </w:rPr>
        <w:t>Article 10</w:t>
      </w:r>
      <w:r>
        <w:rPr>
          <w:rFonts w:ascii="Times New Roman" w:hAnsi="Times New Roman"/>
          <w:sz w:val="20"/>
        </w:rPr>
        <w:t xml:space="preserve"> of this Lease immediately upon completion thereof. In addition, Tenant’s contractors and subcontractors shall be required to carry Commercial General Liability Insurance in an amount approved by Landlord and otherwise in accordance with the requirements of </w:t>
      </w:r>
      <w:r>
        <w:rPr>
          <w:rFonts w:ascii="Times New Roman" w:hAnsi="Times New Roman"/>
          <w:sz w:val="20"/>
          <w:u w:val="single"/>
        </w:rPr>
        <w:t>Article 10</w:t>
      </w:r>
      <w:r>
        <w:rPr>
          <w:rFonts w:ascii="Times New Roman" w:hAnsi="Times New Roman"/>
          <w:sz w:val="20"/>
        </w:rPr>
        <w:t xml:space="preserve"> of this Lease and such general liability insurance shall name the Landlord Parties as additional insureds. Landlord may, in its discretion, require Tenant to obtain and record a statutory form of lien bond, or obtain performance and payment bonds, or some alternate form of security satisfactory to Landlord in an amount sufficient to ensure the lien-free completion of such Alterations costing in excess of $100,000 in the aggregate, in each case in form and substance reasonably satisfactory to Landlord. In addition, Tenant’s contractors and subcontractors shall be required to carry workers compensation insurance with a waiver of subrogation in favor of Landlord Parties.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Property</w:t>
      </w:r>
      <w:r>
        <w:rPr>
          <w:rFonts w:ascii="Times New Roman" w:hAnsi="Times New Roman"/>
          <w:sz w:val="20"/>
        </w:rPr>
        <w:t xml:space="preserve">. All Alterations, improvements, fixtures, equipment and/or appurtenances which may be installed or placed in or about the Premises, from time to time, shall be at the sole cost of Tenant and shall be and become the property of Landlord and remain in place at the Premises following the expiration or earlier termination of this Lease. Furthermore, Landlord may, by written notice to Tenant at least ninety (90) days prior to the end of the Lease Term, or given following any earlier termination of this Lease, require Tenant, at Tenant’s expense, to remove any Alterations and/or improvements and/or systems and equipment within the Premises and to repair any damage to the Premises and Building caused by such removal and return the affected portion of the Premises to a building standard tenant improved condition as determined by Landlord; provided; however, that notwithstanding the foregoing, upon Landlord’s consent to any Alteration or improvement, at Tenant’s request, Landlord shall notify Tenant whether the applicable Alteration or improvement will be required to be removed pursuant to the terms of this </w:t>
      </w:r>
      <w:r>
        <w:rPr>
          <w:rFonts w:ascii="Times New Roman" w:hAnsi="Times New Roman"/>
          <w:sz w:val="20"/>
          <w:u w:val="single"/>
        </w:rPr>
        <w:t>Section 8.5</w:t>
      </w:r>
      <w:r>
        <w:rPr>
          <w:rFonts w:ascii="Times New Roman" w:hAnsi="Times New Roman"/>
          <w:sz w:val="20"/>
        </w:rPr>
        <w:t xml:space="preserve">. If Tenant fails to complete any required removal and/or to repair any damage caused by the removal of any Alterations and/or improvements and/or systems and equipment in the Premises and return the affected portion of the Premises to a building standard tenant improved condition as reasonably determined by Landlord, Landlord may do so and may charge the actual and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u w:val="single"/>
        </w:rPr>
        <w:t>Tenant</w:t>
      </w:r>
      <w:r>
        <w:rPr>
          <w:rFonts w:ascii="Times New Roman" w:hAnsi="Times New Roman"/>
          <w:sz w:val="20"/>
          <w:u w:val="single"/>
        </w:rPr>
        <w:t>’</w:t>
      </w:r>
      <w:r>
        <w:rPr>
          <w:rFonts w:ascii="Times New Roman" w:hAnsi="Times New Roman"/>
          <w:b/>
          <w:sz w:val="20"/>
          <w:u w:val="single"/>
        </w:rPr>
        <w:t>s Initial Alterations</w:t>
      </w:r>
      <w:r>
        <w:rPr>
          <w:rFonts w:ascii="Times New Roman" w:hAnsi="Times New Roman"/>
          <w:b/>
          <w:sz w:val="20"/>
        </w:rPr>
        <w:t xml:space="preserve">. </w:t>
      </w:r>
      <w:r>
        <w:rPr>
          <w:rFonts w:ascii="Times New Roman" w:hAnsi="Times New Roman"/>
          <w:sz w:val="20"/>
        </w:rPr>
        <w:t>Landlord has agreed to provide an allowance of up to a maximum amount of the Tenant Improvement Allowance toward Tenant’s third party, out-of-pocket costs and expenses incurred in connection with Tenant’s initial Alterations to prepare the Premises for its use (the “</w:t>
      </w:r>
      <w:r>
        <w:rPr>
          <w:rFonts w:ascii="Times New Roman" w:hAnsi="Times New Roman"/>
          <w:b/>
          <w:sz w:val="20"/>
        </w:rPr>
        <w:t>Initial Alterations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The Tenant Improvement Allowance may not be used for the purchase and/or installation of Tenant’s furniture, trade fixtures and equipment, and may only be used toward the costs of designing and constructing the Initial Alterations </w:t>
      </w:r>
      <w:r>
        <w:rPr>
          <w:rFonts w:ascii="Times New Roman" w:hAnsi="Times New Roman"/>
          <w:b/>
          <w:sz w:val="20"/>
        </w:rPr>
        <w:t>(</w:t>
      </w:r>
      <w:r>
        <w:rPr>
          <w:rFonts w:ascii="Times New Roman" w:hAnsi="Times New Roman"/>
          <w:sz w:val="20"/>
        </w:rPr>
        <w:t>“</w:t>
      </w:r>
      <w:r>
        <w:rPr>
          <w:rFonts w:ascii="Times New Roman" w:hAnsi="Times New Roman"/>
          <w:b/>
          <w:sz w:val="20"/>
        </w:rPr>
        <w:t>Allowance Costs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Such reimbursement shall be in an amount equal to Tenant’s actual, third party, out-of-pocket costs and expenses paid by Tenant in connection with the Initial Alterations, as reflected by invoices rendered by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and delivered to Landlord by Tenant. All costs for the Initial Alterations in excess of the Tenant Improvement Allowance </w:t>
      </w:r>
      <w:r>
        <w:rPr>
          <w:rFonts w:ascii="Times New Roman" w:hAnsi="Times New Roman"/>
          <w:b/>
          <w:sz w:val="20"/>
        </w:rPr>
        <w:t>(</w:t>
      </w:r>
      <w:r>
        <w:rPr>
          <w:rFonts w:ascii="Times New Roman" w:hAnsi="Times New Roman"/>
          <w:sz w:val="20"/>
        </w:rPr>
        <w:t>“</w:t>
      </w:r>
      <w:r>
        <w:rPr>
          <w:rFonts w:ascii="Times New Roman" w:hAnsi="Times New Roman"/>
          <w:b/>
          <w:sz w:val="20"/>
        </w:rPr>
        <w:t>Excess Costs</w:t>
      </w:r>
      <w:r>
        <w:rPr>
          <w:rFonts w:ascii="Times New Roman" w:hAnsi="Times New Roman"/>
          <w:sz w:val="20"/>
        </w:rPr>
        <w:t>”</w:t>
      </w:r>
      <w:r>
        <w:rPr>
          <w:rFonts w:ascii="Times New Roman" w:hAnsi="Times New Roman"/>
          <w:b/>
          <w:sz w:val="20"/>
        </w:rPr>
        <w:t xml:space="preserve">) </w:t>
      </w:r>
      <w:r>
        <w:rPr>
          <w:rFonts w:ascii="Times New Roman" w:hAnsi="Times New Roman"/>
          <w:sz w:val="20"/>
        </w:rPr>
        <w:t>shall be paid for entirely by Tenant, and Landlord shall not provide any reimbursement therefor. Tenant shall have no right to, and Landlord shall have no obligation to fund, any Tenant Improvement Allowance not properly requisitioned by Tenant on or before the one (1) year anniversary of the First Floor Premises Rent Commencement Date (the “</w:t>
      </w:r>
      <w:r>
        <w:rPr>
          <w:rFonts w:ascii="Times New Roman" w:hAnsi="Times New Roman"/>
          <w:b/>
          <w:sz w:val="20"/>
        </w:rPr>
        <w:t>Allowance Deadline</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default of Tenant under this Lease has occurred and is continuing beyond any applicable notice and cure period (in which event the Tenant Improvement Allowance shall not be paid until after Tenant cures such default), the Tenant Improvement Allowance shall be disbursed in two (2) disbursements within forty-five (45) days following Tenant’s requisition. For each disbursement, Tenant shall submit to Landlord a requisition package which shall include (i) an itemization of the costs being requisitioned, (ii) a certificate by an officer of Tenant that all such costs are permitted Allowance Costs and have been incurred by and paid for by Tenant in relation to the Initial Alterations, (iii) appropriate back-up documentation for such costs including paid invoices and bills, (iv) if requested by Landlord, an executed estoppel statement in the form attached hereto as </w:t>
      </w:r>
      <w:r>
        <w:rPr>
          <w:rFonts w:ascii="Times New Roman" w:hAnsi="Times New Roman"/>
          <w:sz w:val="20"/>
          <w:u w:val="single"/>
        </w:rPr>
        <w:t>Exhibit 17</w:t>
      </w:r>
      <w:r>
        <w:rPr>
          <w:rFonts w:ascii="Times New Roman" w:hAnsi="Times New Roman"/>
          <w:sz w:val="20"/>
        </w:rPr>
        <w:t xml:space="preserve"> confirming such factual certifications and representations as to the Lease as Landlord may reasonably request, (v) to the extent applicable, a certificate of Tenant’s architect that the Initial Alterations work has been completed in accordance with the Tenant’s plans approved by Landlord, and (vii) lien releases from each Tenant contractor, design professionals and all subcontractors (in a form reasonably approved by Landlord). The second and final requisition package shall include all of the foregoing items as well as (i) a set of “as-built” plans if the Initial Alterations are of the type for which plans are customarily prepared, and (ii) an original certificate of occupancy or evidence of governmental inspection and approval of the Initial Alterations, if applicable thereto. Tenant shall have no right to, and Landlord shall have no obligation to fund, any Tenant Improvement Allowance not properly requisitioned by Tenant on or before the Allowance Deadline. </w:t>
      </w:r>
    </w:p>
    <w:p>
      <w:pPr>
        <w:pStyle w:val="TextBody"/>
        <w:bidi w:val="0"/>
        <w:spacing w:before="36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COVENANT AGAINST LEINS </w:t>
      </w:r>
    </w:p>
    <w:p>
      <w:pPr>
        <w:pStyle w:val="TextBody"/>
        <w:bidi w:val="0"/>
        <w:spacing w:before="120" w:after="0"/>
        <w:jc w:val="left"/>
        <w:rPr>
          <w:rFonts w:ascii="Times New Roman" w:hAnsi="Times New Roman"/>
          <w:sz w:val="20"/>
        </w:rPr>
      </w:pPr>
      <w:r>
        <w:rPr>
          <w:rFonts w:ascii="Times New Roman" w:hAnsi="Times New Roman"/>
          <w:sz w:val="20"/>
        </w:rPr>
        <w:t xml:space="preserve">Tenant shall keep the Project and Premises free from any liens or encumbrances arising out of the work performed, materials or services furnished or obligations incurred by or on behalf of Tenant, and shall protect, defend, indemnify and hold Landlord harmless from and against any claims, liabilities, judgements or costs (including, without limitation, reasonable attorneys’ fee and costs) arising out of same or in connection therewith. Tenant shall give Landlord notice at least twenty (20) days prior to commencement of any work, services or obligations related to the Premises giving rise to any such liens or encumbrances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statutory lien bond or otherwise within ten (10) business days after notice by Landlord, and if Tenant shall fail to do so, Landlord may pay the amount necessary to remove such lien or encumbrance, without being responsible for investigating the validity thereof. </w:t>
      </w:r>
    </w:p>
    <w:p>
      <w:pPr>
        <w:pStyle w:val="TextBody"/>
        <w:bidi w:val="0"/>
        <w:spacing w:before="36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INSURANCE </w:t>
      </w:r>
    </w:p>
    <w:p>
      <w:pPr>
        <w:pStyle w:val="TextBody"/>
        <w:bidi w:val="0"/>
        <w:spacing w:before="12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u w:val="single"/>
        </w:rPr>
        <w:t>Indemnification and Waiver</w:t>
      </w:r>
      <w:r>
        <w:rPr>
          <w:rFonts w:ascii="Times New Roman" w:hAnsi="Times New Roman"/>
          <w:sz w:val="20"/>
        </w:rPr>
        <w:t xml:space="preserve">. Subject to the provisions of </w:t>
      </w:r>
      <w:r>
        <w:rPr>
          <w:rFonts w:ascii="Times New Roman" w:hAnsi="Times New Roman"/>
          <w:sz w:val="20"/>
          <w:u w:val="single"/>
        </w:rPr>
        <w:t>Section 10.5</w:t>
      </w:r>
      <w:r>
        <w:rPr>
          <w:rFonts w:ascii="Times New Roman" w:hAnsi="Times New Roman"/>
          <w:sz w:val="20"/>
        </w:rPr>
        <w:t>, to the maximum extent permitted pursuant to Applicable Laws, Tenant hereby assumes all risk of damage to property or injury to persons in, upon or about the Premises from any cause whatsoever (including, but not limited to, any personal injuries resulting from a slip and fall in, upon or about the Premises) and agrees that, to the extent permitted pursuant to Applicable Laws, Landlord, its lenders, partners, subpartners, and their respective officers, agents, servants, employees, and independent contractors (collectively, “</w:t>
      </w:r>
      <w:r>
        <w:rPr>
          <w:rFonts w:ascii="Times New Roman" w:hAnsi="Times New Roman"/>
          <w:b/>
          <w:sz w:val="20"/>
        </w:rPr>
        <w:t>Landlord Parties</w:t>
      </w:r>
      <w:r>
        <w:rPr>
          <w:rFonts w:ascii="Times New Roman" w:hAnsi="Times New Roman"/>
          <w:sz w:val="20"/>
        </w:rPr>
        <w:t>”) shall not be liable for, and are hereby release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loss, cost, damage, injury, expense and liability (including without limitation court costs and reasonable attorneys’ fees) (collectively, “</w:t>
      </w:r>
      <w:r>
        <w:rPr>
          <w:rFonts w:ascii="Times New Roman" w:hAnsi="Times New Roman"/>
          <w:b/>
          <w:sz w:val="20"/>
        </w:rPr>
        <w:t>Claims</w:t>
      </w:r>
      <w:r>
        <w:rPr>
          <w:rFonts w:ascii="Times New Roman" w:hAnsi="Times New Roman"/>
          <w:sz w:val="20"/>
        </w:rPr>
        <w:t xml:space="preserve">”) during the Lease Term, or any period of Tenant’s occupancy of the Premises prior to the commencement or after the expiration of the Lease Term, incurred in connection with or arising from any cause in, on or about the Premises (including, but not limited to, a slip and fall, any acts, omissions, or negligence of Tenant or of any person claiming by, through or under Tenant, or of the contractors, agents, servants, employees, invitees, guests or licensees of Tenant or any such person, in, on or about the Project (including without limitation on account of Tenant’s use of the Special Systems) or any breach of the terms of this Lease, either prior to, during, or after the expiration of the Lease Term, provided that the terms of the foregoing indemnity shall not apply any Claims arising from negligence or willful misconduct of Landlord or any other Landlord Parties. The provisions of this </w:t>
      </w:r>
      <w:r>
        <w:rPr>
          <w:rFonts w:ascii="Times New Roman" w:hAnsi="Times New Roman"/>
          <w:sz w:val="20"/>
          <w:u w:val="single"/>
        </w:rPr>
        <w:t>Section 10.1</w:t>
      </w:r>
      <w:r>
        <w:rPr>
          <w:rFonts w:ascii="Times New Roman" w:hAnsi="Times New Roman"/>
          <w:sz w:val="20"/>
        </w:rPr>
        <w:t xml:space="preserve"> shall survive the expiration or sooner termination of this Lease with respect to any claims or liability arising in connection with any event occurring prior to such expiration or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u w:val="single"/>
        </w:rPr>
        <w:t>Tenant</w:t>
      </w:r>
      <w:r>
        <w:rPr>
          <w:rFonts w:ascii="Times New Roman" w:hAnsi="Times New Roman"/>
          <w:sz w:val="20"/>
          <w:u w:val="single"/>
        </w:rPr>
        <w:t>’</w:t>
      </w:r>
      <w:r>
        <w:rPr>
          <w:rFonts w:ascii="Times New Roman" w:hAnsi="Times New Roman"/>
          <w:b/>
          <w:sz w:val="20"/>
          <w:u w:val="single"/>
        </w:rPr>
        <w:t>s Compliance With Landlord</w:t>
      </w:r>
      <w:r>
        <w:rPr>
          <w:rFonts w:ascii="Times New Roman" w:hAnsi="Times New Roman"/>
          <w:sz w:val="20"/>
          <w:u w:val="single"/>
        </w:rPr>
        <w:t>’</w:t>
      </w:r>
      <w:r>
        <w:rPr>
          <w:rFonts w:ascii="Times New Roman" w:hAnsi="Times New Roman"/>
          <w:b/>
          <w:sz w:val="20"/>
          <w:u w:val="single"/>
        </w:rPr>
        <w:t>s</w:t>
      </w:r>
      <w:r>
        <w:rPr>
          <w:rFonts w:ascii="Times New Roman" w:hAnsi="Times New Roman"/>
          <w:sz w:val="20"/>
          <w:u w:val="single"/>
        </w:rPr>
        <w:t xml:space="preserve"> </w:t>
      </w:r>
      <w:r>
        <w:rPr>
          <w:rFonts w:ascii="Times New Roman" w:hAnsi="Times New Roman"/>
          <w:b/>
          <w:sz w:val="20"/>
          <w:u w:val="single"/>
        </w:rPr>
        <w:t>Property Insurance</w:t>
      </w:r>
      <w:r>
        <w:rPr>
          <w:rFonts w:ascii="Times New Roman" w:hAnsi="Times New Roman"/>
          <w:b/>
          <w:sz w:val="20"/>
        </w:rPr>
        <w:t xml:space="preserve">. </w:t>
      </w:r>
      <w:r>
        <w:rPr>
          <w:rFonts w:ascii="Times New Roman" w:hAnsi="Times New Roman"/>
          <w:sz w:val="20"/>
        </w:rPr>
        <w:t xml:space="preserve">Tenant shall, at Tenant’s expense, comply with all insurance company requirements pertaining to the use of the Premises. If Tenant’s conduct or use of the Premises for any purpose other than customary, general office and laboratory use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u w:val="single"/>
        </w:rPr>
        <w:t>Tenant</w:t>
      </w:r>
      <w:r>
        <w:rPr>
          <w:rFonts w:ascii="Times New Roman" w:hAnsi="Times New Roman"/>
          <w:sz w:val="20"/>
          <w:u w:val="single"/>
        </w:rPr>
        <w:t>’</w:t>
      </w:r>
      <w:r>
        <w:rPr>
          <w:rFonts w:ascii="Times New Roman" w:hAnsi="Times New Roman"/>
          <w:b/>
          <w:sz w:val="20"/>
          <w:u w:val="single"/>
        </w:rPr>
        <w:t>s Insurance</w:t>
      </w:r>
      <w:r>
        <w:rPr>
          <w:rFonts w:ascii="Times New Roman" w:hAnsi="Times New Roman"/>
          <w:b/>
          <w:sz w:val="20"/>
        </w:rPr>
        <w:t xml:space="preserve">. </w:t>
      </w:r>
      <w:r>
        <w:rPr>
          <w:rFonts w:ascii="Times New Roman" w:hAnsi="Times New Roman"/>
          <w:sz w:val="20"/>
        </w:rPr>
        <w:t xml:space="preserve">Tenant shall maintain the following coverages in the following amounts. </w:t>
      </w:r>
    </w:p>
    <w:p>
      <w:pPr>
        <w:pStyle w:val="TextBody"/>
        <w:bidi w:val="0"/>
        <w:spacing w:before="240" w:after="0"/>
        <w:jc w:val="left"/>
        <w:rPr>
          <w:rFonts w:ascii="Times New Roman" w:hAnsi="Times New Roman"/>
          <w:sz w:val="20"/>
        </w:rPr>
      </w:pPr>
      <w:r>
        <w:rPr>
          <w:rFonts w:ascii="Times New Roman" w:hAnsi="Times New Roman"/>
          <w:sz w:val="20"/>
        </w:rPr>
        <w:t xml:space="preserve">10.3.1 Commercial General Liability Insurance on an occurrence form covering the insured against claims of bodily injury, personal injury and property damage (including loss of use thereof) arising out of Tenant’s operations, products/completed operations, and contractual liability including a Broad Form endorsement covering the insuring provisions of this Lease and the performance by Tenant of the indemnity agreements set forth in </w:t>
      </w:r>
      <w:r>
        <w:rPr>
          <w:rFonts w:ascii="Times New Roman" w:hAnsi="Times New Roman"/>
          <w:sz w:val="20"/>
          <w:u w:val="single"/>
        </w:rPr>
        <w:t>Section 10.1</w:t>
      </w:r>
      <w:r>
        <w:rPr>
          <w:rFonts w:ascii="Times New Roman" w:hAnsi="Times New Roman"/>
          <w:sz w:val="20"/>
        </w:rPr>
        <w:t xml:space="preserve"> of this Lease, and including, solely on a claims-made basis, products and completed operations coverage, for limits of liability of not less than: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39"/>
        <w:gridCol w:w="207"/>
        <w:gridCol w:w="3193"/>
      </w:tblGrid>
      <w:tr>
        <w:trPr/>
        <w:tc>
          <w:tcPr>
            <w:tcW w:w="353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Bodily Injury and</w:t>
            </w:r>
          </w:p>
          <w:p>
            <w:pPr>
              <w:pStyle w:val="TableContents"/>
              <w:bidi w:val="0"/>
              <w:spacing w:before="0" w:after="20"/>
              <w:jc w:val="left"/>
              <w:rPr>
                <w:rFonts w:ascii="Times New Roman" w:hAnsi="Times New Roman"/>
                <w:sz w:val="20"/>
              </w:rPr>
            </w:pPr>
            <w:r>
              <w:rPr>
                <w:rFonts w:ascii="Times New Roman" w:hAnsi="Times New Roman"/>
                <w:sz w:val="20"/>
              </w:rPr>
              <w:t>Property Damage Liability</w:t>
            </w:r>
          </w:p>
        </w:tc>
        <w:tc>
          <w:tcPr>
            <w:tcW w:w="207"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$5,000,000 each occurrence</w:t>
            </w:r>
          </w:p>
          <w:p>
            <w:pPr>
              <w:pStyle w:val="TableContents"/>
              <w:bidi w:val="0"/>
              <w:spacing w:before="0" w:after="20"/>
              <w:jc w:val="left"/>
              <w:rPr>
                <w:rFonts w:ascii="Times New Roman" w:hAnsi="Times New Roman"/>
                <w:sz w:val="20"/>
              </w:rPr>
            </w:pPr>
            <w:r>
              <w:rPr>
                <w:rFonts w:ascii="Times New Roman" w:hAnsi="Times New Roman"/>
                <w:sz w:val="20"/>
              </w:rPr>
              <w:t>$5,000,000 annual aggregate</w:t>
            </w:r>
          </w:p>
        </w:tc>
      </w:tr>
      <w:tr>
        <w:trPr>
          <w:trHeight w:val="240" w:hRule="atLeast"/>
        </w:trPr>
        <w:tc>
          <w:tcPr>
            <w:tcW w:w="3539"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Times New Roman" w:hAnsi="Times New Roman"/>
                <w:sz w:val="20"/>
              </w:rPr>
            </w:pPr>
            <w:r>
              <w:rPr>
                <w:rFonts w:ascii="Times New Roman" w:hAnsi="Times New Roman"/>
                <w:sz w:val="20"/>
              </w:rPr>
              <w:t>Personal Injury Liability</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$5,000,000 each occurrence</w:t>
            </w:r>
          </w:p>
          <w:p>
            <w:pPr>
              <w:pStyle w:val="TableContents"/>
              <w:bidi w:val="0"/>
              <w:spacing w:before="0" w:after="0"/>
              <w:jc w:val="left"/>
              <w:rPr>
                <w:rFonts w:ascii="Times New Roman" w:hAnsi="Times New Roman"/>
                <w:sz w:val="20"/>
              </w:rPr>
            </w:pPr>
            <w:r>
              <w:rPr>
                <w:rFonts w:ascii="Times New Roman" w:hAnsi="Times New Roman"/>
                <w:sz w:val="20"/>
              </w:rPr>
              <w:t>$5,000,000 annual aggregate</w:t>
            </w:r>
          </w:p>
          <w:p>
            <w:pPr>
              <w:pStyle w:val="TableContents"/>
              <w:bidi w:val="0"/>
              <w:spacing w:before="0" w:after="20"/>
              <w:jc w:val="left"/>
              <w:rPr>
                <w:rFonts w:ascii="Times New Roman" w:hAnsi="Times New Roman"/>
                <w:sz w:val="20"/>
              </w:rPr>
            </w:pPr>
            <w:r>
              <w:rPr>
                <w:rFonts w:ascii="Times New Roman" w:hAnsi="Times New Roman"/>
                <w:sz w:val="20"/>
              </w:rPr>
              <w:t>0% Insured’s participation</w:t>
            </w:r>
          </w:p>
        </w:tc>
      </w:tr>
    </w:tbl>
    <w:p>
      <w:pPr>
        <w:pStyle w:val="TextBody"/>
        <w:bidi w:val="0"/>
        <w:spacing w:before="240" w:after="0"/>
        <w:jc w:val="left"/>
        <w:rPr>
          <w:rFonts w:ascii="Times New Roman" w:hAnsi="Times New Roman"/>
          <w:sz w:val="20"/>
        </w:rPr>
      </w:pPr>
      <w:r>
        <w:rPr>
          <w:rFonts w:ascii="Times New Roman" w:hAnsi="Times New Roman"/>
          <w:sz w:val="20"/>
        </w:rPr>
        <w:t>10.3.2 Property Insurance covering equipment, free-standing cabinet work, movable partitions, merchandise and all other items of Tenant’s property on the Premises installed by, for, or at the expense of Tenant, and (ii) any Alterations and tenant improvements. Such insurance shall be written on an “</w:t>
      </w:r>
      <w:r>
        <w:rPr>
          <w:rFonts w:ascii="Times New Roman" w:hAnsi="Times New Roman"/>
          <w:b/>
          <w:sz w:val="20"/>
        </w:rPr>
        <w:t xml:space="preserve">all risks” </w:t>
      </w:r>
      <w:r>
        <w:rPr>
          <w:rFonts w:ascii="Times New Roman" w:hAnsi="Times New Roman"/>
          <w:sz w:val="20"/>
        </w:rPr>
        <w:t xml:space="preserve">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 </w:t>
      </w:r>
    </w:p>
    <w:p>
      <w:pPr>
        <w:pStyle w:val="TextBody"/>
        <w:bidi w:val="0"/>
        <w:spacing w:before="240" w:after="0"/>
        <w:jc w:val="left"/>
        <w:rPr>
          <w:rFonts w:ascii="Times New Roman" w:hAnsi="Times New Roman"/>
          <w:sz w:val="20"/>
        </w:rPr>
      </w:pPr>
      <w:r>
        <w:rPr>
          <w:rFonts w:ascii="Times New Roman" w:hAnsi="Times New Roman"/>
          <w:sz w:val="20"/>
        </w:rPr>
        <w:t xml:space="preserve">10.3.3 Business Income Interruption for one (1) year plus Extra Expense insurance in such amounts as will reimburse Tenant for actual direct or indirect loss of earnings and continuing expenses, including rent, attributable to the risks outlined in </w:t>
      </w:r>
      <w:r>
        <w:rPr>
          <w:rFonts w:ascii="Times New Roman" w:hAnsi="Times New Roman"/>
          <w:sz w:val="20"/>
          <w:u w:val="single"/>
        </w:rPr>
        <w:t>Section 10.3.2</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10.3.4 Worker’s Compensation and Employer’s Liability or other similar insurance pursuant to all applicable state and local statutes and regulations. The policy will include a waiver of subrogation in favor of the Landlord Parties.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u w:val="single"/>
        </w:rPr>
        <w:t>Form of Policies</w:t>
      </w:r>
      <w:r>
        <w:rPr>
          <w:rFonts w:ascii="Times New Roman" w:hAnsi="Times New Roman"/>
          <w:sz w:val="20"/>
        </w:rPr>
        <w:t xml:space="preserve">. The minimum limits of policies of insurance required of Tenant under this Lease shall in no event limit the liability of Tenant under this Lease. Landlord, its subsidiaries and affiliates and any other party the Landlord so specifies, including Landlord’s managing agent, if any, shall be named as an additional insured under the policies listed in Sections 10.3.1, 10.3.2 and 10.3.3. All insurance policies required to be maintained by Tenant shall (i) be issued by an insurance company having a rating of not less than A: VIII in Best’s Insurance Guide or which is otherwise acceptable to Landlord and licensed to do business in The Commonwealth of Massachusetts; (ii) be primary insurance as to all claims thereunder and provide that any insurance carried by Landlord is excess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non-contributing with any insurance required of Tenant; (iii) be in form and content reasonably acceptable to Landlord (Tenant shall provide full and complete copies of any policies that Landlord reasonably requests); and (iv) provide that said insurer shall endeavor to provide written notice to Landlord and any mortgagee of Landlord, to the extent such names are furnished to Tenant prior to the cancellation of such policy. Tenant shall deliver said policy or policies or certificates thereof to Landlord on or before the earlier to occur of (A) the Fourth Floor Premises Commencement Date, and (B) the date upon which Tenant is first provided access to the Premises, and at least ten (10) days before the expiration dates thereof. In the event Tenant shall fail to procure such insurance, or to deliver such policies or certificate within ten (10) days after written notice from Landlord, Landlord may, at its option, procure such policies for the account of Tenant, and the cost thereof shall be paid to Landlord within five (5) days after delivery to Tenant of bills therefor.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u w:val="single"/>
        </w:rPr>
        <w:t>Subrogation</w:t>
      </w:r>
      <w:r>
        <w:rPr>
          <w:rFonts w:ascii="Times New Roman" w:hAnsi="Times New Roman"/>
          <w:sz w:val="20"/>
        </w:rPr>
        <w:t xml:space="preserve">.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of the insured to recover thereunder. The parties agree that their respective insurance policies specify now, or shall specify, that the waiver of subrogation shall not affect the right of the insured to recover thereunder.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u w:val="single"/>
        </w:rPr>
        <w:t>Additional Insurance Obligations</w:t>
      </w:r>
      <w:r>
        <w:rPr>
          <w:rFonts w:ascii="Times New Roman" w:hAnsi="Times New Roman"/>
          <w:b/>
          <w:sz w:val="20"/>
        </w:rPr>
        <w:t xml:space="preserve">. </w:t>
      </w:r>
      <w:r>
        <w:rPr>
          <w:rFonts w:ascii="Times New Roman" w:hAnsi="Times New Roman"/>
          <w:sz w:val="20"/>
        </w:rPr>
        <w:t xml:space="preserve">Tenant shall carry and maintain during the entire Lease Term, at Tenant’s sole cost and expense, increased amounts of insurance and such additional coverages as Landlord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Insurance</w:t>
      </w:r>
      <w:r>
        <w:rPr>
          <w:rFonts w:ascii="Times New Roman" w:hAnsi="Times New Roman"/>
          <w:b/>
          <w:sz w:val="20"/>
        </w:rPr>
        <w:t xml:space="preserve">. </w:t>
      </w:r>
      <w:r>
        <w:rPr>
          <w:rFonts w:ascii="Times New Roman" w:hAnsi="Times New Roman"/>
          <w:sz w:val="20"/>
        </w:rPr>
        <w:t xml:space="preserve">Landlord shall maintain: (a) all risk property insurance covering the portions of the Building that Landlord is obligated to maintain pursuant to </w:t>
      </w:r>
      <w:r>
        <w:rPr>
          <w:rFonts w:ascii="Times New Roman" w:hAnsi="Times New Roman"/>
          <w:sz w:val="20"/>
          <w:u w:val="single"/>
        </w:rPr>
        <w:t>Article 7</w:t>
      </w:r>
      <w:r>
        <w:rPr>
          <w:rFonts w:ascii="Times New Roman" w:hAnsi="Times New Roman"/>
          <w:sz w:val="20"/>
        </w:rPr>
        <w:t xml:space="preserve"> and any Common Areas, excluding any Alterations and tenant improvements (such insurance shall be on a replacement cost basis without any coinsurance provision and shall include business interruption coverage); and (b) general liability insurance in an amount not less than $5,000,000 per occurrence including contractual coverage. In addition, Landlord may choose to provide other types of insurance covering the building and its operations. The cost of Landlord’s insurance shall be included in Operating Expenses. </w:t>
      </w:r>
    </w:p>
    <w:p>
      <w:pPr>
        <w:pStyle w:val="TextBody"/>
        <w:bidi w:val="0"/>
        <w:spacing w:before="36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DAMAGE AND DESTRUCTION </w:t>
      </w:r>
    </w:p>
    <w:p>
      <w:pPr>
        <w:pStyle w:val="TextBody"/>
        <w:bidi w:val="0"/>
        <w:spacing w:before="12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u w:val="single"/>
        </w:rPr>
        <w:t>Repair of Damage to Premise by Landlord</w:t>
      </w:r>
      <w:r>
        <w:rPr>
          <w:rFonts w:ascii="Times New Roman" w:hAnsi="Times New Roman"/>
          <w:sz w:val="20"/>
        </w:rPr>
        <w:t xml:space="preserve">. Tenant shall promptly notify Landlord of any damage to the Premises resulting from fire or any other casualty. If the Building,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hAnsi="Times New Roman"/>
          <w:sz w:val="20"/>
          <w:u w:val="single"/>
        </w:rPr>
        <w:t>Article 11</w:t>
      </w:r>
      <w:r>
        <w:rPr>
          <w:rFonts w:ascii="Times New Roman" w:hAnsi="Times New Roman"/>
          <w:sz w:val="20"/>
        </w:rPr>
        <w:t>, restore such Common Areas and the Premises and the Building to substantially the same condition as existed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Upon the occurrence of any damage to the Premises, upon notice (the “</w:t>
      </w:r>
      <w:r>
        <w:rPr>
          <w:rFonts w:ascii="Times New Roman" w:hAnsi="Times New Roman"/>
          <w:b/>
          <w:sz w:val="20"/>
        </w:rPr>
        <w:t>Landlord Repair Notice</w:t>
      </w:r>
      <w:r>
        <w:rPr>
          <w:rFonts w:ascii="Times New Roman" w:hAnsi="Times New Roman"/>
          <w:sz w:val="20"/>
        </w:rPr>
        <w:t xml:space="preserve">”) to Tenant from Landlord, Tenant shall assign to Landlord (or to any party designated by Landlord) all insurance proceeds payable to Tenant under Tenant’s insurance required under </w:t>
      </w:r>
      <w:r>
        <w:rPr>
          <w:rFonts w:ascii="Times New Roman" w:hAnsi="Times New Roman"/>
          <w:sz w:val="20"/>
          <w:u w:val="single"/>
        </w:rPr>
        <w:t>Section 10.3.2(ii)</w:t>
      </w:r>
      <w:r>
        <w:rPr>
          <w:rFonts w:ascii="Times New Roman" w:hAnsi="Times New Roman"/>
          <w:sz w:val="20"/>
        </w:rPr>
        <w:t xml:space="preserve"> of this Lease and Landlord’s obligation to restore any Alterations or other tenant improvements shall be limited to the extent of such proceeds (including by taking into account any deductible or self-insured retention carried by Tenant and paid to Landlord) received by Landlord. Tenant shall in addition cooperate with requests for information regarding any repairs from Landlord’s insurer(s) by providing the requested information within ten (10) business days after Tenant receives the request. To the extent permitted pursuant to Applicable Laws,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 are unfit for occupancy, the Rent shall be abated in proportion to the ratio that the amount of rentable square feet of the Premises which is unfit for occupancy for the Permitted Use under this Lease bears to the total rentable square feet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Option to Repair</w:t>
      </w:r>
      <w:r>
        <w:rPr>
          <w:rFonts w:ascii="Times New Roman" w:hAnsi="Times New Roman"/>
          <w:sz w:val="20"/>
        </w:rPr>
        <w:t xml:space="preserve">. Notwithstanding the terms of </w:t>
      </w:r>
      <w:r>
        <w:rPr>
          <w:rFonts w:ascii="Times New Roman" w:hAnsi="Times New Roman"/>
          <w:sz w:val="20"/>
          <w:u w:val="single"/>
        </w:rPr>
        <w:t>Section 11.1</w:t>
      </w:r>
      <w:r>
        <w:rPr>
          <w:rFonts w:ascii="Times New Roman" w:hAnsi="Times New Roman"/>
          <w:sz w:val="20"/>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at least Twenty-Five Thousand and 00/100 Dollars ($25,000.00) of damage is not fully covered by Landlord’s insurance policies and Landlord terminates all leases of Building tenants whose premises or material appurtenances (such as access) are affected by such casualty;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365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w:t>
      </w:r>
      <w:r>
        <w:rPr>
          <w:rFonts w:ascii="Times New Roman" w:hAnsi="Times New Roman"/>
          <w:sz w:val="20"/>
          <w:u w:val="single"/>
        </w:rPr>
        <w:t>Section 11.2</w:t>
      </w:r>
      <w:r>
        <w:rPr>
          <w:rFonts w:ascii="Times New Roman" w:hAnsi="Times New Roman"/>
          <w:sz w:val="20"/>
        </w:rPr>
        <w:t xml:space="preserve">, Tenant shall have the right to terminate this Lease under this </w:t>
      </w:r>
      <w:r>
        <w:rPr>
          <w:rFonts w:ascii="Times New Roman" w:hAnsi="Times New Roman"/>
          <w:sz w:val="20"/>
          <w:u w:val="single"/>
        </w:rPr>
        <w:t>Section 11.2</w:t>
      </w:r>
      <w:r>
        <w:rPr>
          <w:rFonts w:ascii="Times New Roman" w:hAnsi="Times New Roman"/>
          <w:sz w:val="20"/>
        </w:rPr>
        <w:t xml:space="preserve"> only if each of the following conditions is satisfied: (a) the damage to the Project by fire or other casualty was not caused by the gross negligence or intentional act of Tenant or any Tenant Party; (b) as a result of the damage, Tenant cannot reasonably conduct business from the Premises; and, (c) as a result of the damage to the Project, Tenant does not occupy or use 50% or more of the Premises. In addition, Tenant may terminate this Lease if the damage to the Premises occurs during the last twelve (12) months of the Lease Term, and, as a result of such damage, (a) Tenant cannot reasonably conduct business from the Premises for a period of more than one-half (1/2) of the then remaining term, or (b) the Premises is not fully restored within one hundred eighty (180) days after such casualty or fire (provided that if such restoration is completed within the thirty (30) day period following Tenant’s termination notice to Landlord, Tenant’s termination notice shall be null and void and this Lease shall continue through the Expiration Date). In no event shall Landlord have any obligation to undertake restoration on account of any casualty except to the extent of the insurance proceeds actually received by Landlord. </w:t>
      </w:r>
    </w:p>
    <w:p>
      <w:pPr>
        <w:pStyle w:val="TextBody"/>
        <w:bidi w:val="0"/>
        <w:spacing w:before="36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NONWAIVER </w:t>
      </w:r>
    </w:p>
    <w:p>
      <w:pPr>
        <w:pStyle w:val="TextBody"/>
        <w:bidi w:val="0"/>
        <w:spacing w:before="120" w:after="0"/>
        <w:jc w:val="left"/>
        <w:rPr>
          <w:rFonts w:ascii="Times New Roman" w:hAnsi="Times New Roman"/>
          <w:sz w:val="20"/>
        </w:rPr>
      </w:pPr>
      <w:r>
        <w:rPr>
          <w:rFonts w:ascii="Times New Roman" w:hAnsi="Times New Roman"/>
          <w:sz w:val="20"/>
        </w:rPr>
        <w:t xml:space="preserve">No provision of this Lease shall beseemed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CONDEMNATION </w:t>
      </w:r>
    </w:p>
    <w:p>
      <w:pPr>
        <w:pStyle w:val="TextBody"/>
        <w:bidi w:val="0"/>
        <w:spacing w:before="120" w:after="0"/>
        <w:jc w:val="left"/>
        <w:rPr>
          <w:rFonts w:ascii="Times New Roman" w:hAnsi="Times New Roman"/>
          <w:sz w:val="20"/>
        </w:rPr>
      </w:pPr>
      <w:r>
        <w:rPr>
          <w:rFonts w:ascii="Times New Roman" w:hAnsi="Times New Roman"/>
          <w:sz w:val="20"/>
        </w:rPr>
        <w:t xml:space="preserve">If the whole or any of the Premises, Building or Project shall be taken by power of eminent domain or condemned by any competent authority for any public or quasi-public use or purpose, or if all reasonable access to the Building is taken or condemned,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or all of Tenant’s reasonable access thereto shall be taken, and this Lease shall not be so terminated, the Rent shall be proportionately abated. Notwithstanding anything to the contrary contained in this </w:t>
      </w:r>
      <w:r>
        <w:rPr>
          <w:rFonts w:ascii="Times New Roman" w:hAnsi="Times New Roman"/>
          <w:sz w:val="20"/>
          <w:u w:val="single"/>
        </w:rPr>
        <w:t>Article 13</w:t>
      </w:r>
      <w:r>
        <w:rPr>
          <w:rFonts w:ascii="Times New Roman" w:hAnsi="Times New Roman"/>
          <w:sz w:val="20"/>
        </w:rPr>
        <w:t xml:space="preserve">, in the event of a temporary taking of all or any portion of the Premises for a period of one hundred and eighty (180) days or less, and provided that such temporary taking does not materially preclude or unreasonably diminish Tenant’s ability to conduct business from the Premises, then this Lease shall not terminate but the Base Rent and Tenant’s Share of Direct Expenses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provided, however, that Tenant shall be entitled to a share of the award for any loss of fixtures and improvements and for moving and other reasonable expenses that do not otherwise reduce Landlord’s recovery. If this Lease does not terminate on account of any such eminent domain or condemnation proceeding, then Landlord shall, to the extent practicable, restore the affected area of the Premises, Building or Project. In no event shall Landlord have any obligation to undertake restoration on account of any condemnation or eminent domain proceeding except to the extent of the award actually received by Landlord.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at least 25% of the Premises shall be subject to condemnation or a taking and the remainder, even after restoration, would not be reasonably suitable for Tenant^ u^, then this Lease may be terminated at the election of Tenant, which election shall be made by giving of notice by Tenant to Landlord within thirty (30) days after the date of the condemnation or taking. </w:t>
      </w:r>
    </w:p>
    <w:p>
      <w:pPr>
        <w:pStyle w:val="TextBody"/>
        <w:bidi w:val="0"/>
        <w:spacing w:before="36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ASSIGNMENT AND SUBLETTING </w:t>
      </w:r>
    </w:p>
    <w:p>
      <w:pPr>
        <w:pStyle w:val="TextBody"/>
        <w:bidi w:val="0"/>
        <w:spacing w:before="120" w:after="0"/>
        <w:jc w:val="left"/>
        <w:rPr>
          <w:rFonts w:ascii="Times New Roman" w:hAnsi="Times New Roman"/>
          <w:sz w:val="20"/>
        </w:rPr>
      </w:pPr>
      <w:r>
        <w:rPr>
          <w:rFonts w:ascii="Times New Roman" w:hAnsi="Times New Roman"/>
          <w:sz w:val="20"/>
        </w:rPr>
        <w:t xml:space="preserve">14.1 </w:t>
      </w:r>
      <w:r>
        <w:rPr>
          <w:rFonts w:ascii="Times New Roman" w:hAnsi="Times New Roman"/>
          <w:b/>
          <w:sz w:val="20"/>
          <w:u w:val="single"/>
        </w:rPr>
        <w:t>Transfers</w:t>
      </w:r>
      <w:r>
        <w:rPr>
          <w:rFonts w:ascii="Times New Roman" w:hAnsi="Times New Roman"/>
          <w:b/>
          <w:sz w:val="20"/>
        </w:rPr>
        <w:t xml:space="preserve">. </w:t>
      </w:r>
      <w:r>
        <w:rPr>
          <w:rFonts w:ascii="Times New Roman" w:hAnsi="Times New Roman"/>
          <w:sz w:val="20"/>
        </w:rPr>
        <w:t>Tenant shall not, without the prior written consent of the Landlord, assign, mortgage, pledge, hypothecate, encumber, or permit any lien to attach to, or otherwise transfer, this Lease or any interests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 other than Tenant and its employees and contractors (all of the foregoing are hereinafter sometimes referred to collectively as “</w:t>
      </w:r>
      <w:r>
        <w:rPr>
          <w:rFonts w:ascii="Times New Roman" w:hAnsi="Times New Roman"/>
          <w:b/>
          <w:sz w:val="20"/>
        </w:rPr>
        <w:t>Transfers</w:t>
      </w:r>
      <w:r>
        <w:rPr>
          <w:rFonts w:ascii="Times New Roman" w:hAnsi="Times New Roman"/>
          <w:sz w:val="20"/>
        </w:rPr>
        <w:t>” and any person to whom any Transfer is made or sought to be made is hereinafter sometimes referred to as a “</w:t>
      </w:r>
      <w:r>
        <w:rPr>
          <w:rFonts w:ascii="Times New Roman" w:hAnsi="Times New Roman"/>
          <w:b/>
          <w:sz w:val="20"/>
        </w:rPr>
        <w:t>Transferee</w:t>
      </w:r>
      <w:r>
        <w:rPr>
          <w:rFonts w:ascii="Times New Roman" w:hAnsi="Times New Roman"/>
          <w:sz w:val="20"/>
        </w:rPr>
        <w:t>”). If Tenant desires Landlord’s consent to any Transfer, Tenant shall notify Landlord in writing, which notice (the “</w:t>
      </w:r>
      <w:r>
        <w:rPr>
          <w:rFonts w:ascii="Times New Roman" w:hAnsi="Times New Roman"/>
          <w:b/>
          <w:sz w:val="20"/>
        </w:rPr>
        <w:t>Transfer Notice</w:t>
      </w:r>
      <w:r>
        <w:rPr>
          <w:rFonts w:ascii="Times New Roman" w:hAnsi="Times New Roman"/>
          <w:sz w:val="20"/>
        </w:rPr>
        <w:t>”) shall include (i) the proposed effective date of the Transfer, which shall not be less than twenty (20) days nor more than one hundred eighty (180) days after the date of delivery of the Transfer Notice, (ii) a description of the portion of the Premises to be transferred (the “</w:t>
      </w:r>
      <w:r>
        <w:rPr>
          <w:rFonts w:ascii="Times New Roman" w:hAnsi="Times New Roman"/>
          <w:b/>
          <w:sz w:val="20"/>
        </w:rPr>
        <w:t>Subject Space</w:t>
      </w:r>
      <w:r>
        <w:rPr>
          <w:rFonts w:ascii="Times New Roman" w:hAnsi="Times New Roman"/>
          <w:sz w:val="20"/>
        </w:rPr>
        <w:t>”</w:t>
      </w:r>
      <w:r>
        <w:rPr>
          <w:rFonts w:ascii="Times New Roman" w:hAnsi="Times New Roman"/>
          <w:b/>
          <w:sz w:val="20"/>
        </w:rPr>
        <w:t xml:space="preserve">), </w:t>
      </w:r>
      <w:r>
        <w:rPr>
          <w:rFonts w:ascii="Times New Roman" w:hAnsi="Times New Roman"/>
          <w:sz w:val="20"/>
        </w:rPr>
        <w:t>(iii) all of the terms of the proposed Transfer and the consideration therefor, including calculation of the “</w:t>
      </w:r>
      <w:r>
        <w:rPr>
          <w:rFonts w:ascii="Times New Roman" w:hAnsi="Times New Roman"/>
          <w:b/>
          <w:sz w:val="20"/>
        </w:rPr>
        <w:t>Transfer Premium</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as that term is defined in </w:t>
      </w:r>
      <w:r>
        <w:rPr>
          <w:rFonts w:ascii="Times New Roman" w:hAnsi="Times New Roman"/>
          <w:sz w:val="20"/>
          <w:u w:val="single"/>
        </w:rPr>
        <w:t>Section 14,3</w:t>
      </w:r>
      <w:r>
        <w:rPr>
          <w:rFonts w:ascii="Times New Roman" w:hAnsi="Times New Roman"/>
          <w:sz w:val="20"/>
        </w:rPr>
        <w:t xml:space="preserve"> 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Except as expressly set forth in this </w:t>
      </w:r>
      <w:r>
        <w:rPr>
          <w:rFonts w:ascii="Times New Roman" w:hAnsi="Times New Roman"/>
          <w:sz w:val="20"/>
          <w:u w:val="single"/>
        </w:rPr>
        <w:t>Section 14.1</w:t>
      </w:r>
      <w:r>
        <w:rPr>
          <w:rFonts w:ascii="Times New Roman" w:hAnsi="Times New Roman"/>
          <w:sz w:val="20"/>
        </w:rPr>
        <w:t xml:space="preserv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actually incurred by Landlord, within thirty (30) days after written request by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14.2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Consent</w:t>
      </w:r>
      <w:r>
        <w:rPr>
          <w:rFonts w:ascii="Times New Roman" w:hAnsi="Times New Roman"/>
          <w:b/>
          <w:sz w:val="20"/>
        </w:rPr>
        <w:t xml:space="preserve">. </w:t>
      </w:r>
      <w:r>
        <w:rPr>
          <w:rFonts w:ascii="Times New Roman" w:hAnsi="Times New Roman"/>
          <w:sz w:val="20"/>
        </w:rPr>
        <w:t xml:space="preserve">Landlord shall not unreasonably withhold, condition or delay its consent to any proposed assignment of this Lease or sublet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assignment or sublet where one or more of the following apply: </w:t>
      </w:r>
    </w:p>
    <w:p>
      <w:pPr>
        <w:pStyle w:val="TextBody"/>
        <w:bidi w:val="0"/>
        <w:spacing w:before="240" w:after="0"/>
        <w:jc w:val="left"/>
        <w:rPr>
          <w:rFonts w:ascii="Times New Roman" w:hAnsi="Times New Roman"/>
          <w:sz w:val="20"/>
        </w:rPr>
      </w:pPr>
      <w:r>
        <w:rPr>
          <w:rFonts w:ascii="Times New Roman" w:hAnsi="Times New Roman"/>
          <w:sz w:val="20"/>
        </w:rPr>
        <w:t xml:space="preserve">14.2.1 The Transferee is of a character or reputation or engaged in a business which is not consistent with the quality of the Building or the Project; </w:t>
      </w:r>
    </w:p>
    <w:p>
      <w:pPr>
        <w:pStyle w:val="TextBody"/>
        <w:bidi w:val="0"/>
        <w:spacing w:before="240" w:after="0"/>
        <w:jc w:val="left"/>
        <w:rPr>
          <w:rFonts w:ascii="Times New Roman" w:hAnsi="Times New Roman"/>
          <w:sz w:val="20"/>
        </w:rPr>
      </w:pPr>
      <w:r>
        <w:rPr>
          <w:rFonts w:ascii="Times New Roman" w:hAnsi="Times New Roman"/>
          <w:sz w:val="20"/>
        </w:rPr>
        <w:t xml:space="preserve">14.2.2 The Transferee is either a governmental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 xml:space="preserve">14.2.3 The Transferee is not a party of reasonable financial worth and/or financial stability in light of the responsibilities to be undertaken in connection with the Transfer on the date consent is requested; </w:t>
      </w:r>
    </w:p>
    <w:p>
      <w:pPr>
        <w:pStyle w:val="TextBody"/>
        <w:bidi w:val="0"/>
        <w:spacing w:before="240" w:after="0"/>
        <w:jc w:val="left"/>
        <w:rPr>
          <w:rFonts w:ascii="Times New Roman" w:hAnsi="Times New Roman"/>
          <w:sz w:val="20"/>
        </w:rPr>
      </w:pPr>
      <w:r>
        <w:rPr>
          <w:rFonts w:ascii="Times New Roman" w:hAnsi="Times New Roman"/>
          <w:sz w:val="20"/>
        </w:rPr>
        <w:t xml:space="preserve">14.2.4 The proposed Transfer would cause a violation of another lease for space in the Project, or would give an occupant of the Project a right to cancel its lease; or </w:t>
      </w:r>
    </w:p>
    <w:p>
      <w:pPr>
        <w:pStyle w:val="TextBody"/>
        <w:bidi w:val="0"/>
        <w:spacing w:before="240" w:after="0"/>
        <w:jc w:val="left"/>
        <w:rPr>
          <w:rFonts w:ascii="Times New Roman" w:hAnsi="Times New Roman"/>
          <w:sz w:val="20"/>
        </w:rPr>
      </w:pPr>
      <w:r>
        <w:rPr>
          <w:rFonts w:ascii="Times New Roman" w:hAnsi="Times New Roman"/>
          <w:sz w:val="20"/>
        </w:rPr>
        <w:t xml:space="preserve">14.2.5 Either the proposed Transferee, or any person or entity which directly or indirectly, controls, is controlled by, or is under common control with, the proposed Transferee, is negotiating with Landlord or has negotiated with Landlord during the six (6) month period immediately preceding the date Landlord receives the Transfer Notice, to lease space in the Project </w:t>
      </w:r>
    </w:p>
    <w:p>
      <w:pPr>
        <w:pStyle w:val="TextBody"/>
        <w:bidi w:val="0"/>
        <w:spacing w:before="240" w:after="0"/>
        <w:jc w:val="left"/>
        <w:rPr>
          <w:rFonts w:ascii="Times New Roman" w:hAnsi="Times New Roman"/>
          <w:sz w:val="20"/>
        </w:rPr>
      </w:pPr>
      <w:r>
        <w:rPr>
          <w:rFonts w:ascii="Times New Roman" w:hAnsi="Times New Roman"/>
          <w:sz w:val="20"/>
        </w:rPr>
        <w:t>14.2.6 In Landlord’s reasonable determination, the sub-rent, additional rent or other amounts received or accrued by Tenant from subleasing, assigning or otherwise Transferring all or any portion of the Premises is based on the income or profits of any person, or the assignment or sublease could cause any portion of the amounts received by Landlord pursuant to this Lease to fail to qualify as “rents from real property” within the meaning of section 856(d) of the Internal Revenue Code of 1986, as amended (the “</w:t>
      </w:r>
      <w:r>
        <w:rPr>
          <w:rFonts w:ascii="Times New Roman" w:hAnsi="Times New Roman"/>
          <w:b/>
          <w:sz w:val="20"/>
        </w:rPr>
        <w:t>Code</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or any similar or successor provision thereto or which would cause any other income of Landlord to fail to qualify as income described in section 856(c)(2)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Landlord consents to any Transfer pursuant to the terms of this </w:t>
      </w:r>
      <w:r>
        <w:rPr>
          <w:rFonts w:ascii="Times New Roman" w:hAnsi="Times New Roman"/>
          <w:sz w:val="20"/>
          <w:u w:val="single"/>
        </w:rPr>
        <w:t>Section 14,2</w:t>
      </w:r>
      <w:r>
        <w:rPr>
          <w:rFonts w:ascii="Times New Roman" w:hAnsi="Times New Roman"/>
          <w:sz w:val="20"/>
        </w:rPr>
        <w:t xml:space="preserve"> (and does not exercise any recapture rights Landlord may have under </w:t>
      </w:r>
      <w:r>
        <w:rPr>
          <w:rFonts w:ascii="Times New Roman" w:hAnsi="Times New Roman"/>
          <w:sz w:val="20"/>
          <w:u w:val="single"/>
        </w:rPr>
        <w:t>Section 14.4</w:t>
      </w:r>
      <w:r>
        <w:rPr>
          <w:rFonts w:ascii="Times New Roman" w:hAnsi="Times New Roman"/>
          <w:sz w:val="20"/>
        </w:rPr>
        <w:t xml:space="preserve"> of this Lease), Tenant may within six (6) months after Landlord’s consent, but not later than the expiration of said six-month period, enter into such Transfer of the Premises or portion thereof, upon substantially the same terms and condition as are set forth in the Transfer Notice furnished by Tenant to Landlord pursuant to </w:t>
      </w:r>
      <w:r>
        <w:rPr>
          <w:rFonts w:ascii="Times New Roman" w:hAnsi="Times New Roman"/>
          <w:sz w:val="20"/>
          <w:u w:val="single"/>
        </w:rPr>
        <w:t>Section 14,1</w:t>
      </w:r>
      <w:r>
        <w:rPr>
          <w:rFonts w:ascii="Times New Roman" w:hAnsi="Times New Roman"/>
          <w:sz w:val="20"/>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Times New Roman" w:hAnsi="Times New Roman"/>
          <w:sz w:val="20"/>
          <w:u w:val="single"/>
        </w:rPr>
        <w:t>Section 14.2</w:t>
      </w:r>
      <w:r>
        <w:rPr>
          <w:rFonts w:ascii="Times New Roman" w:hAnsi="Times New Roman"/>
          <w:sz w:val="20"/>
        </w:rPr>
        <w:t xml:space="preserve">, Tenant shall again submit the Transfer to Landlord for its approval and other action under this </w:t>
      </w:r>
      <w:r>
        <w:rPr>
          <w:rFonts w:ascii="Times New Roman" w:hAnsi="Times New Roman"/>
          <w:sz w:val="20"/>
          <w:u w:val="single"/>
        </w:rPr>
        <w:t>Article 14</w:t>
      </w:r>
      <w:r>
        <w:rPr>
          <w:rFonts w:ascii="Times New Roman" w:hAnsi="Times New Roman"/>
          <w:sz w:val="20"/>
        </w:rPr>
        <w:t xml:space="preserve"> (including Landlord’s right of recapture, if any, under </w:t>
      </w:r>
      <w:r>
        <w:rPr>
          <w:rFonts w:ascii="Times New Roman" w:hAnsi="Times New Roman"/>
          <w:sz w:val="20"/>
          <w:u w:val="single"/>
        </w:rPr>
        <w:t>Section 14.4</w:t>
      </w:r>
      <w:r>
        <w:rPr>
          <w:rFonts w:ascii="Times New Roman" w:hAnsi="Times New Roman"/>
          <w:sz w:val="20"/>
        </w:rPr>
        <w:t xml:space="preserve"> of this Lease). Notwithstanding anything to the contrary in this Lease, if Tenant or any proposed Transferee claims that Landlord has withheld or delayed its consent in violation of this </w:t>
      </w:r>
      <w:r>
        <w:rPr>
          <w:rFonts w:ascii="Times New Roman" w:hAnsi="Times New Roman"/>
          <w:sz w:val="20"/>
          <w:u w:val="single"/>
        </w:rPr>
        <w:t>Section 14,2</w:t>
      </w:r>
      <w:r>
        <w:rPr>
          <w:rFonts w:ascii="Times New Roman" w:hAnsi="Times New Roman"/>
          <w:sz w:val="20"/>
        </w:rPr>
        <w:t xml:space="preserve"> or otherwise has breached its obligations under this </w:t>
      </w:r>
      <w:r>
        <w:rPr>
          <w:rFonts w:ascii="Times New Roman" w:hAnsi="Times New Roman"/>
          <w:sz w:val="20"/>
          <w:u w:val="single"/>
        </w:rPr>
        <w:t>Article 14</w:t>
      </w:r>
      <w:r>
        <w:rPr>
          <w:rFonts w:ascii="Times New Roman" w:hAnsi="Times New Roman"/>
          <w:sz w:val="20"/>
        </w:rPr>
        <w:t xml:space="preserve">,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b/>
          <w:sz w:val="20"/>
          <w:u w:val="single"/>
        </w:rPr>
        <w:t>Transfer Premium</w:t>
      </w:r>
      <w:r>
        <w:rPr>
          <w:rFonts w:ascii="Times New Roman" w:hAnsi="Times New Roman"/>
          <w:b/>
          <w:sz w:val="20"/>
        </w:rPr>
        <w:t xml:space="preserve">. </w:t>
      </w:r>
      <w:r>
        <w:rPr>
          <w:rFonts w:ascii="Times New Roman" w:hAnsi="Times New Roman"/>
          <w:sz w:val="20"/>
        </w:rPr>
        <w:t>If Landlord consents to a Transfer, as a condition thereto which the parties hereby agree is reasonable, Tenant shall pay to Landlord fifty percent (50%) of any “</w:t>
      </w:r>
      <w:r>
        <w:rPr>
          <w:rFonts w:ascii="Times New Roman" w:hAnsi="Times New Roman"/>
          <w:b/>
          <w:sz w:val="20"/>
        </w:rPr>
        <w:t>Transfer Premium,</w:t>
      </w:r>
      <w:r>
        <w:rPr>
          <w:rFonts w:ascii="Times New Roman" w:hAnsi="Times New Roman"/>
          <w:sz w:val="20"/>
        </w:rPr>
        <w:t>” as that term is defined in this S</w:t>
      </w:r>
      <w:r>
        <w:rPr>
          <w:rFonts w:ascii="Times New Roman" w:hAnsi="Times New Roman"/>
          <w:sz w:val="20"/>
          <w:u w:val="single"/>
        </w:rPr>
        <w:t>ection 14.3</w:t>
      </w:r>
      <w:r>
        <w:rPr>
          <w:rFonts w:ascii="Times New Roman" w:hAnsi="Times New Roman"/>
          <w:sz w:val="20"/>
        </w:rPr>
        <w:t>, received by Tenant from such Transferee. “</w:t>
      </w:r>
      <w:r>
        <w:rPr>
          <w:rFonts w:ascii="Times New Roman" w:hAnsi="Times New Roman"/>
          <w:b/>
          <w:sz w:val="20"/>
        </w:rPr>
        <w:t>Transfer Premium</w:t>
      </w:r>
      <w:r>
        <w:rPr>
          <w:rFonts w:ascii="Times New Roman" w:hAnsi="Times New Roman"/>
          <w:sz w:val="20"/>
        </w:rPr>
        <w:t xml:space="preserve">”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after deducting the reasonable third party expenses incurred by Tenant for (i) any design and construction costs incurred on account of changes, alterations and improvements to the Premises in connection with the Transfer, (ii) any free base rent and tenant improvement allowances reasonably provided to the Transferee in connection with the Transfer amortized on a straight-line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over the term of such Transfer, (iii) any brokerage commissions in connection with the Transfer, and (iv) legal fees reasonably incurred in connection with the Transfer (collectively, “</w:t>
      </w:r>
      <w:r>
        <w:rPr>
          <w:rFonts w:ascii="Times New Roman" w:hAnsi="Times New Roman"/>
          <w:b/>
          <w:sz w:val="20"/>
        </w:rPr>
        <w:t>Tenant</w:t>
      </w:r>
      <w:r>
        <w:rPr>
          <w:rFonts w:ascii="Times New Roman" w:hAnsi="Times New Roman"/>
          <w:sz w:val="20"/>
        </w:rPr>
        <w:t>’</w:t>
      </w:r>
      <w:r>
        <w:rPr>
          <w:rFonts w:ascii="Times New Roman" w:hAnsi="Times New Roman"/>
          <w:b/>
          <w:sz w:val="20"/>
        </w:rPr>
        <w:t>s Subleasing Costs</w:t>
      </w:r>
      <w:r>
        <w:rPr>
          <w:rFonts w:ascii="Times New Roman" w:hAnsi="Times New Roman"/>
          <w:sz w:val="20"/>
        </w:rPr>
        <w:t>”</w:t>
      </w:r>
      <w:r>
        <w:rPr>
          <w:rFonts w:ascii="Times New Roman" w:hAnsi="Times New Roman"/>
          <w:b/>
          <w:sz w:val="20"/>
        </w:rPr>
        <w:t xml:space="preserve">). </w:t>
      </w:r>
      <w:r>
        <w:rPr>
          <w:rFonts w:ascii="Times New Roman" w:hAnsi="Times New Roman"/>
          <w:sz w:val="20"/>
        </w:rPr>
        <w:t>“</w:t>
      </w:r>
      <w:r>
        <w:rPr>
          <w:rFonts w:ascii="Times New Roman" w:hAnsi="Times New Roman"/>
          <w:b/>
          <w:sz w:val="20"/>
        </w:rPr>
        <w:t>Transfer Premium</w:t>
      </w:r>
      <w:r>
        <w:rPr>
          <w:rFonts w:ascii="Times New Roman" w:hAnsi="Times New Roman"/>
          <w:sz w:val="20"/>
        </w:rPr>
        <w:t xml:space="preserve">” shall also include, but not be limited to, any lump sum payment, key money, bonus money or other cash consideration paid by Transferee to Tenant for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w:t>
      </w:r>
      <w:r>
        <w:rPr>
          <w:rFonts w:ascii="Times New Roman" w:hAnsi="Times New Roman"/>
          <w:sz w:val="20"/>
          <w:u w:val="single"/>
        </w:rPr>
        <w:t xml:space="preserve"> </w:t>
      </w:r>
      <w:r>
        <w:rPr>
          <w:rFonts w:ascii="Times New Roman" w:hAnsi="Times New Roman"/>
          <w:b/>
          <w:sz w:val="20"/>
          <w:u w:val="single"/>
        </w:rPr>
        <w:t>Option as to Subject Space</w:t>
      </w:r>
      <w:r>
        <w:rPr>
          <w:rFonts w:ascii="Times New Roman" w:hAnsi="Times New Roman"/>
          <w:sz w:val="20"/>
        </w:rPr>
        <w:t xml:space="preserve">. Notwithstanding anything to the contrary contained in this </w:t>
      </w:r>
      <w:r>
        <w:rPr>
          <w:rFonts w:ascii="Times New Roman" w:hAnsi="Times New Roman"/>
          <w:sz w:val="20"/>
          <w:u w:val="single"/>
        </w:rPr>
        <w:t>Article 14</w:t>
      </w:r>
      <w:r>
        <w:rPr>
          <w:rFonts w:ascii="Times New Roman" w:hAnsi="Times New Roman"/>
          <w:sz w:val="20"/>
        </w:rPr>
        <w:t>, in the event Tenant contemplates a Transfer which, together with all prior Transfers then remaining in effect, would cause seventy-five percent (75%) or more of the Premises to be Transferred for more than seventy-five percent (75%) of the then remaining Lease Term (assuming all sublease renewal or extension rights are exercised), Tenant shall give Landlord notice (the “</w:t>
      </w:r>
      <w:r>
        <w:rPr>
          <w:rFonts w:ascii="Times New Roman" w:hAnsi="Times New Roman"/>
          <w:b/>
          <w:sz w:val="20"/>
        </w:rPr>
        <w:t>Intention to Transfer Notice</w:t>
      </w:r>
      <w:r>
        <w:rPr>
          <w:rFonts w:ascii="Times New Roman" w:hAnsi="Times New Roman"/>
          <w:sz w:val="20"/>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Times New Roman" w:hAnsi="Times New Roman"/>
          <w:b/>
          <w:sz w:val="20"/>
        </w:rPr>
        <w:t>Contemplated Transfer Space</w:t>
      </w:r>
      <w:r>
        <w:rPr>
          <w:rFonts w:ascii="Times New Roman" w:hAnsi="Times New Roman"/>
          <w:sz w:val="20"/>
        </w:rPr>
        <w:t>”), the contemplated date of commencement of the Contemplated Transfer (the “</w:t>
      </w:r>
      <w:r>
        <w:rPr>
          <w:rFonts w:ascii="Times New Roman" w:hAnsi="Times New Roman"/>
          <w:b/>
          <w:sz w:val="20"/>
        </w:rPr>
        <w:t>Contemplated Effective Date</w:t>
      </w:r>
      <w:r>
        <w:rPr>
          <w:rFonts w:ascii="Times New Roman" w:hAnsi="Times New Roman"/>
          <w:sz w:val="20"/>
        </w:rPr>
        <w:t xml:space="preserve">”), and the contemplated length of the term of such contemplated Transfer, and shall specify that such Intention to Transfer Notice is delivered to Landlord pursuant to this </w:t>
      </w:r>
      <w:r>
        <w:rPr>
          <w:rFonts w:ascii="Times New Roman" w:hAnsi="Times New Roman"/>
          <w:sz w:val="20"/>
          <w:u w:val="single"/>
        </w:rPr>
        <w:t>Section 14.4</w:t>
      </w:r>
      <w:r>
        <w:rPr>
          <w:rFonts w:ascii="Times New Roman" w:hAnsi="Times New Roman"/>
          <w:sz w:val="20"/>
        </w:rPr>
        <w:t xml:space="preserve"> in order to allow Landlord to elect to recapture the Contemplated Transfer Space. In the event Landlord provides a written recapture notice to Tenant within twenty (20) days after the Intention to Transfer Notice, Tenant shall have the right, within five (5) business days thereafter, to rescind its Intention to Transfer Notice and, in such case, this Lease shall remain in full force and effect. If no rescission is made by Tenant, Landlord’s timely election to recapture the Contemplated Transfer Space pursuant to this S</w:t>
      </w:r>
      <w:r>
        <w:rPr>
          <w:rFonts w:ascii="Times New Roman" w:hAnsi="Times New Roman"/>
          <w:sz w:val="20"/>
          <w:u w:val="single"/>
        </w:rPr>
        <w:t>ection 14,4</w:t>
      </w:r>
      <w:r>
        <w:rPr>
          <w:rFonts w:ascii="Times New Roman" w:hAnsi="Times New Roman"/>
          <w:sz w:val="20"/>
        </w:rPr>
        <w:t xml:space="preserv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b/>
          <w:sz w:val="20"/>
          <w:u w:val="single"/>
        </w:rPr>
        <w:t>Effect of Transfer</w:t>
      </w:r>
      <w:r>
        <w:rPr>
          <w:rFonts w:ascii="Times New Roman" w:hAnsi="Times New Roman"/>
          <w:sz w:val="20"/>
        </w:rPr>
        <w:t xml:space="preserve">.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officer of Tenant,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five percent (5%), Tenant shall pay Landlord’s costs of such audit.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b/>
          <w:sz w:val="20"/>
          <w:u w:val="single"/>
        </w:rPr>
        <w:t>Occurrence of Default</w:t>
      </w:r>
      <w:r>
        <w:rPr>
          <w:rFonts w:ascii="Times New Roman" w:hAnsi="Times New Roman"/>
          <w:sz w:val="20"/>
        </w:rPr>
        <w:t xml:space="preserve">. Any Transfer hereunder shall be subordinate and subject to the provisions of this Lease, and if this Lease shall be terminated during the term of any Transfer, Landlord shall have the right to (and each sublease shall provide Landlord with the ability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hAnsi="Times New Roman"/>
          <w:sz w:val="20"/>
          <w:u w:val="single"/>
        </w:rPr>
        <w:t>Article 14</w:t>
      </w:r>
      <w:r>
        <w:rPr>
          <w:rFonts w:ascii="Times New Roman" w:hAnsi="Times New Roman"/>
          <w:sz w:val="20"/>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14.7 </w:t>
      </w:r>
      <w:r>
        <w:rPr>
          <w:rFonts w:ascii="Times New Roman" w:hAnsi="Times New Roman"/>
          <w:b/>
          <w:sz w:val="20"/>
          <w:u w:val="single"/>
        </w:rPr>
        <w:t>Non-Transfers</w:t>
      </w:r>
      <w:r>
        <w:rPr>
          <w:rFonts w:ascii="Times New Roman" w:hAnsi="Times New Roman"/>
          <w:sz w:val="20"/>
        </w:rPr>
        <w:t xml:space="preserve">. Notwithstanding anything to the contrary contained in this </w:t>
      </w:r>
      <w:r>
        <w:rPr>
          <w:rFonts w:ascii="Times New Roman" w:hAnsi="Times New Roman"/>
          <w:sz w:val="20"/>
          <w:u w:val="single"/>
        </w:rPr>
        <w:t>Article 14</w:t>
      </w:r>
      <w:r>
        <w:rPr>
          <w:rFonts w:ascii="Times New Roman" w:hAnsi="Times New Roman"/>
          <w:sz w:val="20"/>
        </w:rPr>
        <w:t xml:space="preserve">, (i) an assignment or subletting of all or a portion of the Premises to an affiliate of Tenant (an entity which is controlled by, controls, or is under common control with, Tenant), (ii) (a) a sale of corporate shares of capital stock in Tenant in connection with an initial public offering of Tenant’s stock on a nationally-recognized stock exchange or (b) the sale or transfer of any issued and outstanding shares of Tenant’s capital stock in connection with a private financing transaction involving one or more investors who regularly invest in private biotechnology companies, (iii) an assignment of the Lease to an entity which simultaneously acquires all or substantially all of the assets or interests (partnership, stock or other) of Tenant as a going concern, or (iv) a merger or consolidation of Tenant shall not be deemed a transfer under this </w:t>
      </w:r>
      <w:r>
        <w:rPr>
          <w:rFonts w:ascii="Times New Roman" w:hAnsi="Times New Roman"/>
          <w:sz w:val="20"/>
          <w:u w:val="single"/>
        </w:rPr>
        <w:t>Article 14</w:t>
      </w:r>
      <w:r>
        <w:rPr>
          <w:rFonts w:ascii="Times New Roman" w:hAnsi="Times New Roman"/>
          <w:sz w:val="20"/>
        </w:rPr>
        <w:t xml:space="preserve"> or require Landlord’s consent or be subject to Landlord’s recapture rights, provided that (A) Tenant notifies Landlord of any such event and promptly supplies Landlord with any documents or information reasonably requested by Landlord regarding such event, (B) such event is not a subterfuge by Tenant to avoid its obligations under this Lease, (C) any entity succeeding to Tenant’s interest under the Lease pursuant to clause (iii) shall be of a character and reputation consistent with the quality of the Building, and (D) any entity succeeding to Tenant’s interest under clauses (iii)-(iv), above shall have a tangible net worth (not including goodwill as an asset) computed in accordance with generally accepted accounting principles (“</w:t>
      </w:r>
      <w:r>
        <w:rPr>
          <w:rFonts w:ascii="Times New Roman" w:hAnsi="Times New Roman"/>
          <w:b/>
          <w:sz w:val="20"/>
        </w:rPr>
        <w:t>Net Worth</w:t>
      </w:r>
      <w:r>
        <w:rPr>
          <w:rFonts w:ascii="Times New Roman" w:hAnsi="Times New Roman"/>
          <w:sz w:val="20"/>
        </w:rPr>
        <w:t xml:space="preserve">”) at least equal to the Net Worth of Tenant on the day that is three months prior to the effective date of such </w:t>
      </w:r>
      <w:r>
        <w:rPr>
          <w:rFonts w:ascii="Times New Roman" w:hAnsi="Times New Roman"/>
          <w:b/>
          <w:sz w:val="20"/>
        </w:rPr>
        <w:t xml:space="preserve">event. </w:t>
      </w:r>
      <w:r>
        <w:rPr>
          <w:rFonts w:ascii="Times New Roman" w:hAnsi="Times New Roman"/>
          <w:sz w:val="20"/>
        </w:rPr>
        <w:t>Any entity succeeding to Tenant’s interest hereunder by law or otherwise pursuant to clauses (iii)-(v) above is referred to herein as a “</w:t>
      </w:r>
      <w:r>
        <w:rPr>
          <w:rFonts w:ascii="Times New Roman" w:hAnsi="Times New Roman"/>
          <w:b/>
          <w:sz w:val="20"/>
        </w:rPr>
        <w:t>Permitted Transferee</w:t>
      </w:r>
      <w:r>
        <w:rPr>
          <w:rFonts w:ascii="Times New Roman" w:hAnsi="Times New Roman"/>
          <w:sz w:val="20"/>
        </w:rPr>
        <w:t>”. An assignee of Tenant’s entire interest that is also a Permitted Transferee may also be known as a “</w:t>
      </w:r>
      <w:r>
        <w:rPr>
          <w:rFonts w:ascii="Times New Roman" w:hAnsi="Times New Roman"/>
          <w:b/>
          <w:sz w:val="20"/>
        </w:rPr>
        <w:t>Permitted Assignee</w:t>
      </w:r>
      <w:r>
        <w:rPr>
          <w:rFonts w:ascii="Times New Roman" w:hAnsi="Times New Roman"/>
          <w:sz w:val="20"/>
        </w:rPr>
        <w:t>”. “</w:t>
      </w:r>
      <w:r>
        <w:rPr>
          <w:rFonts w:ascii="Times New Roman" w:hAnsi="Times New Roman"/>
          <w:b/>
          <w:sz w:val="20"/>
        </w:rPr>
        <w:t>Control</w:t>
      </w:r>
      <w:r>
        <w:rPr>
          <w:rFonts w:ascii="Times New Roman" w:hAnsi="Times New Roman"/>
          <w:sz w:val="20"/>
        </w:rPr>
        <w:t xml:space="preserve">,” as used in this </w:t>
      </w:r>
      <w:r>
        <w:rPr>
          <w:rFonts w:ascii="Times New Roman" w:hAnsi="Times New Roman"/>
          <w:sz w:val="20"/>
          <w:u w:val="single"/>
        </w:rPr>
        <w:t>Section 14.7</w:t>
      </w:r>
      <w:r>
        <w:rPr>
          <w:rFonts w:ascii="Times New Roman" w:hAnsi="Times New Roman"/>
          <w:sz w:val="20"/>
        </w:rPr>
        <w:t xml:space="preserve">, shall mean the ownership, directly or indirectly, of at least fifty-one percent (51%) of the beneficial interests in the applicable controlled entity and the right to direct the day-to-day affairs of such entity through its Board of Directors or otherwise. No such permitted assignment or subletting or other transfer permitted without Landlord’s consent pursuant to this </w:t>
      </w:r>
      <w:r>
        <w:rPr>
          <w:rFonts w:ascii="Times New Roman" w:hAnsi="Times New Roman"/>
          <w:sz w:val="20"/>
          <w:u w:val="single"/>
        </w:rPr>
        <w:t>Section 14.7</w:t>
      </w:r>
      <w:r>
        <w:rPr>
          <w:rFonts w:ascii="Times New Roman" w:hAnsi="Times New Roman"/>
          <w:sz w:val="20"/>
        </w:rPr>
        <w:t xml:space="preserve"> shall serve to release Tenant from any of its obligations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b/>
          <w:sz w:val="20"/>
          <w:u w:val="single"/>
        </w:rPr>
        <w:t>Sublease/Transfer Restrictions</w:t>
      </w:r>
      <w:r>
        <w:rPr>
          <w:rFonts w:ascii="Times New Roman" w:hAnsi="Times New Roman"/>
          <w:sz w:val="20"/>
        </w:rPr>
        <w:t xml:space="preserve">. Notwithstanding anything contained herein to the contrary and without limiting the generality of </w:t>
      </w:r>
      <w:r>
        <w:rPr>
          <w:rFonts w:ascii="Times New Roman" w:hAnsi="Times New Roman"/>
          <w:sz w:val="20"/>
          <w:u w:val="single"/>
        </w:rPr>
        <w:t>Section 14.1</w:t>
      </w:r>
      <w:r>
        <w:rPr>
          <w:rFonts w:ascii="Times New Roman" w:hAnsi="Times New Roman"/>
          <w:sz w:val="20"/>
        </w:rPr>
        <w:t xml:space="preserve"> above, Tenant shall not: (a) sublet all or part of the Premises or assign or otherwise Transfer this Lease on any basis such that the rental or other amounts to be paid by the subtenant or assignee thereunder would be based, in whole or in part, on the income or profits derived by the business activities of the subtenant or assignee; (b) sublet all or part of the Premises or assign this Lease to any person or entity in which, under Section 856(d)(2)(B) of the Code, Longfellow Atlantic REIT, Inc., a Delaware corporation (the “</w:t>
      </w:r>
      <w:r>
        <w:rPr>
          <w:rFonts w:ascii="Times New Roman" w:hAnsi="Times New Roman"/>
          <w:b/>
          <w:sz w:val="20"/>
        </w:rPr>
        <w:t>Company</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or any affiliate of the Company owns, directly or indirectly (by applying constructive ownership rules set forth in Section 856(d) (5) of the Code), a ten percent (10%) or greater interest; or (c) sublet all or part of the Premises or assign this Lease in any other manner or otherwise derive any income which could cause any portion of the amounts received by Landlord pursuant hereto or any sublease to fail to qualify as “rents from real property” within the meaning of Section 856(d) of the Code, or which could cause any other income received by Landlord to fail to qualify as income described in Section 856(c) (2) of the Code. The requirements of this </w:t>
      </w:r>
      <w:r>
        <w:rPr>
          <w:rFonts w:ascii="Times New Roman" w:hAnsi="Times New Roman"/>
          <w:sz w:val="20"/>
          <w:u w:val="single"/>
        </w:rPr>
        <w:t>Section 14.4</w:t>
      </w:r>
      <w:r>
        <w:rPr>
          <w:rFonts w:ascii="Times New Roman" w:hAnsi="Times New Roman"/>
          <w:sz w:val="20"/>
        </w:rPr>
        <w:t xml:space="preserve"> shall likewise apply to any further subleasing, assignment or other Transfer by any subtenant or assignee. All references herein to Section 856 of the Code also shall refer to any amendments thereof or successor provisions thereto. </w:t>
      </w:r>
    </w:p>
    <w:p>
      <w:pPr>
        <w:pStyle w:val="TextBody"/>
        <w:bidi w:val="0"/>
        <w:spacing w:before="36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SURRENDER OF PREMISES; OWNERSHIP AND REMOVAL OF TRADE FIXTURES </w:t>
      </w:r>
    </w:p>
    <w:p>
      <w:pPr>
        <w:pStyle w:val="TextBody"/>
        <w:bidi w:val="0"/>
        <w:spacing w:before="120" w:after="0"/>
        <w:jc w:val="left"/>
        <w:rPr>
          <w:rFonts w:ascii="Times New Roman" w:hAnsi="Times New Roman"/>
          <w:sz w:val="20"/>
        </w:rPr>
      </w:pPr>
      <w:r>
        <w:rPr>
          <w:rFonts w:ascii="Times New Roman" w:hAnsi="Times New Roman"/>
          <w:sz w:val="20"/>
        </w:rPr>
        <w:t xml:space="preserve">15.1 </w:t>
      </w:r>
      <w:r>
        <w:rPr>
          <w:rFonts w:ascii="Times New Roman" w:hAnsi="Times New Roman"/>
          <w:b/>
          <w:sz w:val="20"/>
          <w:u w:val="single"/>
        </w:rPr>
        <w:t>Surrender of Premises</w:t>
      </w:r>
      <w:r>
        <w:rPr>
          <w:rFonts w:ascii="Times New Roman" w:hAnsi="Times New Roman"/>
          <w:sz w:val="20"/>
        </w:rPr>
        <w:t xml:space="preserve">.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15.2 </w:t>
      </w:r>
      <w:r>
        <w:rPr>
          <w:rFonts w:ascii="Times New Roman" w:hAnsi="Times New Roman"/>
          <w:b/>
          <w:sz w:val="20"/>
          <w:u w:val="single"/>
        </w:rPr>
        <w:t>Removal of Tenant Property by Tenant</w:t>
      </w:r>
      <w:r>
        <w:rPr>
          <w:rFonts w:ascii="Times New Roman" w:hAnsi="Times New Roman"/>
          <w:sz w:val="20"/>
        </w:rPr>
        <w:t xml:space="preserve">. Upon the expiration of the Lease Term, or upon any earlier termination of this Lease, Tenant shall, subject to the provisions of this </w:t>
      </w:r>
      <w:r>
        <w:rPr>
          <w:rFonts w:ascii="Times New Roman" w:hAnsi="Times New Roman"/>
          <w:sz w:val="20"/>
          <w:u w:val="single"/>
        </w:rPr>
        <w:t>Article 15</w:t>
      </w:r>
      <w:r>
        <w:rPr>
          <w:rFonts w:ascii="Times New Roman" w:hAnsi="Times New Roman"/>
          <w:sz w:val="20"/>
        </w:rPr>
        <w:t xml:space="preserve">, quit and surrender possession of the Premises to Landlord in as good order and condition as when Tenant took possession and as thereafter improved by Landlord and/or Tenant, reasonable wear and tear, damage by casualty (to the extent not Tenant’s obligation to restore the same) and repairs which are specifically made the responsibility of Landlord hereunder excepted. Upon such expiration or termination, Tenant shall, without expense to Landlord, remove or cause to be removed from the Premises all Alterations that Tenant is required to remove in accordance with </w:t>
      </w:r>
      <w:r>
        <w:rPr>
          <w:rFonts w:ascii="Times New Roman" w:hAnsi="Times New Roman"/>
          <w:sz w:val="20"/>
          <w:u w:val="single"/>
        </w:rPr>
        <w:t>Section 8.3</w:t>
      </w:r>
      <w:r>
        <w:rPr>
          <w:rFonts w:ascii="Times New Roman" w:hAnsi="Times New Roman"/>
          <w:sz w:val="20"/>
        </w:rPr>
        <w:t xml:space="preserve"> of this Lease,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(unless Landlord, in its sole discretion, waives the requirement that any item of personal property be removed), and Tenant shall repair at its own expense all damage to the Premises and Building resulting from such removal. The parties agree that Tenant’s personal property includes only those items that are not built into the Premises and that have not been constructed or installed by Landlord. For the avoidance of doubt, Tenant shall remove its incubators, benches, case work and any specialized laboratory equipment that is not built into the Premises, in each case only to the extent the same has not been funded in whole or part by the Allowance, or was not existing in the premises when the Tenant took possession. </w:t>
      </w:r>
    </w:p>
    <w:p>
      <w:pPr>
        <w:pStyle w:val="TextBody"/>
        <w:bidi w:val="0"/>
        <w:spacing w:before="240" w:after="0"/>
        <w:jc w:val="left"/>
        <w:rPr>
          <w:rFonts w:ascii="Times New Roman" w:hAnsi="Times New Roman"/>
          <w:sz w:val="20"/>
        </w:rPr>
      </w:pPr>
      <w:r>
        <w:rPr>
          <w:rFonts w:ascii="Times New Roman" w:hAnsi="Times New Roman"/>
          <w:sz w:val="20"/>
        </w:rPr>
        <w:t xml:space="preserve">15.3 </w:t>
      </w:r>
      <w:r>
        <w:rPr>
          <w:rFonts w:ascii="Times New Roman" w:hAnsi="Times New Roman"/>
          <w:b/>
          <w:sz w:val="20"/>
          <w:u w:val="single"/>
        </w:rPr>
        <w:t>Environmental Assessment</w:t>
      </w:r>
      <w:r>
        <w:rPr>
          <w:rFonts w:ascii="Times New Roman" w:hAnsi="Times New Roman"/>
          <w:sz w:val="20"/>
        </w:rPr>
        <w:t xml:space="preserve">. Prior to the expiration of the Lease (or within thirty (30) days after any earlier termination),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Hazardous Materials due to Tenant’s use or occupancy of the Premises, an| shall otherwise clean the Premises so as to permit the Environmental Assessment called for by this </w:t>
      </w:r>
      <w:r>
        <w:rPr>
          <w:rFonts w:ascii="Times New Roman" w:hAnsi="Times New Roman"/>
          <w:sz w:val="20"/>
          <w:u w:val="single"/>
        </w:rPr>
        <w:t>Section 15.3</w:t>
      </w:r>
      <w:r>
        <w:rPr>
          <w:rFonts w:ascii="Times New Roman" w:hAnsi="Times New Roman"/>
          <w:sz w:val="20"/>
        </w:rPr>
        <w:t xml:space="preserve"> to be issued. Prior to the expiration of this Lease (or within thirty (30) days after any earlier termination), Tenant, at Tenant’s expense, shall obtain for Landlord a report (an “</w:t>
      </w:r>
      <w:r>
        <w:rPr>
          <w:rFonts w:ascii="Times New Roman" w:hAnsi="Times New Roman"/>
          <w:b/>
          <w:sz w:val="20"/>
        </w:rPr>
        <w:t>Environmental Assessment</w:t>
      </w:r>
      <w:r>
        <w:rPr>
          <w:rFonts w:ascii="Times New Roman" w:hAnsi="Times New Roman"/>
          <w:sz w:val="20"/>
        </w:rPr>
        <w:t xml:space="preserve">”) addressed to Landlord (and, at Tenant’s election, Tenant) by a reputable licensed environmental engineer or industrial hygienist that is designated by Tenant and acceptable to Landlord in Landlord’s reasonable discretion, which report shall be based on the environmental engineer’s inspection of the Premises and shall state, to the Landlord’s reasonable satisfaction, that (a) the Hazardous Materials described in the first sentence of this paragraph, to the extent, if any, existing prior to such decommissioning, have been removed in accordance with Applicable Laws; (b) all Hazardous Materials described in the first sentence of this paragraph, if any, have been removed in accordance with Applicable Laws from the interior surfaces of the Premises (including floors, walls, ceilings, and counters), piping, supply lines, waste lines and plumbing, and all such exhaust or other ductwork in the Premises, may be reused by a subsequent tenant or disposed of in compliance with Applicable Laws without incurring special costs or undertaking special procedures for demolition, disposal, investigation, assessment, cleaning or removal of such Hazardous Materials and without giving notice in connection with such Hazardous Materials; and (c) the Premises may be reoccupied for office, research and development, or laboratory use, demolished or renovated without incurring special costs or undertaking special procedures for disposal, investigation, assessment, cleaning or removal of Hazardous Materials described in the first sentence of this paragraph and without giving notice in connection with Hazardous Materials. Further, for purposes of clauses (b) and (c), “special costs” or “special procedures” shall mean costs or procedures, as the case may be, that would not be incurred but for the nature of the Hazardous Materials as Hazardous Materials instead of non- hazardous materials. The report shall also: include reasonable detail concerning the clean-up measures taken, the clean-up locations, the tests run and the analytic results. Tenant shall submit to Landlord the identity of the applicable consultants and the scope of the proposed Environmental Assessment for Landlord’s reasonable review and approval at least 30 days prior to commencing the work described therein or at least 60 days prior to the expiration of the Lease Term, whichever is earlier. </w:t>
      </w:r>
    </w:p>
    <w:p>
      <w:pPr>
        <w:pStyle w:val="TextBody"/>
        <w:bidi w:val="0"/>
        <w:spacing w:before="240" w:after="0"/>
        <w:jc w:val="left"/>
        <w:rPr>
          <w:rFonts w:ascii="Times New Roman" w:hAnsi="Times New Roman"/>
          <w:sz w:val="20"/>
        </w:rPr>
      </w:pPr>
      <w:r>
        <w:rPr>
          <w:rFonts w:ascii="Times New Roman" w:hAnsi="Times New Roman"/>
          <w:sz w:val="20"/>
        </w:rPr>
        <w:t xml:space="preserve">If Tenant fails to perform its obligations under this </w:t>
      </w:r>
      <w:r>
        <w:rPr>
          <w:rFonts w:ascii="Times New Roman" w:hAnsi="Times New Roman"/>
          <w:sz w:val="20"/>
          <w:u w:val="single"/>
        </w:rPr>
        <w:t>Section 15.3</w:t>
      </w:r>
      <w:r>
        <w:rPr>
          <w:rFonts w:ascii="Times New Roman" w:hAnsi="Times New Roman"/>
          <w:sz w:val="20"/>
        </w:rPr>
        <w:t xml:space="preserve">, without limiting any other right or remedy, Landlord may, on ten (10) business days’ prior written notice to Tenant, perform such obligations at Tenant’s expense if Tenant has not commenced to do so within said ten (10) business day period, and Tenant shall within ten (10) days of written demand reimburse Landlord for all reasonable out-of-pocket costs and expenses incurred by Landlord in connection with such work. Tenant’s obligations under this </w:t>
      </w:r>
      <w:r>
        <w:rPr>
          <w:rFonts w:ascii="Times New Roman" w:hAnsi="Times New Roman"/>
          <w:sz w:val="20"/>
          <w:u w:val="single"/>
        </w:rPr>
        <w:t>Section 15.2</w:t>
      </w:r>
      <w:r>
        <w:rPr>
          <w:rFonts w:ascii="Times New Roman" w:hAnsi="Times New Roman"/>
          <w:sz w:val="20"/>
        </w:rPr>
        <w:t xml:space="preserve"> shall survive the expiration or earlier termination of this Lease. In addition, at Landlord’s election, Landlord may inspect the Premises and/or the Project for Hazardous Materials at Landlord’s cost and expense within sixty (60) days of Tenant’s surrender of the Premises at the expiration or earlier termination of this Lease. Tenant shall pay for all such costs and expenses incurred by Landlord in connection with such inspection if such inspection reveals that a release or threat of release of Hazardous Materials exists at the Project or Premises as a result of the acts or omission of Tenant, its officers, employees, contractors, and agents (except to the extent resulting from (i) Hazardous Materials existing in the Premises as at the delivery of possession to Tenant (in which event Landlord shall be responsible for any Clean-up, as provided in this Lease), or (ii) the acts or omissions of Landlord or Landlord’s agents, employees or contractors).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HOLDING OVER </w:t>
      </w:r>
    </w:p>
    <w:p>
      <w:pPr>
        <w:pStyle w:val="TextBody"/>
        <w:bidi w:val="0"/>
        <w:spacing w:before="120" w:after="0"/>
        <w:jc w:val="left"/>
        <w:rPr>
          <w:rFonts w:ascii="Times New Roman" w:hAnsi="Times New Roman"/>
          <w:sz w:val="20"/>
        </w:rPr>
      </w:pPr>
      <w:r>
        <w:rPr>
          <w:rFonts w:ascii="Times New Roman" w:hAnsi="Times New Roman"/>
          <w:sz w:val="20"/>
        </w:rPr>
        <w:t xml:space="preserve">If Tenant holds over after the expiration of the Lease Term or earlier termination thereof, with the express written consent of Landlord, such tenancy shall be from month-to-month only, and shall not constitute a renewal hereof or an extension for any further term. If Tenant holds over after the expiration of the Lease Term of earlier termination thereof, without the express written consent of Landlord, such tenancy shall be deemed to be a tenancy by sufferance only, and shall not constitute a renewal hereof or an extension for any further term. In either case, Base Rent shall be payable at a monthly rate equal to one hundred fifty percent (150%) of the Base Rent applicable during the last rental period of the Lease Term under this Lease. Such month-to-month tenancy or tenancy by sufferance, as the case may be, shall be subject to every other applicable term, covenant and agreement contained herein, including without limitation the obligation to pay Additional Rent. Nothing contained in this </w:t>
      </w:r>
      <w:r>
        <w:rPr>
          <w:rFonts w:ascii="Times New Roman" w:hAnsi="Times New Roman"/>
          <w:sz w:val="20"/>
          <w:u w:val="single"/>
        </w:rPr>
        <w:t>Article 16</w:t>
      </w:r>
      <w:r>
        <w:rPr>
          <w:rFonts w:ascii="Times New Roman" w:hAnsi="Times New Roman"/>
          <w:sz w:val="20"/>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hAnsi="Times New Roman"/>
          <w:sz w:val="20"/>
          <w:u w:val="single"/>
        </w:rPr>
        <w:t>Article 16</w:t>
      </w:r>
      <w:r>
        <w:rPr>
          <w:rFonts w:ascii="Times New Roman" w:hAnsi="Times New Roman"/>
          <w:sz w:val="20"/>
        </w:rPr>
        <w:t xml:space="preserve"> shall not be deemed to limit or constitute a waiver of any other rights or remedies of Landlord provided herein or at law. If Tenant fails to surrender the Premises for a period of thirty (30) days following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and/or any lost profits and consequential or indirect damages to Landlord resulting therefrom. </w:t>
      </w:r>
    </w:p>
    <w:p>
      <w:pPr>
        <w:pStyle w:val="TextBody"/>
        <w:bidi w:val="0"/>
        <w:spacing w:before="36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ESTOPPEL CERTIFICATES </w:t>
      </w:r>
    </w:p>
    <w:p>
      <w:pPr>
        <w:pStyle w:val="TextBody"/>
        <w:bidi w:val="0"/>
        <w:spacing w:before="120" w:after="0"/>
        <w:jc w:val="left"/>
        <w:rPr>
          <w:rFonts w:ascii="Times New Roman" w:hAnsi="Times New Roman"/>
          <w:sz w:val="20"/>
        </w:rPr>
      </w:pPr>
      <w:r>
        <w:rPr>
          <w:rFonts w:ascii="Times New Roman" w:hAnsi="Times New Roman"/>
          <w:sz w:val="20"/>
        </w:rPr>
        <w:t xml:space="preserve">Within ten (10) business days following a request in writing by Landlord, Tenant shall execute, acknowledge and deliver to Landlord an estoppel certificate, which, as submitted by Landlord, shall be substantially in the form of </w:t>
      </w:r>
      <w:r>
        <w:rPr>
          <w:rFonts w:ascii="Times New Roman" w:hAnsi="Times New Roman"/>
          <w:sz w:val="20"/>
          <w:u w:val="single"/>
        </w:rPr>
        <w:t>Exhibit 17</w:t>
      </w:r>
      <w:r>
        <w:rPr>
          <w:rFonts w:ascii="Times New Roman" w:hAnsi="Times New Roman"/>
          <w:sz w:val="20"/>
        </w:rPr>
        <w:t xml:space="preserve">, attached hereto (or such other form as may be required reasonably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Failure of Tenant to timely execute, acknowledge and deliver such estoppel certificate or other instruments shall constitute an acceptance of the Premises. At any time during the Lease Term that Tenant’s stock is not publicly traded on a nationally recognized stock exchange (but no more than twice in any one calendar year unless in connection with a sale, refinancing, or following a default by Tenant),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If no audited financial statement is prepared, such statement will be certified by the CFO or Treasurer of Tenant. </w:t>
      </w:r>
    </w:p>
    <w:p>
      <w:pPr>
        <w:pStyle w:val="TextBody"/>
        <w:bidi w:val="0"/>
        <w:spacing w:before="36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Landlord shall use commercially reasonable efforts to provide Tenant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non-disturbance agreement in favor of Tenant from any ground lessor or mortgage holder of Landlord who come into existence following the date hereof and desire to subordinate this Lease to any such ground lease or mortgage, but Landlord shall not be deemed to be in default if it is unable to secure such agreement and the subordination of this Lease shall not be conditioned upon receipt of such agreement. Tenant acknowledges and agrees that the form of subordination, non-disturbance and attornment agreement attached as </w:t>
      </w:r>
      <w:r>
        <w:rPr>
          <w:rFonts w:ascii="Times New Roman" w:hAnsi="Times New Roman"/>
          <w:sz w:val="20"/>
          <w:u w:val="single"/>
        </w:rPr>
        <w:t>Exhibit 18</w:t>
      </w:r>
      <w:r>
        <w:rPr>
          <w:rFonts w:ascii="Times New Roman" w:hAnsi="Times New Roman"/>
          <w:sz w:val="20"/>
        </w:rPr>
        <w:t xml:space="preserve"> is acceptable to Tenant for the purposes of this </w:t>
      </w:r>
      <w:r>
        <w:rPr>
          <w:rFonts w:ascii="Times New Roman" w:hAnsi="Times New Roman"/>
          <w:sz w:val="20"/>
          <w:u w:val="single"/>
        </w:rPr>
        <w:t>Article 18</w:t>
      </w:r>
      <w:r>
        <w:rPr>
          <w:rFonts w:ascii="Times New Roman" w:hAnsi="Times New Roman"/>
          <w:sz w:val="20"/>
        </w:rPr>
        <w:t xml:space="preserve">. Landlord’s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w:t>
      </w:r>
    </w:p>
    <w:p>
      <w:pPr>
        <w:pStyle w:val="TextBody"/>
        <w:bidi w:val="0"/>
        <w:spacing w:before="240" w:after="0"/>
        <w:jc w:val="left"/>
        <w:rPr>
          <w:rFonts w:ascii="Times New Roman" w:hAnsi="Times New Roman"/>
          <w:sz w:val="20"/>
        </w:rPr>
      </w:pPr>
      <w:r>
        <w:rPr>
          <w:rFonts w:ascii="Times New Roman" w:hAnsi="Times New Roman"/>
          <w:sz w:val="20"/>
        </w:rPr>
        <w:t>Notwithstanding the foregoing or anything to the contrary herein, no mortgagee or ground lessor (a “</w:t>
      </w:r>
      <w:r>
        <w:rPr>
          <w:rFonts w:ascii="Times New Roman" w:hAnsi="Times New Roman"/>
          <w:b/>
          <w:sz w:val="20"/>
        </w:rPr>
        <w:t>Mortgagee</w:t>
      </w:r>
      <w:r>
        <w:rPr>
          <w:rFonts w:ascii="Times New Roman" w:hAnsi="Times New Roman"/>
          <w:sz w:val="20"/>
        </w:rPr>
        <w:t xml:space="preserve">”) succeeding to the interest of Landlord hereunder shall be (i) liable in any way to Tenant for any act or omission, neglect or default on the part of Landlord under this Lease, (ii) responsible for any monies owing by or on deposit with Landlord to the credit of Tenant (except to the extent any such deposit is actually received by such mortgagee or ground lessor), (iii) subject to any counterclaim or setoff which theretofore accrued to Tenant against Landlord, (iv) bound by any amendment or modification of this Lease subsequent to such mortgage, or by any previous prepayment of Rent for more than one (1) month, which was not approved in writing by the mortgagee, (v) liable beyond mortgagee’s or ground lessor’s interest in the Project, or (vi) responsible for the payment or performance of any work to be done by the Landlord under this Lease to render the Premises ready for occupancy by the Tenant or for the payment of any tenant improvements allowances. Nothing in clause (i), above, shall be deemed to relieve any mortgagee succeeding to the interest of Landlord hereunder of its obligation to comply with the obligations of Landlord under this Lease from and after the date of such succession. </w:t>
      </w:r>
    </w:p>
    <w:p>
      <w:pPr>
        <w:pStyle w:val="TextBody"/>
        <w:bidi w:val="0"/>
        <w:spacing w:before="240" w:after="0"/>
        <w:jc w:val="left"/>
        <w:rPr>
          <w:rFonts w:ascii="Times New Roman" w:hAnsi="Times New Roman"/>
          <w:sz w:val="20"/>
        </w:rPr>
      </w:pPr>
      <w:r>
        <w:rPr>
          <w:rFonts w:ascii="Times New Roman" w:hAnsi="Times New Roman"/>
          <w:sz w:val="20"/>
        </w:rPr>
        <w:t xml:space="preserve">Landlord’s interest herein may be assigned as security at any time to any Mortgagee. No Mortgagee shall, either by virtue of the Mortgage or any assignment of leases executed by Landlord for the benefit of such Mortgagee, be or become a mortgagee in possession or be or become subject to any liability or obligation under the Lease or otherwise until such Mortgagee shall have acquired the interest of Landlord in the Property, by foreclosure or otherwise, or in fact have taken possession of the Property as a mortgagee in possession and then such liability or obligation of Mortgagee under the Lease shall extend only to those liability or obligations accruing subsequent to the date that such Mortgagee has acquired the interest of Landlord in the Premises, or in fact taken possession of the Property as a mortgagee in possession. </w:t>
      </w:r>
    </w:p>
    <w:p>
      <w:pPr>
        <w:pStyle w:val="TextBody"/>
        <w:bidi w:val="0"/>
        <w:spacing w:before="36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DEFAULTS; REMEDIES </w:t>
      </w:r>
    </w:p>
    <w:p>
      <w:pPr>
        <w:pStyle w:val="TextBody"/>
        <w:bidi w:val="0"/>
        <w:spacing w:before="120" w:after="0"/>
        <w:jc w:val="left"/>
        <w:rPr>
          <w:rFonts w:ascii="Times New Roman" w:hAnsi="Times New Roman"/>
          <w:sz w:val="20"/>
        </w:rPr>
      </w:pPr>
      <w:r>
        <w:rPr>
          <w:rFonts w:ascii="Times New Roman" w:hAnsi="Times New Roman"/>
          <w:sz w:val="20"/>
        </w:rPr>
        <w:t xml:space="preserve">19.1 </w:t>
      </w:r>
      <w:r>
        <w:rPr>
          <w:rFonts w:ascii="Times New Roman" w:hAnsi="Times New Roman"/>
          <w:b/>
          <w:sz w:val="20"/>
          <w:u w:val="single"/>
        </w:rPr>
        <w:t>Events of Default</w:t>
      </w:r>
      <w:r>
        <w:rPr>
          <w:rFonts w:ascii="Times New Roman" w:hAnsi="Times New Roman"/>
          <w:sz w:val="20"/>
        </w:rPr>
        <w:t xml:space="preserve">. The occurrence of any of the following shall constitute a default of this Lease by Tenant: </w:t>
      </w:r>
    </w:p>
    <w:p>
      <w:pPr>
        <w:pStyle w:val="TextBody"/>
        <w:bidi w:val="0"/>
        <w:spacing w:before="240" w:after="0"/>
        <w:jc w:val="left"/>
        <w:rPr>
          <w:rFonts w:ascii="Times New Roman" w:hAnsi="Times New Roman"/>
          <w:sz w:val="20"/>
        </w:rPr>
      </w:pPr>
      <w:r>
        <w:rPr>
          <w:rFonts w:ascii="Times New Roman" w:hAnsi="Times New Roman"/>
          <w:sz w:val="20"/>
        </w:rPr>
        <w:t xml:space="preserve">19.1.1 Any failure by Tenant to pay any Rent or any other charge required to be paid under this Lease, or any part thereof, when due unless such failure is cured within five (5) business days after written notice; or </w:t>
      </w:r>
    </w:p>
    <w:p>
      <w:pPr>
        <w:pStyle w:val="TextBody"/>
        <w:bidi w:val="0"/>
        <w:spacing w:before="240" w:after="0"/>
        <w:jc w:val="left"/>
        <w:rPr>
          <w:rFonts w:ascii="Times New Roman" w:hAnsi="Times New Roman"/>
          <w:sz w:val="20"/>
        </w:rPr>
      </w:pPr>
      <w:r>
        <w:rPr>
          <w:rFonts w:ascii="Times New Roman" w:hAnsi="Times New Roman"/>
          <w:sz w:val="20"/>
        </w:rPr>
        <w:t xml:space="preserve">19.1.2 Except where a specific time period is otherwise set forth for Tenant’s performance in this Lease, in which event the failure to perform by Tenant within such time period shall be a default by Tenant under this </w:t>
      </w:r>
      <w:r>
        <w:rPr>
          <w:rFonts w:ascii="Times New Roman" w:hAnsi="Times New Roman"/>
          <w:sz w:val="20"/>
          <w:u w:val="single"/>
        </w:rPr>
        <w:t>Section 19.1.2</w:t>
      </w:r>
      <w:r>
        <w:rPr>
          <w:rFonts w:ascii="Times New Roman" w:hAnsi="Times New Roman"/>
          <w:sz w:val="20"/>
        </w:rPr>
        <w:t xml:space="preserve">,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 </w:t>
      </w:r>
    </w:p>
    <w:p>
      <w:pPr>
        <w:pStyle w:val="TextBody"/>
        <w:bidi w:val="0"/>
        <w:spacing w:before="240" w:after="0"/>
        <w:jc w:val="left"/>
        <w:rPr>
          <w:rFonts w:ascii="Times New Roman" w:hAnsi="Times New Roman"/>
          <w:sz w:val="20"/>
        </w:rPr>
      </w:pPr>
      <w:r>
        <w:rPr>
          <w:rFonts w:ascii="Times New Roman" w:hAnsi="Times New Roman"/>
          <w:sz w:val="20"/>
        </w:rPr>
        <w:t xml:space="preserve">19.1.3 Abandonment of the Premises by Tenant;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19.1.4 The failure by Tenant to observe or perform according to the provisions of </w:t>
      </w:r>
      <w:r>
        <w:rPr>
          <w:rFonts w:ascii="Times New Roman" w:hAnsi="Times New Roman"/>
          <w:sz w:val="20"/>
          <w:u w:val="single"/>
        </w:rPr>
        <w:t>Articles 5</w:t>
      </w:r>
      <w:r>
        <w:rPr>
          <w:rFonts w:ascii="Times New Roman" w:hAnsi="Times New Roman"/>
          <w:sz w:val="20"/>
        </w:rPr>
        <w:t xml:space="preserve">, </w:t>
      </w:r>
      <w:r>
        <w:rPr>
          <w:rFonts w:ascii="Times New Roman" w:hAnsi="Times New Roman"/>
          <w:sz w:val="20"/>
          <w:u w:val="single"/>
        </w:rPr>
        <w:t>14</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or </w:t>
      </w:r>
      <w:r>
        <w:rPr>
          <w:rFonts w:ascii="Times New Roman" w:hAnsi="Times New Roman"/>
          <w:sz w:val="20"/>
          <w:u w:val="single"/>
        </w:rPr>
        <w:t>18</w:t>
      </w:r>
      <w:r>
        <w:rPr>
          <w:rFonts w:ascii="Times New Roman" w:hAnsi="Times New Roman"/>
          <w:sz w:val="20"/>
        </w:rPr>
        <w:t xml:space="preserve"> of this Lease where such failure continues for more than two (2) business days after notice from Landlord; or </w:t>
      </w:r>
    </w:p>
    <w:p>
      <w:pPr>
        <w:pStyle w:val="TextBody"/>
        <w:bidi w:val="0"/>
        <w:spacing w:before="240" w:after="0"/>
        <w:jc w:val="left"/>
        <w:rPr>
          <w:rFonts w:ascii="Times New Roman" w:hAnsi="Times New Roman"/>
          <w:sz w:val="20"/>
        </w:rPr>
      </w:pPr>
      <w:r>
        <w:rPr>
          <w:rFonts w:ascii="Times New Roman" w:hAnsi="Times New Roman"/>
          <w:sz w:val="20"/>
        </w:rPr>
        <w:t xml:space="preserve">19.1.5 If a receiver, guardian, conservator, trustee in bankruptcy or similar officer shall be appointed by a court of competent jurisdiction to take charge of all or any part of Tenant’s or any guarantor’s property and such appointment is not discharged within 90 days thereafter or if a petition including, without limitation, a petition for reorganization or arrangement is filed by Tenant or any guarantor under any bankruptcy law or is filed against Tenant or any guarantor and, in the case of a filing against Tenant only, the same shall not be dismissed within 90 days from the date upon which it is filed. </w:t>
      </w:r>
    </w:p>
    <w:p>
      <w:pPr>
        <w:pStyle w:val="TextBody"/>
        <w:bidi w:val="0"/>
        <w:spacing w:before="240" w:after="0"/>
        <w:jc w:val="left"/>
        <w:rPr>
          <w:rFonts w:ascii="Times New Roman" w:hAnsi="Times New Roman"/>
          <w:sz w:val="20"/>
        </w:rPr>
      </w:pPr>
      <w:r>
        <w:rPr>
          <w:rFonts w:ascii="Times New Roman" w:hAnsi="Times New Roman"/>
          <w:sz w:val="20"/>
        </w:rPr>
        <w:t xml:space="preserve">The notice periods provided herein are in lieu of, and not in addition to, any notice periods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19.2 </w:t>
      </w:r>
      <w:r>
        <w:rPr>
          <w:rFonts w:ascii="Times New Roman" w:hAnsi="Times New Roman"/>
          <w:b/>
          <w:sz w:val="20"/>
          <w:u w:val="single"/>
        </w:rPr>
        <w:t>Remedies Upon Default</w:t>
      </w:r>
      <w:r>
        <w:rPr>
          <w:rFonts w:ascii="Times New Roman" w:hAnsi="Times New Roman"/>
          <w:sz w:val="20"/>
        </w:rPr>
        <w:t xml:space="preserve">.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 except as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19.2.1 Landlord may, immediately or at any time thereafter, elect to term written notice of termination, by entry, or by any other means available under law and may recover possession of the Premises as provided herein. Upon termination by such notice, by entry, or by any other means available under law, Landlord shall be entitled immediately, in the case of termination by notice or entry, and otherwise in accordance with the provisions of law to recover possession of the Premises from Tenant and those claiming through or under the Tenant. Such termination of this Lease and repossession of the Premises shall be without prejudice to any remedies which Landlord might otherwise have for arrears of rent or for a prior breach of the provisions of this Lease. To the extent permitted pursuant to Applicable Laws, Tenant waives any statutory notice to quit and equitable rights in the nature of further cure or redemption, and Tenant agrees that upon Landlord’s termination of this Lease Landlord shall be entitled to re-entry and possession in accordance with the terms hereof. Landlord may, without notice, store Tenant’s personal property (and those of any person claiming under Tenant) at the expense and risk of Tenant or, if Landlord so elects, Landlord may sell such personal property at public auction or auctions or at private sale or sales after seven days’ prior written notice to Tenant and apply the net proceeds to the earliest of installments of rent or other charges owing Landlord. Tenant agrees that a notice by Landlord alleging any default shall, at Landlord’s option (the exercise of such option shall be indicated by the inclusion of the words “notice to quit” in such notice), constitute a statutory’ notice to quit. If Landlord exercises its option to designate a notice of default hereunder as a statutory notice to quit, any grace periods provided for herein shall run concurrently with any statutory notice periods. </w:t>
      </w:r>
    </w:p>
    <w:p>
      <w:pPr>
        <w:pStyle w:val="TextBody"/>
        <w:bidi w:val="0"/>
        <w:spacing w:before="240" w:after="0"/>
        <w:jc w:val="left"/>
        <w:rPr>
          <w:rFonts w:ascii="Times New Roman" w:hAnsi="Times New Roman"/>
          <w:sz w:val="20"/>
        </w:rPr>
      </w:pPr>
      <w:r>
        <w:rPr>
          <w:rFonts w:ascii="Times New Roman" w:hAnsi="Times New Roman"/>
          <w:sz w:val="20"/>
        </w:rPr>
        <w:t xml:space="preserve">19.2.2 In the case of termination of this Lease pursuant to </w:t>
      </w:r>
      <w:r>
        <w:rPr>
          <w:rFonts w:ascii="Times New Roman" w:hAnsi="Times New Roman"/>
          <w:sz w:val="20"/>
          <w:u w:val="single"/>
        </w:rPr>
        <w:t>Section 19.2.1</w:t>
      </w:r>
      <w:r>
        <w:rPr>
          <w:rFonts w:ascii="Times New Roman" w:hAnsi="Times New Roman"/>
          <w:sz w:val="20"/>
        </w:rPr>
        <w:t xml:space="preserve">, Tenant shall reimburse Landlord for all expenses arising out of such term ¡nation, including without limitation, all costs incurred in collecting amounts due from Tenant under this Lease (including reasonable attorneys’ fees, costs of litigation and the like); all expenses incurred by Landlord in attempting to relet the Premises or parts thereof (including advertisements, brokerage commissions, Tenant’s allowances, costs of preparing space, and the like); and all Landlord’s other reasonable expenditures necessitated by the termination. The reimbursement from Tenant shall be due and payable immediately from time to time upon notice from Landlord that an expense has been incurred, without regard to whether the expense was incurred before or after the termination. </w:t>
      </w:r>
    </w:p>
    <w:p>
      <w:pPr>
        <w:pStyle w:val="TextBody"/>
        <w:bidi w:val="0"/>
        <w:spacing w:before="240" w:after="0"/>
        <w:jc w:val="left"/>
        <w:rPr>
          <w:rFonts w:ascii="Times New Roman" w:hAnsi="Times New Roman"/>
          <w:sz w:val="20"/>
        </w:rPr>
      </w:pPr>
      <w:r>
        <w:rPr>
          <w:rFonts w:ascii="Times New Roman" w:hAnsi="Times New Roman"/>
          <w:sz w:val="20"/>
        </w:rPr>
        <w:t xml:space="preserve">19.2.3 Following any termination of this Lease pursuant to </w:t>
      </w:r>
      <w:r>
        <w:rPr>
          <w:rFonts w:ascii="Times New Roman" w:hAnsi="Times New Roman"/>
          <w:sz w:val="20"/>
          <w:u w:val="single"/>
        </w:rPr>
        <w:t>Section 19.2,1</w:t>
      </w:r>
      <w:r>
        <w:rPr>
          <w:rFonts w:ascii="Times New Roman" w:hAnsi="Times New Roman"/>
          <w:sz w:val="20"/>
        </w:rPr>
        <w:t xml:space="preserve">, Landlord may elect by written notice to Tenant to be indemnified for loss of Rent by a lump sum payment representing the then present value of the amount of Rent that would have been paid in accordance with this Lease for the remainder of the Lease Term minus the then present value of the aggregate fair market rent and additional charges payable for the Premises for the remainder of the Lease Term (if less than the Rent payable hereunder), estimated by Landlord as of the date of the termination, and taking into account Landlord’s reasonable projections of vacancy and time required to release the Premises. (For the purposes of calculating the Rent that would have been paid hereunder for the lump sum payment calculation described herein, the last full year’s Additional Rent under Article 4 is to be deemed constant for each year thereafter. The Federal Reserve discount rate (or equivalent) plus 2% shall be used in calculating present values.) Should the parties be unable to agree on a fair market rent, the matter shall be submitted, upon the demand of Landlord, to the Boston, Massachusetts office of the American Arbitration Association, with a request for arbitration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rules of the Association by a single arbitrator who shall be an MAI appraiser with at least ten years’ experience as an appraiser of comparable buildings in the Cities of Boston and Cambridge. The parties agree that a decision of the arbitrator shall be conclusive and binding upon them. If and for so long as Landlord does not make the election provided for in this </w:t>
      </w:r>
      <w:r>
        <w:rPr>
          <w:rFonts w:ascii="Times New Roman" w:hAnsi="Times New Roman"/>
          <w:sz w:val="20"/>
          <w:u w:val="single"/>
        </w:rPr>
        <w:t>Section 19.2,3</w:t>
      </w:r>
      <w:r>
        <w:rPr>
          <w:rFonts w:ascii="Times New Roman" w:hAnsi="Times New Roman"/>
          <w:sz w:val="20"/>
        </w:rPr>
        <w:t xml:space="preserve">, Tenant shall indemnify Landlord for the loss of Rent by a payment at the end of each month which would have been included in the Lease Term, representing the excess of the Rent that would have been paid in accordance with this Lease (Base Rent together with any Additional Rent that would have been payable under Article 4, to be ascertained monthly) over the rent actually derived from the Premises by Landlord for such month (the amount of Rent deemed derived shall be the actual amount less any portion thereof attributable to Landlord’s reletting expenses described in </w:t>
      </w:r>
      <w:r>
        <w:rPr>
          <w:rFonts w:ascii="Times New Roman" w:hAnsi="Times New Roman"/>
          <w:sz w:val="20"/>
          <w:u w:val="single"/>
        </w:rPr>
        <w:t>Section 19,2.2</w:t>
      </w:r>
      <w:r>
        <w:rPr>
          <w:rFonts w:ascii="Times New Roman" w:hAnsi="Times New Roman"/>
          <w:sz w:val="20"/>
        </w:rPr>
        <w:t xml:space="preserve"> that have not been reimbursed by Tenant thereunder). </w:t>
      </w:r>
    </w:p>
    <w:p>
      <w:pPr>
        <w:pStyle w:val="TextBody"/>
        <w:bidi w:val="0"/>
        <w:spacing w:before="240" w:after="0"/>
        <w:jc w:val="left"/>
        <w:rPr>
          <w:rFonts w:ascii="Times New Roman" w:hAnsi="Times New Roman"/>
          <w:sz w:val="20"/>
        </w:rPr>
      </w:pPr>
      <w:r>
        <w:rPr>
          <w:rFonts w:ascii="Times New Roman" w:hAnsi="Times New Roman"/>
          <w:sz w:val="20"/>
        </w:rPr>
        <w:t>19.2.4 Free rent amounts, rent holidays, rent waivers, rent forgiveness and the like (collectively “</w:t>
      </w:r>
      <w:r>
        <w:rPr>
          <w:rFonts w:ascii="Times New Roman" w:hAnsi="Times New Roman"/>
          <w:b/>
          <w:sz w:val="20"/>
        </w:rPr>
        <w:t xml:space="preserve">Free Rent Amounts”), </w:t>
      </w:r>
      <w:r>
        <w:rPr>
          <w:rFonts w:ascii="Times New Roman" w:hAnsi="Times New Roman"/>
          <w:sz w:val="20"/>
        </w:rPr>
        <w:t xml:space="preserve">if any, have been agreed to by Landlord as inducements for Tenant to enter into and faithfully to perform all of its obligations contained in this Lease. For all purposes under this Lease, upon the termination of this Lease for any default, the unamortized portion of any Free Rent Amounts set forth in this Lease shall be deemed void as of the date of execution hereof as though such Free Rent Amounts had never been included in this Lease, and calculations of amounts due hereunder, damages and the like shall be determined accordingly. The foregoing shall occur automatically without the requirement of any further notice or action by Landlord not specifically required by </w:t>
      </w:r>
      <w:r>
        <w:rPr>
          <w:rFonts w:ascii="Times New Roman" w:hAnsi="Times New Roman"/>
          <w:sz w:val="20"/>
          <w:u w:val="single"/>
        </w:rPr>
        <w:t>Section 19.1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19.2.5 In lieu of any other damages or indemnity and in lieu of full recovery by Landlord of all sums payable under all the foregoing provisions of this </w:t>
      </w:r>
      <w:r>
        <w:rPr>
          <w:rFonts w:ascii="Times New Roman" w:hAnsi="Times New Roman"/>
          <w:sz w:val="20"/>
          <w:u w:val="single"/>
        </w:rPr>
        <w:t>Section 19.2</w:t>
      </w:r>
      <w:r>
        <w:rPr>
          <w:rFonts w:ascii="Times New Roman" w:hAnsi="Times New Roman"/>
          <w:sz w:val="20"/>
        </w:rPr>
        <w:t xml:space="preserve">, Landlord may by written notice to Tenant within six (6) months after termination under any of the provisions contained in </w:t>
      </w:r>
      <w:r>
        <w:rPr>
          <w:rFonts w:ascii="Times New Roman" w:hAnsi="Times New Roman"/>
          <w:sz w:val="20"/>
          <w:u w:val="single"/>
        </w:rPr>
        <w:t>Section 19.1</w:t>
      </w:r>
      <w:r>
        <w:rPr>
          <w:rFonts w:ascii="Times New Roman" w:hAnsi="Times New Roman"/>
          <w:sz w:val="20"/>
        </w:rPr>
        <w:t xml:space="preserve"> and before such full recovery, elect to recover, and Tenant shall thereupon pay, as minimum liquidated damages under this </w:t>
      </w:r>
      <w:r>
        <w:rPr>
          <w:rFonts w:ascii="Times New Roman" w:hAnsi="Times New Roman"/>
          <w:sz w:val="20"/>
          <w:u w:val="single"/>
        </w:rPr>
        <w:t>Section 19.2</w:t>
      </w:r>
      <w:r>
        <w:rPr>
          <w:rFonts w:ascii="Times New Roman" w:hAnsi="Times New Roman"/>
          <w:sz w:val="20"/>
        </w:rPr>
        <w:t xml:space="preserve">, an amount equal to the lesser of (i) the aggregate-of the Base Rent and Additional Rent for the balance of the Lease Term had it not been terminated or (ii) the aggregate thereof for the 12 months ending one year after the termination date, plus in either case (iii) the amount of Base Rent and Additional Rent of any kind accrued and unpaid at the time of termination and minus (iv) the amount of any recovery by Landlord under the foregoing provisions of this </w:t>
      </w:r>
      <w:r>
        <w:rPr>
          <w:rFonts w:ascii="Times New Roman" w:hAnsi="Times New Roman"/>
          <w:sz w:val="20"/>
          <w:u w:val="single"/>
        </w:rPr>
        <w:t>Section 19,2</w:t>
      </w:r>
      <w:r>
        <w:rPr>
          <w:rFonts w:ascii="Times New Roman" w:hAnsi="Times New Roman"/>
          <w:sz w:val="20"/>
        </w:rPr>
        <w:t xml:space="preserve"> up to the time of payment of such liquidated damages (but reduced by any amounts of reimbursement under </w:t>
      </w:r>
      <w:r>
        <w:rPr>
          <w:rFonts w:ascii="Times New Roman" w:hAnsi="Times New Roman"/>
          <w:sz w:val="20"/>
          <w:u w:val="single"/>
        </w:rPr>
        <w:t>Section 19.2.2</w:t>
      </w:r>
      <w:r>
        <w:rPr>
          <w:rFonts w:ascii="Times New Roman" w:hAnsi="Times New Roman"/>
          <w:sz w:val="20"/>
        </w:rPr>
        <w:t xml:space="preserve">). Liquidated damages hereunder shall not be in lieu of any claims for reimbursement under </w:t>
      </w:r>
      <w:r>
        <w:rPr>
          <w:rFonts w:ascii="Times New Roman" w:hAnsi="Times New Roman"/>
          <w:sz w:val="20"/>
          <w:u w:val="single"/>
        </w:rPr>
        <w:t>Section 19.2.2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19.2.6 If Landlord does not elect to terminate this Lease on account of any default by Tenant, Landlord may, from time to time, without terminating this Lease, enforce all of its rights and remedies under this Lease, including the right to recover ail Rent as it becomes due. </w:t>
      </w:r>
    </w:p>
    <w:p>
      <w:pPr>
        <w:pStyle w:val="TextBody"/>
        <w:bidi w:val="0"/>
        <w:spacing w:before="240" w:after="0"/>
        <w:jc w:val="left"/>
        <w:rPr>
          <w:rFonts w:ascii="Times New Roman" w:hAnsi="Times New Roman"/>
          <w:sz w:val="20"/>
        </w:rPr>
      </w:pPr>
      <w:r>
        <w:rPr>
          <w:rFonts w:ascii="Times New Roman" w:hAnsi="Times New Roman"/>
          <w:sz w:val="20"/>
        </w:rPr>
        <w:t xml:space="preserve">19.2.7 Landlord shall at all times have the rights and remedies (which shall be cumulative with each other and cumulative and in addition to those rights and remedies available under this </w:t>
      </w:r>
      <w:r>
        <w:rPr>
          <w:rFonts w:ascii="Times New Roman" w:hAnsi="Times New Roman"/>
          <w:sz w:val="20"/>
          <w:u w:val="single"/>
        </w:rPr>
        <w:t>Section 19,2</w:t>
      </w:r>
      <w:r>
        <w:rPr>
          <w:rFonts w:ascii="Times New Roman" w:hAnsi="Times New Roman"/>
          <w:sz w:val="20"/>
        </w:rPr>
        <w:t xml:space="preserve">, or any law or other provision of this Lease), without prior demand or notice except as required by Applicable Law, to seek any declaratory, injunctive or o&lt;her equitable relief, and specifically enforce this Lease, or restrain or enjoin a violation or breach of any provision hereof. The provisions of this </w:t>
      </w:r>
      <w:r>
        <w:rPr>
          <w:rFonts w:ascii="Times New Roman" w:hAnsi="Times New Roman"/>
          <w:sz w:val="20"/>
          <w:u w:val="single"/>
        </w:rPr>
        <w:t>Section 19.2.7</w:t>
      </w:r>
      <w:r>
        <w:rPr>
          <w:rFonts w:ascii="Times New Roman" w:hAnsi="Times New Roman"/>
          <w:sz w:val="20"/>
        </w:rPr>
        <w:t xml:space="preserve"> are not dependent upon the occurrence of a default. </w:t>
      </w:r>
    </w:p>
    <w:p>
      <w:pPr>
        <w:pStyle w:val="TextBody"/>
        <w:bidi w:val="0"/>
        <w:spacing w:before="240" w:after="0"/>
        <w:jc w:val="left"/>
        <w:rPr>
          <w:rFonts w:ascii="Times New Roman" w:hAnsi="Times New Roman"/>
          <w:sz w:val="20"/>
        </w:rPr>
      </w:pPr>
      <w:r>
        <w:rPr>
          <w:rFonts w:ascii="Times New Roman" w:hAnsi="Times New Roman"/>
          <w:sz w:val="20"/>
        </w:rPr>
        <w:t xml:space="preserve">19.2.8 After any termination of this Lease for a Tenant default, Landlord shall use commercially reasonable efforts to relet the Premises or any parts thereof, either in the name of Landlord or otherwise, for any term(s), and may grant market concessions or free rent to the extent that Landlord considers reasonably advisable and necessary to relet the same. Any obligation imposed by this Lease or by law upon Landlord to relet the Premises after any termination of the Lease shall be subject to the reasonable requirements of Landlord to lease to high quality tenants on such terms as Landlord may from time to time deem appropriate and to develop the Building in a harmonious manner with an appropriate mix of uses, tenants, floor areas and terms of tenancies, and the like, and Landlord shall not be obligated to relet the Premises to any party to whom Landlord or its affiliate may desire to lease other available space in the Building. Tenant shall not be liable for any consequential, indirect or special damages hereunder, except as expressly set forth in </w:t>
      </w:r>
      <w:r>
        <w:rPr>
          <w:rFonts w:ascii="Times New Roman" w:hAnsi="Times New Roman"/>
          <w:sz w:val="20"/>
          <w:u w:val="single"/>
        </w:rPr>
        <w:t>Article 5</w:t>
      </w:r>
      <w:r>
        <w:rPr>
          <w:rFonts w:ascii="Times New Roman" w:hAnsi="Times New Roman"/>
          <w:sz w:val="20"/>
        </w:rPr>
        <w:t xml:space="preserve"> or </w:t>
      </w:r>
      <w:r>
        <w:rPr>
          <w:rFonts w:ascii="Times New Roman" w:hAnsi="Times New Roman"/>
          <w:sz w:val="20"/>
          <w:u w:val="single"/>
        </w:rPr>
        <w:t>Article 16</w:t>
      </w:r>
      <w:r>
        <w:rPr>
          <w:rFonts w:ascii="Times New Roman" w:hAnsi="Times New Roman"/>
          <w:sz w:val="20"/>
        </w:rPr>
        <w:t xml:space="preserve">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19.2.9 Nothing herein shall limit or prejudice the right of Landlord to prove and obtain in a proceeding for bankruptcy, insolvency, arrangement or reorganization, by reason of the termination, an amount equal to the maximum allowed by a statute of law in effect at the time when, and governing the proceedings in which, the damages are to be proved, whether or not the amount is greater to, equal to, or less than the amount of the loss or damage which Landlord has suffered. </w:t>
      </w:r>
    </w:p>
    <w:p>
      <w:pPr>
        <w:pStyle w:val="TextBody"/>
        <w:bidi w:val="0"/>
        <w:spacing w:before="240" w:after="0"/>
        <w:jc w:val="left"/>
        <w:rPr>
          <w:rFonts w:ascii="Times New Roman" w:hAnsi="Times New Roman"/>
          <w:sz w:val="20"/>
        </w:rPr>
      </w:pPr>
      <w:r>
        <w:rPr>
          <w:rFonts w:ascii="Times New Roman" w:hAnsi="Times New Roman"/>
          <w:sz w:val="20"/>
        </w:rPr>
        <w:t xml:space="preserve">19.3 </w:t>
      </w:r>
      <w:r>
        <w:rPr>
          <w:rFonts w:ascii="Times New Roman" w:hAnsi="Times New Roman"/>
          <w:b/>
          <w:sz w:val="20"/>
          <w:u w:val="single"/>
        </w:rPr>
        <w:t>Subleases of Tenant</w:t>
      </w:r>
      <w:r>
        <w:rPr>
          <w:rFonts w:ascii="Times New Roman" w:hAnsi="Times New Roman"/>
          <w:sz w:val="20"/>
        </w:rPr>
        <w:t xml:space="preserve">. Whether or not Landlord elects to terminate this Lease on account of any default by Tenant, as set forth in this </w:t>
      </w:r>
      <w:r>
        <w:rPr>
          <w:rFonts w:ascii="Times New Roman" w:hAnsi="Times New Roman"/>
          <w:sz w:val="20"/>
          <w:u w:val="single"/>
        </w:rPr>
        <w:t>Article 19</w:t>
      </w:r>
      <w:r>
        <w:rPr>
          <w:rFonts w:ascii="Times New Roman" w:hAnsi="Times New Roman"/>
          <w:sz w:val="20"/>
        </w:rPr>
        <w:t xml:space="preserve">,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 </w:t>
      </w:r>
    </w:p>
    <w:p>
      <w:pPr>
        <w:pStyle w:val="TextBody"/>
        <w:bidi w:val="0"/>
        <w:spacing w:before="240" w:after="0"/>
        <w:jc w:val="left"/>
        <w:rPr>
          <w:rFonts w:ascii="Times New Roman" w:hAnsi="Times New Roman"/>
          <w:sz w:val="20"/>
        </w:rPr>
      </w:pPr>
      <w:r>
        <w:rPr>
          <w:rFonts w:ascii="Times New Roman" w:hAnsi="Times New Roman"/>
          <w:sz w:val="20"/>
        </w:rPr>
        <w:t xml:space="preserve">19.4 </w:t>
      </w:r>
      <w:r>
        <w:rPr>
          <w:rFonts w:ascii="Times New Roman" w:hAnsi="Times New Roman"/>
          <w:b/>
          <w:sz w:val="20"/>
          <w:u w:val="single"/>
        </w:rPr>
        <w:t>Efforts to Relet</w:t>
      </w:r>
      <w:r>
        <w:rPr>
          <w:rFonts w:ascii="Times New Roman" w:hAnsi="Times New Roman"/>
          <w:sz w:val="20"/>
        </w:rPr>
        <w:t xml:space="preserve">.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 </w:t>
      </w:r>
    </w:p>
    <w:p>
      <w:pPr>
        <w:pStyle w:val="TextBody"/>
        <w:bidi w:val="0"/>
        <w:spacing w:before="240" w:after="0"/>
        <w:jc w:val="left"/>
        <w:rPr>
          <w:rFonts w:ascii="Times New Roman" w:hAnsi="Times New Roman"/>
          <w:sz w:val="20"/>
        </w:rPr>
      </w:pPr>
      <w:r>
        <w:rPr>
          <w:rFonts w:ascii="Times New Roman" w:hAnsi="Times New Roman"/>
          <w:sz w:val="20"/>
        </w:rPr>
        <w:t xml:space="preserve">19.5 </w:t>
      </w:r>
      <w:r>
        <w:rPr>
          <w:rFonts w:ascii="Times New Roman" w:hAnsi="Times New Roman"/>
          <w:b/>
          <w:sz w:val="20"/>
          <w:u w:val="single"/>
        </w:rPr>
        <w:t>Landlord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19.5.1 </w:t>
      </w:r>
      <w:r>
        <w:rPr>
          <w:rFonts w:ascii="Times New Roman" w:hAnsi="Times New Roman"/>
          <w:b/>
          <w:sz w:val="20"/>
          <w:u w:val="single"/>
        </w:rPr>
        <w:t>General</w:t>
      </w:r>
      <w:r>
        <w:rPr>
          <w:rFonts w:ascii="Times New Roman" w:hAnsi="Times New Roman"/>
          <w:sz w:val="20"/>
        </w:rPr>
        <w:t xml:space="preserve">.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w:t>
      </w:r>
    </w:p>
    <w:p>
      <w:pPr>
        <w:pStyle w:val="TextBody"/>
        <w:bidi w:val="0"/>
        <w:spacing w:before="36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COVENANT OF QUIET ENJOYMENT </w:t>
      </w:r>
    </w:p>
    <w:p>
      <w:pPr>
        <w:pStyle w:val="TextBody"/>
        <w:bidi w:val="0"/>
        <w:spacing w:before="120" w:after="0"/>
        <w:jc w:val="left"/>
        <w:rPr>
          <w:rFonts w:ascii="Times New Roman" w:hAnsi="Times New Roman"/>
          <w:sz w:val="20"/>
        </w:rPr>
      </w:pPr>
      <w:r>
        <w:rPr>
          <w:rFonts w:ascii="Times New Roman" w:hAnsi="Times New Roman"/>
          <w:sz w:val="20"/>
        </w:rPr>
        <w:t xml:space="preserve">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 </w:t>
      </w:r>
    </w:p>
    <w:p>
      <w:pPr>
        <w:pStyle w:val="TextBody"/>
        <w:bidi w:val="0"/>
        <w:spacing w:before="36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SECURITY DEPOSIT </w:t>
      </w:r>
    </w:p>
    <w:p>
      <w:pPr>
        <w:pStyle w:val="TextBody"/>
        <w:bidi w:val="0"/>
        <w:spacing w:before="120" w:after="0"/>
        <w:jc w:val="left"/>
        <w:rPr>
          <w:rFonts w:ascii="Times New Roman" w:hAnsi="Times New Roman"/>
          <w:sz w:val="20"/>
        </w:rPr>
      </w:pPr>
      <w:r>
        <w:rPr>
          <w:rFonts w:ascii="Times New Roman" w:hAnsi="Times New Roman"/>
          <w:sz w:val="20"/>
        </w:rPr>
        <w:t xml:space="preserve">21.1 Concurrently with Tenant’s execution of this Lease, Tenant shall deposit with Landlord a letter of credit (the “L/C Security”) in the amount set forth in Section 9 of the Summary as security for the faithful performance by Tenant of all of its obligations under this Lease as follows: </w:t>
      </w:r>
    </w:p>
    <w:p>
      <w:pPr>
        <w:pStyle w:val="TextBody"/>
        <w:bidi w:val="0"/>
        <w:spacing w:before="240" w:after="0"/>
        <w:jc w:val="left"/>
        <w:rPr>
          <w:rFonts w:ascii="Times New Roman" w:hAnsi="Times New Roman"/>
          <w:sz w:val="20"/>
        </w:rPr>
      </w:pPr>
      <w:r>
        <w:rPr>
          <w:rFonts w:ascii="Times New Roman" w:hAnsi="Times New Roman"/>
          <w:sz w:val="20"/>
        </w:rPr>
        <w:t xml:space="preserve">(a) Tenant shall provide Landlord, and maintain in full force and effect throughout the Term and until the date that is sixty (60) days after the Lease Expiration Date, a letter of credit substantially in the form of </w:t>
      </w:r>
      <w:r>
        <w:rPr>
          <w:rFonts w:ascii="Times New Roman" w:hAnsi="Times New Roman"/>
          <w:sz w:val="20"/>
          <w:u w:val="single"/>
        </w:rPr>
        <w:t>Exhibit 21</w:t>
      </w:r>
      <w:r>
        <w:rPr>
          <w:rFonts w:ascii="Times New Roman" w:hAnsi="Times New Roman"/>
          <w:sz w:val="20"/>
        </w:rPr>
        <w:t xml:space="preserve"> issued by an issuer reasonably satisfactory to Landlord, in the amount set forth in </w:t>
      </w:r>
      <w:r>
        <w:rPr>
          <w:rFonts w:ascii="Times New Roman" w:hAnsi="Times New Roman"/>
          <w:sz w:val="20"/>
          <w:u w:val="single"/>
        </w:rPr>
        <w:t>Section 9</w:t>
      </w:r>
      <w:r>
        <w:rPr>
          <w:rFonts w:ascii="Times New Roman" w:hAnsi="Times New Roman"/>
          <w:sz w:val="20"/>
        </w:rPr>
        <w:t xml:space="preserve"> of the Summary, with an initial term of at least one year. If at any time during the Term (i) Landlord determines in its reasonable discretion that the financial condition of such issuer has changed in any materially adverse way from the financial condition of such issuer as of the date of execution of this Lease including, without limitation, if such issuer is declared insolvent or is placed into receivership or conservatorship by the Federal Deposit Insurance Corporation, or any successor or similar entity, if a trustee, receiver or liquidator is appointed for such issuer, if the credit rating of the long-term debt of the issuer of the letter of credit (according to Moody’s, Standard &amp; Poor’s or similar national rating agency reasonably identified by Landlord) is downgraded to a grade below investment grade, if the issuer enters into any supervisory agreement with any governmental authority or fails to meet any capital requirements imposed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Landlord may require the L/C Security to be replaced by an L/C Security issued by a different issuer, in which event Tenant shall within fifteen (15) days after written notice from Landlord deliver to Landlord a replacement L/C Security issued by a commercial bank or savings and loan association acceptable to Landlord in its reasonable discretion and that meets all other requirements of this Article. If Tenant has actual notice, or Landlord notifies Tenant at any time, that any issuer of the L/C Security has become insolvent or placed into FDIC receivership, then Tenant shall promptly deliver to Landlord (without the requirement of further notice from Landlord) substitute L/C Security issued by an issuer reasonably satisfactory to Landlord in its sole discretion and that meets all other requirements of this Article. As used herein with respect to the issuer of the L/C Security, “insolvent” shall mean the determination of insolvency as made by such issuer’s primary bank regulator (i.e., the state bank supervisor for state chartered banks; the OCC or OTS, respectively, for federally chartered banks or thrifts; or the Federal Reserve for its member banks. </w:t>
      </w:r>
    </w:p>
    <w:p>
      <w:pPr>
        <w:pStyle w:val="TextBody"/>
        <w:bidi w:val="0"/>
        <w:spacing w:before="240" w:after="0"/>
        <w:jc w:val="left"/>
        <w:rPr>
          <w:rFonts w:ascii="Times New Roman" w:hAnsi="Times New Roman"/>
          <w:sz w:val="20"/>
        </w:rPr>
      </w:pPr>
      <w:r>
        <w:rPr>
          <w:rFonts w:ascii="Times New Roman" w:hAnsi="Times New Roman"/>
          <w:sz w:val="20"/>
        </w:rPr>
        <w:t xml:space="preserve">(b) Landlord may draw upon the L/C Security, and hold and apply the proceeds for the payment of any Rent or any other sum in default, or to compensate Landlord for any other loss or damage that Landlord may suffer by reason of Tenant’s default, if: (i) a default beyond applicable notice and eyre periods exists (or would have existed with the giving of notice and passage of applicable cure periods, but only if transmittal of a default notice is stayed or barred by applicable bankruptcy or other similar law), provided that such draw pursuant to this clause (i) shall be limited to the amount that Landlord reasonably determines is required to cure such default; (ii) as of the date thirty (30) days before any L/C Security expires Tenant has not delivered to Landlord an amendment or replacement for such L/C Security, reasonably satisfactory to Landlord, pending the expiry date to date that is sixty (60) days after the then-current Lease Expiration Date; (iii) Tenant fails to pay spy bank charges for Landlord’s transfer of the L/C Security when due; or (iv)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 In the event of any such draw upon the L/C Security, Tenant shall within 10 businesses thereafter provide Landlord with a replacement letter of credit, or amendment to the existing letter of credit increasing the amount of such letter of credit, in the amount of L/C Security and in the form required hereunder, and Tenant’s failure^ do so shall be a material breach of this Lease. Landlord shall hold the proceeds of any draw not applied as set forth above as a cash Security Deposit as further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(c) If Landlord transfers its interest in the Premises, then Landlord shall transfer the L/C Security to the transferee of its interest and notify Tenant of such transfer, and Tenant shall at Tenant’s expense, within fifteen (15)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 (or a replacement of the L/C Security, upon receipt of which Landlord shall return the original L/C Security to Tenant). </w:t>
      </w:r>
    </w:p>
    <w:p>
      <w:pPr>
        <w:pStyle w:val="TextBody"/>
        <w:bidi w:val="0"/>
        <w:spacing w:before="240" w:after="0"/>
        <w:jc w:val="left"/>
        <w:rPr>
          <w:rFonts w:ascii="Times New Roman" w:hAnsi="Times New Roman"/>
          <w:sz w:val="20"/>
        </w:rPr>
      </w:pPr>
      <w:r>
        <w:rPr>
          <w:rFonts w:ascii="Times New Roman" w:hAnsi="Times New Roman"/>
          <w:sz w:val="20"/>
        </w:rPr>
        <w:t>(d) Provided that no default by Tenant under this Lease has previously occurred during the Lease Term that remained uncured all the expiration of all applicable notice and cure periods, Tenant shall have the onetime right, at any time on or before the date that is eighteen (18) months following the Fourth Floor Premises Commencement Date (the “</w:t>
      </w:r>
      <w:r>
        <w:rPr>
          <w:rFonts w:ascii="Times New Roman" w:hAnsi="Times New Roman"/>
          <w:b/>
          <w:sz w:val="20"/>
        </w:rPr>
        <w:t>Outside First Reduction Date</w:t>
      </w:r>
      <w:r>
        <w:rPr>
          <w:rFonts w:ascii="Times New Roman" w:hAnsi="Times New Roman"/>
          <w:sz w:val="20"/>
        </w:rPr>
        <w:t xml:space="preserve">”) to reduce the L/C Security to the amount of $681,117.75 following the closing of the Tenant’s currently contemplated Series A equity financing so long as such financing, through one or a series of related transactions, results in aggregate proceeds of at least $30,000,000.00 in unrestricted US funds and closes, with all such funds either received by, or committed to, Tenant in exchange for shares of Tenant’s capital stock (or securities convertible into Tenant’s capital stock) prior to the Outside First Reduction Date. Landlord agrees that Tenant may also complete one or more partnership transactions that would provide upfront and/or guaranteed funds committed to Tenant by a corporate partner, which funds from partnership transactions shall for the purposes of this clause (d) constitute Series A equity financing so long as receipt by Tenant of such amounts is not (i) subject to contingencies, (ii) subject to repayment by Tenant for any reason whatsoever (e.g., refunds or “clawbacks”), (iii) dependent upon Tenant’s achievement of milestones, (iv) dependent upon the occurrence of future events, or (v) payable to Tenant subsequent to the Outside First Reduction Date. The closing of such financing shall be evidenced by Tenant’s delivery of updated financial statements in the form previously provide to Landlord and certified by Tenant’s chief financial officer, together with an updated organizational chart of Tenant and such other information evidencing the closing as Landlord may reasonable request. The reduction of the L/C Security in accordance with the preceding sentences shall be accomplished by the replacement or amendment of the L/C Security in a form complying with the terms of this </w:t>
      </w:r>
      <w:r>
        <w:rPr>
          <w:rFonts w:ascii="Times New Roman" w:hAnsi="Times New Roman"/>
          <w:sz w:val="20"/>
          <w:u w:val="single"/>
        </w:rPr>
        <w:t>Article 21</w:t>
      </w:r>
      <w:r>
        <w:rPr>
          <w:rFonts w:ascii="Times New Roman" w:hAnsi="Times New Roman"/>
          <w:sz w:val="20"/>
        </w:rPr>
        <w:t xml:space="preserve">. For the avoidance of doubt, the parties agree that if funds payable to Tenant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Outside First Reduction Date deemed to constitute Series A equity financing for purposes of this clause (d) are not in fact paid to Tenant prior to the date that is twenty- four (24) months following the Fourth Floor Premises Commencement Date, the L/C Security shall be increased to the original sum of $908,157.00, and such increase of the L/C Security shall be accomplished by the replacement or amendment of the L/C Security in a form complying with the terms of this </w:t>
      </w:r>
      <w:r>
        <w:rPr>
          <w:rFonts w:ascii="Times New Roman" w:hAnsi="Times New Roman"/>
          <w:sz w:val="20"/>
          <w:u w:val="single"/>
        </w:rPr>
        <w:t>Article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Provided that (i) no default by Tenant under this Lease has previously occurred during the Lease Term that remained uncured after the expiration of all applicable notice and cure periods, and (ii) the L/C Security has been reduced to the amount of $681,117.75 in accordance with the preceding paragraph (without having been reinstated pursuant to the immediately preceding sentence), Tenant shall have the one-time right, on the date that is thirty (30) months following the Fourth Floor Premises Commencement Date (the “</w:t>
      </w:r>
      <w:r>
        <w:rPr>
          <w:rFonts w:ascii="Times New Roman" w:hAnsi="Times New Roman"/>
          <w:b/>
          <w:sz w:val="20"/>
        </w:rPr>
        <w:t>Second Reduction Date</w:t>
      </w:r>
      <w:r>
        <w:rPr>
          <w:rFonts w:ascii="Times New Roman" w:hAnsi="Times New Roman"/>
          <w:sz w:val="20"/>
        </w:rPr>
        <w:t xml:space="preserve">”), to further reduce the L/C Security to the amount of $454,078.50. The reduction of the L/C Security in accordance with the preceding sentence shall be accomplished by the replacement or amendment of the L/C Security in a form complying with the terms of this </w:t>
      </w:r>
      <w:r>
        <w:rPr>
          <w:rFonts w:ascii="Times New Roman" w:hAnsi="Times New Roman"/>
          <w:sz w:val="20"/>
          <w:u w:val="single"/>
        </w:rPr>
        <w:t>Article 21</w:t>
      </w:r>
      <w:r>
        <w:rPr>
          <w:rFonts w:ascii="Times New Roman" w:hAnsi="Times New Roman"/>
          <w:sz w:val="20"/>
        </w:rPr>
        <w:t xml:space="preserve">. For the avoidance of doubt, the parties agree that if the amount of the L/C Security has not been reduced by the Outside First Reduction Date in accordance with the preceding paragraph, Tenant shall have no right to reduce the amount of the L/C Security on or after the Second Reduction Date. </w:t>
      </w:r>
    </w:p>
    <w:p>
      <w:pPr>
        <w:pStyle w:val="TextBody"/>
        <w:bidi w:val="0"/>
        <w:spacing w:before="240" w:after="0"/>
        <w:jc w:val="left"/>
        <w:rPr>
          <w:rFonts w:ascii="Times New Roman" w:hAnsi="Times New Roman"/>
          <w:sz w:val="20"/>
        </w:rPr>
      </w:pPr>
      <w:r>
        <w:rPr>
          <w:rFonts w:ascii="Times New Roman" w:hAnsi="Times New Roman"/>
          <w:sz w:val="20"/>
        </w:rPr>
        <w:t xml:space="preserve">(e) If and to the extent Landlord is holding the proceeds of the L/C Security in cash from time to time, such cash shall be held by Landlord a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(beyond applicable notice and cure periods)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as provided in this Lease. The provisions of this Article shall survive the expiration or earlier termination of this Lease. In the event of bankruptcy or other debtor-creditor proceedings against Tenant, any cash security then being held by Landlord shall be deemed to be applied first to the payment of Rent and other charges due Landlord for all periods prior to the filing of such proceedings. Landlord shall deliver or credit to any purchaser of Landlord’s interest in the Premises the funds then held hereunder by Landlord, and thereupon (and upon confirmation by the transferee of such funds, whether expressly or by written assumption of this Lease, generally) Landlord shall be discharged from any further liability with respect to such funds. This provision shall also apply to any subsequent transfers. If Tenant shall fully and faithfully perform every provision of this Lease to be performed by it, then the cash security, if any, or any balance thereof, shall be returned to Tenant (of, at Landlord’s option, to the last assignee of Tenant’s interest hereunder) within sixty (60) days after the expiration or earlier termination of this Lease. If and to the extent the security held by Landlord hereunder shall be in cash, Landlord shall hold such cash in an account at a banking organization selected by Landlord; </w:t>
      </w:r>
      <w:r>
        <w:rPr>
          <w:rFonts w:ascii="Times New Roman" w:hAnsi="Times New Roman"/>
          <w:sz w:val="20"/>
          <w:u w:val="single"/>
        </w:rPr>
        <w:t>provided</w:t>
      </w:r>
      <w:r>
        <w:rPr>
          <w:rFonts w:ascii="Times New Roman" w:hAnsi="Times New Roman"/>
          <w:sz w:val="20"/>
        </w:rPr>
        <w:t xml:space="preserve">, however, that Landlord shall not be required to maintain a separate account for the cash security, but may intermingle it with other funds of Landlord. Landlord shall be entitled to all interest and/or dividends, if any, accruing on such cash security. </w:t>
      </w:r>
    </w:p>
    <w:p>
      <w:pPr>
        <w:pStyle w:val="TextBody"/>
        <w:bidi w:val="0"/>
        <w:spacing w:before="36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SUBSTITUTION OF OTHER PREMISES </w:t>
      </w:r>
    </w:p>
    <w:p>
      <w:pPr>
        <w:pStyle w:val="TextBody"/>
        <w:bidi w:val="0"/>
        <w:spacing w:before="120" w:after="0"/>
        <w:jc w:val="left"/>
        <w:rPr>
          <w:rFonts w:ascii="Times New Roman" w:hAnsi="Times New Roman"/>
          <w:sz w:val="20"/>
        </w:rPr>
      </w:pPr>
      <w:r>
        <w:rPr>
          <w:rFonts w:ascii="Times New Roman" w:hAnsi="Times New Roman"/>
          <w:sz w:val="20"/>
        </w:rPr>
        <w:t xml:space="preserve">Intentionally Omitted. </w:t>
      </w:r>
    </w:p>
    <w:p>
      <w:pPr>
        <w:pStyle w:val="TextBody"/>
        <w:bidi w:val="0"/>
        <w:spacing w:before="36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SIGNS </w:t>
      </w:r>
    </w:p>
    <w:p>
      <w:pPr>
        <w:pStyle w:val="TextBody"/>
        <w:bidi w:val="0"/>
        <w:spacing w:before="120" w:after="0"/>
        <w:jc w:val="left"/>
        <w:rPr>
          <w:rFonts w:ascii="Times New Roman" w:hAnsi="Times New Roman"/>
          <w:sz w:val="20"/>
        </w:rPr>
      </w:pPr>
      <w:r>
        <w:rPr>
          <w:rFonts w:ascii="Times New Roman" w:hAnsi="Times New Roman"/>
          <w:sz w:val="20"/>
        </w:rPr>
        <w:t xml:space="preserve">23.1 </w:t>
      </w:r>
      <w:r>
        <w:rPr>
          <w:rFonts w:ascii="Times New Roman" w:hAnsi="Times New Roman"/>
          <w:b/>
          <w:sz w:val="20"/>
          <w:u w:val="single"/>
        </w:rPr>
        <w:t>Signage</w:t>
      </w:r>
      <w:r>
        <w:rPr>
          <w:rFonts w:ascii="Times New Roman" w:hAnsi="Times New Roman"/>
          <w:sz w:val="20"/>
        </w:rPr>
        <w:t xml:space="preserve">. Tenant shall not install any signage (including, without limitation, any signs identifying Tenant’s name or advertising Tenant’s merchandise or otherwise) in or about the Premises that is visible from the exterior of the Premises or in any other part of the Project except as expressly permitted in this </w:t>
      </w:r>
      <w:r>
        <w:rPr>
          <w:rFonts w:ascii="Times New Roman" w:hAnsi="Times New Roman"/>
          <w:sz w:val="20"/>
          <w:u w:val="single"/>
        </w:rPr>
        <w:t>Article 23</w:t>
      </w:r>
      <w:r>
        <w:rPr>
          <w:rFonts w:ascii="Times New Roman" w:hAnsi="Times New Roman"/>
          <w:sz w:val="20"/>
        </w:rPr>
        <w:t xml:space="preserve">. Landlord shall provide Tenant with a building-standard multi-tenant lobby directory listing and a multi-tenant floor directory listing identifying Tenant. Such signage shall be comparable to that used by Landlord for other similar floors in the Building and shall comply with Landlord’s then-current Building standard signage program. Subject to Landlord’s prior written approval, in its reasonable discretion, and provided all signs are in keeping with the quality, design and style of the Building and Project, Tenant, at its sole cost and expense, may install one sign identifying Tenant at the entry to the Premises, which identification signage shall be consistent with building standard signage as determined by Landlord. All permitted signs shall be maintained by Tenant at its expense in a first-class and safe condition and appearance. Upon the expiration or earlier termination of this Lease, Tenant shall remove all of its signs at Tenant’s sole cost and expense. Tenant shall repair any damage to the Premises or Project, inside or outside, resulting from the erection, maintenance or removal of any 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23.2 </w:t>
      </w:r>
      <w:r>
        <w:rPr>
          <w:rFonts w:ascii="Times New Roman" w:hAnsi="Times New Roman"/>
          <w:b/>
          <w:sz w:val="20"/>
          <w:u w:val="single"/>
        </w:rPr>
        <w:t>Prohibited Signage and Other Items</w:t>
      </w:r>
      <w:r>
        <w:rPr>
          <w:rFonts w:ascii="Times New Roman" w:hAnsi="Times New Roman"/>
          <w:sz w:val="20"/>
        </w:rPr>
        <w:t xml:space="preserve">.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 Tenant shall not place or install any projections, antennae, aerials, or similar devices inside or outside of the Building, without the prior written approval of Landlord, subject to Tenant’s rights pursuant to </w:t>
      </w:r>
      <w:r>
        <w:rPr>
          <w:rFonts w:ascii="Times New Roman" w:hAnsi="Times New Roman"/>
          <w:sz w:val="20"/>
          <w:u w:val="single"/>
        </w:rPr>
        <w:t>Section 23.2</w:t>
      </w:r>
      <w:r>
        <w:rPr>
          <w:rFonts w:ascii="Times New Roman" w:hAnsi="Times New Roman"/>
          <w:sz w:val="20"/>
        </w:rPr>
        <w:t xml:space="preserve">, above. </w:t>
      </w:r>
    </w:p>
    <w:p>
      <w:pPr>
        <w:pStyle w:val="TextBody"/>
        <w:bidi w:val="0"/>
        <w:spacing w:before="36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COMPLIANCE WITH LAW </w:t>
      </w:r>
    </w:p>
    <w:p>
      <w:pPr>
        <w:pStyle w:val="TextBody"/>
        <w:bidi w:val="0"/>
        <w:spacing w:before="120" w:after="0"/>
        <w:jc w:val="left"/>
        <w:rPr>
          <w:rFonts w:ascii="Times New Roman" w:hAnsi="Times New Roman"/>
          <w:sz w:val="20"/>
        </w:rPr>
      </w:pPr>
      <w:r>
        <w:rPr>
          <w:rFonts w:ascii="Times New Roman" w:hAnsi="Times New Roman"/>
          <w:sz w:val="20"/>
        </w:rPr>
        <w:t>Tenant shall not do anything or suffer anything to be done by any Tenant Party in or about the Premises or the Project which will in any way conflict with any law, statute, ordinance or other federal, state or local governmental rule, regulation or requirement now in force or which may hereafter be enacted or promulgated (collectively, “</w:t>
      </w:r>
      <w:r>
        <w:rPr>
          <w:rFonts w:ascii="Times New Roman" w:hAnsi="Times New Roman"/>
          <w:b/>
          <w:sz w:val="20"/>
        </w:rPr>
        <w:t>Applicable Laws</w:t>
      </w:r>
      <w:r>
        <w:rPr>
          <w:rFonts w:ascii="Times New Roman" w:hAnsi="Times New Roman"/>
          <w:sz w:val="20"/>
        </w:rPr>
        <w:t xml:space="preserve">”). At its sole cost and expense, Tenant shall promptly comply with all such Applicable Laws which relate to (i) Tenant’s use of the Premises, (ii) any Alterations or tenant improvements, or (iii) the Building, but as to the Building, only to the extent such obligations are triggered by Alterations or tenant improvements, or Tenant’s use of the Premises for non-general office and laboratory use. Tenant shall be responsible, at its sole cost and expense, to make all alterations to the Premises and Building as are required to comply with the Applicable Laws to the extent required in this </w:t>
      </w:r>
      <w:r>
        <w:rPr>
          <w:rFonts w:ascii="Times New Roman" w:hAnsi="Times New Roman"/>
          <w:sz w:val="20"/>
          <w:u w:val="single"/>
        </w:rPr>
        <w:t xml:space="preserve">Article </w:t>
      </w:r>
      <w:r>
        <w:rPr>
          <w:rFonts w:ascii="Times New Roman" w:hAnsi="Times New Roman"/>
          <w:sz w:val="20"/>
        </w:rPr>
        <w:t xml:space="preserve">24. Notwithstanding the foregoing terms of this </w:t>
      </w:r>
      <w:r>
        <w:rPr>
          <w:rFonts w:ascii="Times New Roman" w:hAnsi="Times New Roman"/>
          <w:sz w:val="20"/>
          <w:u w:val="single"/>
        </w:rPr>
        <w:t>Article 24</w:t>
      </w:r>
      <w:r>
        <w:rPr>
          <w:rFonts w:ascii="Times New Roman" w:hAnsi="Times New Roman"/>
          <w:sz w:val="20"/>
        </w:rPr>
        <w:t xml:space="preserve"> to the contrary, Tenant may defer such compliance with Applicable Laws while Tenant contests, in a court of proper jurisdiction, in good faith, the applicability of such Applicable Laws to the Premises or Tenant’s specific use or occupancy of the Premises; provided, however, Tenant may only defer such compliance if such deferral shall not (a) prohibit Tenant from obtaining or maintaining a certificate of occupancy for the Premises, (b) prohibit Landlord from obtaining or maintaining a certificate of occupancy for the Building or any portion thereof, (c) unreasonably and materially affect the safety of the employees and/or invitees of Landlord or of any tenant in the Building (including Tenant), (d) create a significant health hazard for the employees and/or invitees of Landlord or of any tenant in the Building (including Tenant), (e) otherwise materially and adversely affect Tenant’s use of or access to the Buildings or the Premises, or (f) impose material obligations, liability, fines, or penalties upon Landlord or any other tenant of the Building, or would materially and adversely affect the use of or access to the Building by Landlord or other tenants or invitees of the Building.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Common Areas of the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or would otherwise materially and adversely affect Tenant’s use of or access to the Premises. Landlord shall be permitted to include in Operating Expenses any costs or expenses incurred by Landlord under this </w:t>
      </w:r>
      <w:r>
        <w:rPr>
          <w:rFonts w:ascii="Times New Roman" w:hAnsi="Times New Roman"/>
          <w:sz w:val="20"/>
          <w:u w:val="single"/>
        </w:rPr>
        <w:t>Article 24</w:t>
      </w:r>
      <w:r>
        <w:rPr>
          <w:rFonts w:ascii="Times New Roman" w:hAnsi="Times New Roman"/>
          <w:sz w:val="20"/>
        </w:rPr>
        <w:t xml:space="preserve"> to the extent not prohibited by the terms of </w:t>
      </w:r>
      <w:r>
        <w:rPr>
          <w:rFonts w:ascii="Times New Roman" w:hAnsi="Times New Roman"/>
          <w:sz w:val="20"/>
          <w:u w:val="single"/>
        </w:rPr>
        <w:t>Section 4.2.7</w:t>
      </w:r>
      <w:r>
        <w:rPr>
          <w:rFonts w:ascii="Times New Roman" w:hAnsi="Times New Roman"/>
          <w:sz w:val="20"/>
        </w:rPr>
        <w:t xml:space="preserve"> above. Landlord represents and warrants to Tenant that, as of the date of this Lease, the Common Areas of the Building comply with Applicable Laws including the Americans with Disabilities Act. </w:t>
      </w:r>
    </w:p>
    <w:p>
      <w:pPr>
        <w:pStyle w:val="TextBody"/>
        <w:bidi w:val="0"/>
        <w:spacing w:before="36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LATE CHARGES </w:t>
      </w:r>
    </w:p>
    <w:p>
      <w:pPr>
        <w:pStyle w:val="TextBody"/>
        <w:bidi w:val="0"/>
        <w:spacing w:before="120" w:after="0"/>
        <w:jc w:val="left"/>
        <w:rPr>
          <w:rFonts w:ascii="Times New Roman" w:hAnsi="Times New Roman"/>
          <w:sz w:val="20"/>
        </w:rPr>
      </w:pPr>
      <w:r>
        <w:rPr>
          <w:rFonts w:ascii="Times New Roman" w:hAnsi="Times New Roman"/>
          <w:sz w:val="20"/>
        </w:rPr>
        <w:t xml:space="preserve">If any installment of Rent or any other sum due from Tenant shall not be received by Landlord or Landlord’s designee within five (5) business days after the date due, then Tenant shall pay to Landlord a late charge equal to five percent (5%) of the overdue amount plus any reasonable attorneys’ fees incurred by Landlord by reason of Tenant’s failure to pay Rent and/or other charges when due hereunder. Notwithstanding the foregoing, Landlord shall not charge Tenant a late charge for the first (1st) late payment in any twelve (12) month period unless Tenant fails to timely pay such amount within five (5) business days following notice from Landlord that such amount is past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 paid when due shall bear interest from the date when due until paid at a rate per annum equal to the lesser of (i) the annual “</w:t>
      </w:r>
      <w:r>
        <w:rPr>
          <w:rFonts w:ascii="Times New Roman" w:hAnsi="Times New Roman"/>
          <w:b/>
          <w:sz w:val="20"/>
        </w:rPr>
        <w:t>Bank Prime Loan</w:t>
      </w:r>
      <w:r>
        <w:rPr>
          <w:rFonts w:ascii="Times New Roman" w:hAnsi="Times New Roman"/>
          <w:sz w:val="20"/>
        </w:rPr>
        <w:t xml:space="preserve">” rate cited in the Federal Reserve Statistical Release Publication G. 13(415), published on the first Tuesday of each calendar month (or such other comparable index as Landlord and Tenant shall reasonably agree upon if such rate ceases to be published) plus eight </w:t>
      </w:r>
      <w:r>
        <w:rPr>
          <w:rFonts w:ascii="Times New Roman" w:hAnsi="Times New Roman"/>
          <w:b/>
          <w:sz w:val="20"/>
        </w:rPr>
        <w:t>(8)</w:t>
      </w:r>
      <w:r>
        <w:rPr>
          <w:rFonts w:ascii="Times New Roman" w:hAnsi="Times New Roman"/>
          <w:sz w:val="20"/>
        </w:rPr>
        <w:t xml:space="preserve"> percentage points, and (ii) the highest rate permitted by Applicable Law. </w:t>
      </w:r>
    </w:p>
    <w:p>
      <w:pPr>
        <w:pStyle w:val="TextBody"/>
        <w:bidi w:val="0"/>
        <w:spacing w:before="36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LANDLORD’S RIGHT TO CURE DEFAULT; PAYMENTS BY TENANT </w:t>
      </w:r>
    </w:p>
    <w:p>
      <w:pPr>
        <w:pStyle w:val="TextBody"/>
        <w:bidi w:val="0"/>
        <w:spacing w:before="120" w:after="0"/>
        <w:jc w:val="left"/>
        <w:rPr>
          <w:rFonts w:ascii="Times New Roman" w:hAnsi="Times New Roman"/>
          <w:sz w:val="20"/>
        </w:rPr>
      </w:pPr>
      <w:r>
        <w:rPr>
          <w:rFonts w:ascii="Times New Roman" w:hAnsi="Times New Roman"/>
          <w:sz w:val="20"/>
        </w:rPr>
        <w:t xml:space="preserve">26.1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Cure</w:t>
      </w:r>
      <w:r>
        <w:rPr>
          <w:rFonts w:ascii="Times New Roman" w:hAnsi="Times New Roman"/>
          <w:sz w:val="20"/>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perforin any obligation under this Lease, and such failure shall continue in excess of the time allowed under </w:t>
      </w:r>
      <w:r>
        <w:rPr>
          <w:rFonts w:ascii="Times New Roman" w:hAnsi="Times New Roman"/>
          <w:sz w:val="20"/>
          <w:u w:val="single"/>
        </w:rPr>
        <w:t>Section 19.1.2,</w:t>
      </w:r>
      <w:r>
        <w:rPr>
          <w:rFonts w:ascii="Times New Roman" w:hAnsi="Times New Roman"/>
          <w:sz w:val="20"/>
        </w:rPr>
        <w:t xml:space="preserve"> above, unless a specific time period is otherwise stated in this Lease, Landlord may, but shall not be obligated to, make any such payment or perform any such act on Tenant’s part without waiving its tights based upon any default of Tenant and without releasing Tenant from any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26.2 </w:t>
      </w:r>
      <w:r>
        <w:rPr>
          <w:rFonts w:ascii="Times New Roman" w:hAnsi="Times New Roman"/>
          <w:b/>
          <w:sz w:val="20"/>
          <w:u w:val="single"/>
        </w:rPr>
        <w:t>Tenant</w:t>
      </w:r>
      <w:r>
        <w:rPr>
          <w:rFonts w:ascii="Times New Roman" w:hAnsi="Times New Roman"/>
          <w:sz w:val="20"/>
          <w:u w:val="single"/>
        </w:rPr>
        <w:t>’</w:t>
      </w:r>
      <w:r>
        <w:rPr>
          <w:rFonts w:ascii="Times New Roman" w:hAnsi="Times New Roman"/>
          <w:b/>
          <w:sz w:val="20"/>
          <w:u w:val="single"/>
        </w:rPr>
        <w:t>s Reimbursement</w:t>
      </w:r>
      <w:r>
        <w:rPr>
          <w:rFonts w:ascii="Times New Roman" w:hAnsi="Times New Roman"/>
          <w:sz w:val="20"/>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Times New Roman" w:hAnsi="Times New Roman"/>
          <w:sz w:val="20"/>
          <w:u w:val="single"/>
        </w:rPr>
        <w:t>Section 26,1</w:t>
      </w:r>
      <w:r>
        <w:rPr>
          <w:rFonts w:ascii="Times New Roman" w:hAnsi="Times New Roman"/>
          <w:sz w:val="20"/>
        </w:rPr>
        <w:t xml:space="preserve">; (ii) sums equal to all losses, costs, liabilities, damages and expenses referred to in </w:t>
      </w:r>
      <w:r>
        <w:rPr>
          <w:rFonts w:ascii="Times New Roman" w:hAnsi="Times New Roman"/>
          <w:sz w:val="20"/>
          <w:u w:val="single"/>
        </w:rPr>
        <w:t>Section 10.1</w:t>
      </w:r>
      <w:r>
        <w:rPr>
          <w:rFonts w:ascii="Times New Roman" w:hAnsi="Times New Roman"/>
          <w:sz w:val="20"/>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hAnsi="Times New Roman"/>
          <w:sz w:val="20"/>
          <w:u w:val="single"/>
        </w:rPr>
        <w:t>Section 26.2</w:t>
      </w:r>
      <w:r>
        <w:rPr>
          <w:rFonts w:ascii="Times New Roman" w:hAnsi="Times New Roman"/>
          <w:sz w:val="20"/>
        </w:rPr>
        <w:t xml:space="preserve"> shall survive the expiration or sooner termination of the Lease Term. </w:t>
      </w:r>
    </w:p>
    <w:p>
      <w:pPr>
        <w:pStyle w:val="TextBody"/>
        <w:bidi w:val="0"/>
        <w:spacing w:before="36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ENTRY BY LANDLORD </w:t>
      </w:r>
    </w:p>
    <w:p>
      <w:pPr>
        <w:pStyle w:val="TextBody"/>
        <w:bidi w:val="0"/>
        <w:spacing w:before="120" w:after="0"/>
        <w:jc w:val="left"/>
        <w:rPr>
          <w:rFonts w:ascii="Times New Roman" w:hAnsi="Times New Roman"/>
          <w:sz w:val="20"/>
        </w:rPr>
      </w:pPr>
      <w:r>
        <w:rPr>
          <w:rFonts w:ascii="Times New Roman" w:hAnsi="Times New Roman"/>
          <w:sz w:val="20"/>
        </w:rPr>
        <w:t xml:space="preserve">Landlord reserves the right at all reasonable times and upon not less than one (1) day’s prior notice to Tenant which may be given by telephone or electronic mail (except in the case of an emergency or with respect to regularly scheduled services) to enter the Premises to (i) inspect them; (ii) show the Premises to prospective purchasers, or to current or prospective mortgagees, ground or underlying lessors or insurers or, during the last twelve (12) months of the Lease Term and accompanied by a representative of Tenant (provided that Tenant makes a representative available for the same),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Provided that Landlord employs commercially reasonable efforts to minimize interference with the conduct of Tenant’s business in connection with entries into the Premises, Landlord may make any such entries without the abatement of Rent, except as otherwise expressly provided in this Lease, and shall take such reasonable steps as required to accomplish the stated purposes. In an emergency, Landlord shall have the right to use any means that Landlord may deem proper to open the doors in and to the Premises.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Tenant shall, at all times during the Term, be responsible for ensuring that Landlord has any and all keys, cards, codes or other means necessary to access the Premises. </w:t>
      </w:r>
    </w:p>
    <w:p>
      <w:pPr>
        <w:pStyle w:val="TextBody"/>
        <w:bidi w:val="0"/>
        <w:spacing w:before="240" w:after="0"/>
        <w:jc w:val="left"/>
        <w:rPr>
          <w:rFonts w:ascii="Times New Roman" w:hAnsi="Times New Roman"/>
          <w:sz w:val="20"/>
        </w:rPr>
      </w:pPr>
      <w:r>
        <w:rPr>
          <w:rFonts w:ascii="Times New Roman" w:hAnsi="Times New Roman"/>
          <w:sz w:val="20"/>
        </w:rPr>
        <w:t>Landlord further reserves the right to the areas designated as “</w:t>
      </w:r>
      <w:r>
        <w:rPr>
          <w:rFonts w:ascii="Times New Roman" w:hAnsi="Times New Roman"/>
          <w:b/>
          <w:sz w:val="20"/>
        </w:rPr>
        <w:t xml:space="preserve">Restricted Shaft Space” </w:t>
      </w:r>
      <w:r>
        <w:rPr>
          <w:rFonts w:ascii="Times New Roman" w:hAnsi="Times New Roman"/>
          <w:sz w:val="20"/>
        </w:rPr>
        <w:t>and “</w:t>
      </w:r>
      <w:r>
        <w:rPr>
          <w:rFonts w:ascii="Times New Roman" w:hAnsi="Times New Roman"/>
          <w:b/>
          <w:sz w:val="20"/>
        </w:rPr>
        <w:t xml:space="preserve">Future Shaft Wall” </w:t>
      </w:r>
      <w:r>
        <w:rPr>
          <w:rFonts w:ascii="Times New Roman" w:hAnsi="Times New Roman"/>
          <w:sz w:val="20"/>
        </w:rPr>
        <w:t xml:space="preserve">on </w:t>
      </w:r>
      <w:r>
        <w:rPr>
          <w:rFonts w:ascii="Times New Roman" w:hAnsi="Times New Roman"/>
          <w:sz w:val="20"/>
          <w:u w:val="single"/>
        </w:rPr>
        <w:t>Exhibit 27</w:t>
      </w:r>
      <w:r>
        <w:rPr>
          <w:rFonts w:ascii="Times New Roman" w:hAnsi="Times New Roman"/>
          <w:sz w:val="20"/>
        </w:rPr>
        <w:t xml:space="preserve">, attached, on each applicable floor of the Premises for the future installation of additional shaft walls and risers for the tenants or occupants of floors beneath the applicable floor of the Premises. Upon the giving of such notice, the designated areas on </w:t>
      </w:r>
      <w:r>
        <w:rPr>
          <w:rFonts w:ascii="Times New Roman" w:hAnsi="Times New Roman"/>
          <w:sz w:val="20"/>
          <w:u w:val="single"/>
        </w:rPr>
        <w:t>Exhibit 27</w:t>
      </w:r>
      <w:r>
        <w:rPr>
          <w:rFonts w:ascii="Times New Roman" w:hAnsi="Times New Roman"/>
          <w:sz w:val="20"/>
        </w:rPr>
        <w:t xml:space="preserve"> (the “</w:t>
      </w:r>
      <w:r>
        <w:rPr>
          <w:rFonts w:ascii="Times New Roman" w:hAnsi="Times New Roman"/>
          <w:b/>
          <w:sz w:val="20"/>
        </w:rPr>
        <w:t xml:space="preserve">Future Shaft Areas”) </w:t>
      </w:r>
      <w:r>
        <w:rPr>
          <w:rFonts w:ascii="Times New Roman" w:hAnsi="Times New Roman"/>
          <w:sz w:val="20"/>
        </w:rPr>
        <w:t xml:space="preserve">shall be treated as Common Areas. Tenant shall not make any Alterations in the Future Shaft Areas and shall remove any of Tenant’s property from the same upon reasonable prior notice from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Tenant shall provide Landlord reasonable access to the Premises outside of business hours and shall allow Landlord, as a reserved right, to use the removable windows in the Premises for the purpose of moving large items into the Building (including but not limited to large equipment, furniture and construction items) from time to time upon at least three (3) business days’ notice to Tenant (provided, however, that Landlord (a) shall use commercially reasonable efforts to minimize any material interference with Tenant’s use of the Premises in the exercise of Landlord’s rights under this paragraph, and (b) subject to the provisions of </w:t>
      </w:r>
      <w:r>
        <w:rPr>
          <w:rFonts w:ascii="Times New Roman" w:hAnsi="Times New Roman"/>
          <w:sz w:val="20"/>
          <w:u w:val="single"/>
        </w:rPr>
        <w:t>Section 10,5</w:t>
      </w:r>
      <w:r>
        <w:rPr>
          <w:rFonts w:ascii="Times New Roman" w:hAnsi="Times New Roman"/>
          <w:sz w:val="20"/>
        </w:rPr>
        <w:t xml:space="preserve"> above, shall be fully liable for any damage done to the Premises and/or Tenant’s property located in the Premises in connection with such use of the Premises, and shall indemnify and hold Tenant harmless from and against any claims for personal injury or property damage that result from Landlord’s use of the Premises as set forth in this paragraph. </w:t>
      </w:r>
    </w:p>
    <w:p>
      <w:pPr>
        <w:pStyle w:val="TextBody"/>
        <w:bidi w:val="0"/>
        <w:spacing w:before="36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TENANT PARKING </w:t>
      </w:r>
    </w:p>
    <w:p>
      <w:pPr>
        <w:pStyle w:val="TextBody"/>
        <w:bidi w:val="0"/>
        <w:spacing w:before="120" w:after="0"/>
        <w:jc w:val="left"/>
        <w:rPr>
          <w:rFonts w:ascii="Times New Roman" w:hAnsi="Times New Roman"/>
          <w:sz w:val="20"/>
        </w:rPr>
      </w:pPr>
      <w:r>
        <w:rPr>
          <w:rFonts w:ascii="Times New Roman" w:hAnsi="Times New Roman"/>
          <w:sz w:val="20"/>
        </w:rPr>
        <w:t xml:space="preserve">During the Term, Landlord shall provide Tenant with parking passes for use by standard size automobiles and small utility vehicles in an amount equal to the number of parking passes set forth in </w:t>
      </w:r>
      <w:r>
        <w:rPr>
          <w:rFonts w:ascii="Times New Roman" w:hAnsi="Times New Roman"/>
          <w:sz w:val="20"/>
          <w:u w:val="single"/>
        </w:rPr>
        <w:t>Section 10</w:t>
      </w:r>
      <w:r>
        <w:rPr>
          <w:rFonts w:ascii="Times New Roman" w:hAnsi="Times New Roman"/>
          <w:sz w:val="20"/>
        </w:rPr>
        <w:t xml:space="preserve"> of the Summary, which parking passes shall pertain to the parking located in the on-site parking facility (or facilities) which serve the Project. All such parking shall be on a first-come, first-serve basis, in common with others entitled to use the same. Tenant’s continued right to use the parking passes is conditioned upon Tenant abiding by all reasonable rules and regulations which are prescribed from time to lime for the orderly operation and use of the parking facility where the parking passes provide access (including any sticker or other identification system established by Landlord and the prohibition of vehicle repair and maintenance activities in the parking facilities), and Tenant shall cooperate in seeing that any Tenant Parties and Tenant visitors also comply with such rules and regulations. Tenant’s use of the parking passes for parking at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except to the extent caused by the gross negligence or willful misconduct of Landlord or any Landlord Parties. Landlord shall have the right to assign its obligations under this </w:t>
      </w:r>
      <w:r>
        <w:rPr>
          <w:rFonts w:ascii="Times New Roman" w:hAnsi="Times New Roman"/>
          <w:sz w:val="20"/>
          <w:u w:val="single"/>
        </w:rPr>
        <w:t>Section 28</w:t>
      </w:r>
      <w:r>
        <w:rPr>
          <w:rFonts w:ascii="Times New Roman" w:hAnsi="Times New Roman"/>
          <w:sz w:val="20"/>
        </w:rPr>
        <w:t xml:space="preserve"> to an affiliate of Landlord or a third-party parking manager or operator, in which case Tenant shall make any payments due under this </w:t>
      </w:r>
      <w:r>
        <w:rPr>
          <w:rFonts w:ascii="Times New Roman" w:hAnsi="Times New Roman"/>
          <w:sz w:val="20"/>
          <w:u w:val="single"/>
        </w:rPr>
        <w:t>Section 28</w:t>
      </w:r>
      <w:r>
        <w:rPr>
          <w:rFonts w:ascii="Times New Roman" w:hAnsi="Times New Roman"/>
          <w:sz w:val="20"/>
        </w:rPr>
        <w:t xml:space="preserve"> directly to such other entity. </w:t>
      </w:r>
    </w:p>
    <w:p>
      <w:pPr>
        <w:pStyle w:val="TextBody"/>
        <w:bidi w:val="0"/>
        <w:spacing w:before="240" w:after="0"/>
        <w:jc w:val="left"/>
        <w:rPr>
          <w:rFonts w:ascii="Times New Roman" w:hAnsi="Times New Roman"/>
          <w:sz w:val="20"/>
        </w:rPr>
      </w:pPr>
      <w:r>
        <w:rPr>
          <w:rFonts w:ascii="Times New Roman" w:hAnsi="Times New Roman"/>
          <w:sz w:val="20"/>
        </w:rPr>
        <w:t xml:space="preserve">Tenant shall pay for such parking passes (whether or not so used) at Landlord’s then current prevailing monthly rate for parking spaces (currently $300 per space per month). The prevailing monthly rate for parking passes shall be subject to change from time to time as determined by Landlord. Such payments shall constitute Additional Rent for purposes of the Lease. Payments under this Section shall be made at the places and times and subject to the conditions specified for payments of Base Rent, or at such other places and times as Landlord shall specify in writing. Without limiting Landlord’s other remedies under the Lease, if Tenant shall fail to pay the amounts due for such parking passes for more than thirty (30) days after notice of such failure, then Landlord may terminate Tenant’s rights to such passes immediately upon notice by Landlord. Tenant’s rights under this </w:t>
      </w:r>
      <w:r>
        <w:rPr>
          <w:rFonts w:ascii="Times New Roman" w:hAnsi="Times New Roman"/>
          <w:sz w:val="20"/>
          <w:u w:val="single"/>
        </w:rPr>
        <w:t xml:space="preserve">Article 28 </w:t>
      </w:r>
      <w:r>
        <w:rPr>
          <w:rFonts w:ascii="Times New Roman" w:hAnsi="Times New Roman"/>
          <w:sz w:val="20"/>
        </w:rPr>
        <w:t xml:space="preserve">shall not be assigned or sublicensed except in connection with an assignment or sublease permitted under </w:t>
      </w:r>
      <w:r>
        <w:rPr>
          <w:rFonts w:ascii="Times New Roman" w:hAnsi="Times New Roman"/>
          <w:sz w:val="20"/>
          <w:u w:val="single"/>
        </w:rPr>
        <w:t>Article 14</w:t>
      </w:r>
      <w:r>
        <w:rPr>
          <w:rFonts w:ascii="Times New Roman" w:hAnsi="Times New Roman"/>
          <w:sz w:val="20"/>
        </w:rPr>
        <w:t>. Subject to the rights of other tenants or occupants in the Building, Tenant may request additional parking passes from time to time upon at least 45 days’ prior written notice to Landlord. Any such additional parking passes (the “</w:t>
      </w:r>
      <w:r>
        <w:rPr>
          <w:rFonts w:ascii="Times New Roman" w:hAnsi="Times New Roman"/>
          <w:b/>
          <w:sz w:val="20"/>
        </w:rPr>
        <w:t>Additional Passes</w:t>
      </w:r>
      <w:r>
        <w:rPr>
          <w:rFonts w:ascii="Times New Roman" w:hAnsi="Times New Roman"/>
          <w:sz w:val="20"/>
        </w:rPr>
        <w:t xml:space="preserve">”) shall be used by Tenant on all of the terms and conditions applicable to the passes otherwise provided to Tenant under this </w:t>
      </w:r>
      <w:r>
        <w:rPr>
          <w:rFonts w:ascii="Times New Roman" w:hAnsi="Times New Roman"/>
          <w:sz w:val="20"/>
          <w:u w:val="single"/>
        </w:rPr>
        <w:t>Article 28</w:t>
      </w:r>
      <w:r>
        <w:rPr>
          <w:rFonts w:ascii="Times New Roman" w:hAnsi="Times New Roman"/>
          <w:sz w:val="20"/>
        </w:rPr>
        <w:t xml:space="preserve"> except that Landlord may terminate Tenant’s rights to one or more Additional Passes from time to time on at least thirty (30) days’ prior written notice to Tenant if required to satisfy the building standard ratio of .80 parking passes per 1,000 rentable square feet associated with then-vacant premises in the Building. </w:t>
      </w:r>
    </w:p>
    <w:p>
      <w:pPr>
        <w:pStyle w:val="TextBody"/>
        <w:bidi w:val="0"/>
        <w:spacing w:before="36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29.1 </w:t>
      </w:r>
      <w:r>
        <w:rPr>
          <w:rFonts w:ascii="Times New Roman" w:hAnsi="Times New Roman"/>
          <w:b/>
          <w:sz w:val="20"/>
          <w:u w:val="single"/>
        </w:rPr>
        <w:t>Terms; Captions</w:t>
      </w:r>
      <w:r>
        <w:rPr>
          <w:rFonts w:ascii="Times New Roman" w:hAnsi="Times New Roman"/>
          <w:sz w:val="20"/>
        </w:rPr>
        <w:t>. The words “</w:t>
      </w:r>
      <w:r>
        <w:rPr>
          <w:rFonts w:ascii="Times New Roman" w:hAnsi="Times New Roman"/>
          <w:b/>
          <w:sz w:val="20"/>
        </w:rPr>
        <w:t>Landlord</w:t>
      </w:r>
      <w:r>
        <w:rPr>
          <w:rFonts w:ascii="Times New Roman" w:hAnsi="Times New Roman"/>
          <w:sz w:val="20"/>
        </w:rPr>
        <w:t>” and “</w:t>
      </w:r>
      <w:r>
        <w:rPr>
          <w:rFonts w:ascii="Times New Roman" w:hAnsi="Times New Roman"/>
          <w:b/>
          <w:sz w:val="20"/>
        </w:rPr>
        <w:t>Tenant</w:t>
      </w:r>
      <w:r>
        <w:rPr>
          <w:rFonts w:ascii="Times New Roman" w:hAnsi="Times New Roman"/>
          <w:sz w:val="20"/>
        </w:rPr>
        <w:t xml:space="preserve">”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 </w:t>
      </w:r>
    </w:p>
    <w:p>
      <w:pPr>
        <w:pStyle w:val="TextBody"/>
        <w:bidi w:val="0"/>
        <w:spacing w:before="240" w:after="0"/>
        <w:jc w:val="left"/>
        <w:rPr>
          <w:rFonts w:ascii="Times New Roman" w:hAnsi="Times New Roman"/>
          <w:sz w:val="20"/>
        </w:rPr>
      </w:pPr>
      <w:r>
        <w:rPr>
          <w:rFonts w:ascii="Times New Roman" w:hAnsi="Times New Roman"/>
          <w:sz w:val="20"/>
        </w:rPr>
        <w:t xml:space="preserve">29.2 </w:t>
      </w:r>
      <w:r>
        <w:rPr>
          <w:rFonts w:ascii="Times New Roman" w:hAnsi="Times New Roman"/>
          <w:b/>
          <w:sz w:val="20"/>
          <w:u w:val="single"/>
        </w:rPr>
        <w:t>Binding Effect</w:t>
      </w:r>
      <w:r>
        <w:rPr>
          <w:rFonts w:ascii="Times New Roman" w:hAnsi="Times New Roman"/>
          <w:sz w:val="20"/>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hAnsi="Times New Roman"/>
          <w:sz w:val="20"/>
          <w:u w:val="single"/>
        </w:rPr>
        <w:t>Article 14</w:t>
      </w:r>
      <w:r>
        <w:rPr>
          <w:rFonts w:ascii="Times New Roman" w:hAnsi="Times New Roman"/>
          <w:sz w:val="20"/>
        </w:rPr>
        <w:t xml:space="preserve">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29.3 </w:t>
      </w:r>
      <w:r>
        <w:rPr>
          <w:rFonts w:ascii="Times New Roman" w:hAnsi="Times New Roman"/>
          <w:b/>
          <w:sz w:val="20"/>
          <w:u w:val="single"/>
        </w:rPr>
        <w:t>No Air Rights</w:t>
      </w:r>
      <w:r>
        <w:rPr>
          <w:rFonts w:ascii="Times New Roman" w:hAnsi="Times New Roman"/>
          <w:sz w:val="20"/>
        </w:rPr>
        <w:t xml:space="preserve">.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29.4 </w:t>
      </w:r>
      <w:r>
        <w:rPr>
          <w:rFonts w:ascii="Times New Roman" w:hAnsi="Times New Roman"/>
          <w:b/>
          <w:sz w:val="20"/>
          <w:u w:val="single"/>
        </w:rPr>
        <w:t>Modification of Lease</w:t>
      </w:r>
      <w:r>
        <w:rPr>
          <w:rFonts w:ascii="Times New Roman" w:hAnsi="Times New Roman"/>
          <w:sz w:val="20"/>
        </w:rPr>
        <w:t xml:space="preserve">. Should any current or prospective mortgagee or ground lessor for the Building or Project require a modification of this Lease, which modification will nor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29.5 </w:t>
      </w:r>
      <w:r>
        <w:rPr>
          <w:rFonts w:ascii="Times New Roman" w:hAnsi="Times New Roman"/>
          <w:b/>
          <w:sz w:val="20"/>
          <w:u w:val="single"/>
        </w:rPr>
        <w:t>Transfer of Landlord</w:t>
      </w:r>
      <w:r>
        <w:rPr>
          <w:rFonts w:ascii="Times New Roman" w:hAnsi="Times New Roman"/>
          <w:sz w:val="20"/>
          <w:u w:val="single"/>
        </w:rPr>
        <w:t>’</w:t>
      </w:r>
      <w:r>
        <w:rPr>
          <w:rFonts w:ascii="Times New Roman" w:hAnsi="Times New Roman"/>
          <w:b/>
          <w:sz w:val="20"/>
          <w:u w:val="single"/>
        </w:rPr>
        <w:t>s Interest</w:t>
      </w:r>
      <w:r>
        <w:rPr>
          <w:rFonts w:ascii="Times New Roman" w:hAnsi="Times New Roman"/>
          <w:sz w:val="20"/>
        </w:rPr>
        <w:t xml:space="preserve">. Tenant acknowledges that Landlord has the right to transfer all or any portion of its interest in the Project or Building and in this Lease, and Tenant agrees that in the event of any such transfer, provided Landlord has transferred all of its obligations under this Lease arising from and after the date of such assignment to the assignee, and assignee has fully assumed same, Landlord shall automatically be released from all liability under this Lease arising subsequent to such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 </w:t>
      </w:r>
    </w:p>
    <w:p>
      <w:pPr>
        <w:pStyle w:val="TextBody"/>
        <w:bidi w:val="0"/>
        <w:spacing w:before="240" w:after="0"/>
        <w:jc w:val="left"/>
        <w:rPr>
          <w:rFonts w:ascii="Times New Roman" w:hAnsi="Times New Roman"/>
          <w:sz w:val="20"/>
        </w:rPr>
      </w:pPr>
      <w:r>
        <w:rPr>
          <w:rFonts w:ascii="Times New Roman" w:hAnsi="Times New Roman"/>
          <w:sz w:val="20"/>
        </w:rPr>
        <w:t xml:space="preserve">29.6 </w:t>
      </w:r>
      <w:r>
        <w:rPr>
          <w:rFonts w:ascii="Times New Roman" w:hAnsi="Times New Roman"/>
          <w:b/>
          <w:sz w:val="20"/>
          <w:u w:val="single"/>
        </w:rPr>
        <w:t>Prohibition Against Recording</w:t>
      </w:r>
      <w:r>
        <w:rPr>
          <w:rFonts w:ascii="Times New Roman" w:hAnsi="Times New Roman"/>
          <w:sz w:val="20"/>
        </w:rPr>
        <w:t xml:space="preserve">. Landlord and Tenant agree not to record this Lease. In the event this Lease, a copy or any notice or memorandum thereof shall be recorded by Tenant, then such recording shall constitute a default by Tenant under </w:t>
      </w:r>
      <w:r>
        <w:rPr>
          <w:rFonts w:ascii="Times New Roman" w:hAnsi="Times New Roman"/>
          <w:sz w:val="20"/>
          <w:u w:val="single"/>
        </w:rPr>
        <w:t>Article 19</w:t>
      </w:r>
      <w:r>
        <w:rPr>
          <w:rFonts w:ascii="Times New Roman" w:hAnsi="Times New Roman"/>
          <w:sz w:val="20"/>
        </w:rPr>
        <w:t xml:space="preserve"> hereof entitling Landlord to immediately terminate this Lease. At the request of either Landlord or Tenant, the parties shall execute a document in recordable form containing only such information as is necessary to constitute a Notice of Lease under Massachusetts law. All costs of preparation and recording such notice shall be borne by Tenant. At the expiration or earlier termination of this Lease, Tenant shall provide Landlord with an executed termination of the Notice of Lease in recordable form, which obligation shall survive such expiration or earlier termination. </w:t>
      </w:r>
    </w:p>
    <w:p>
      <w:pPr>
        <w:pStyle w:val="TextBody"/>
        <w:bidi w:val="0"/>
        <w:spacing w:before="240" w:after="0"/>
        <w:jc w:val="left"/>
        <w:rPr>
          <w:rFonts w:ascii="Times New Roman" w:hAnsi="Times New Roman"/>
          <w:sz w:val="20"/>
        </w:rPr>
      </w:pPr>
      <w:r>
        <w:rPr>
          <w:rFonts w:ascii="Times New Roman" w:hAnsi="Times New Roman"/>
          <w:sz w:val="20"/>
        </w:rPr>
        <w:t xml:space="preserve">29.7 </w:t>
      </w:r>
      <w:r>
        <w:rPr>
          <w:rFonts w:ascii="Times New Roman" w:hAnsi="Times New Roman"/>
          <w:b/>
          <w:sz w:val="20"/>
          <w:u w:val="single"/>
        </w:rPr>
        <w:t>Landlord</w:t>
      </w:r>
      <w:r>
        <w:rPr>
          <w:rFonts w:ascii="Times New Roman" w:hAnsi="Times New Roman"/>
          <w:sz w:val="20"/>
          <w:u w:val="single"/>
        </w:rPr>
        <w:t>’</w:t>
      </w:r>
      <w:r>
        <w:rPr>
          <w:rFonts w:ascii="Times New Roman" w:hAnsi="Times New Roman"/>
          <w:b/>
          <w:sz w:val="20"/>
          <w:u w:val="single"/>
        </w:rPr>
        <w:t>s Title</w:t>
      </w:r>
      <w:r>
        <w:rPr>
          <w:rFonts w:ascii="Times New Roman" w:hAnsi="Times New Roman"/>
          <w:sz w:val="20"/>
        </w:rPr>
        <w:t xml:space="preserve">. Landlord’s title is and always shall be paramount to the title of Tenant. Nothing herein contained shall empower Tenant to do any act which can, shall or may encumber the title of Landlord. </w:t>
      </w:r>
    </w:p>
    <w:p>
      <w:pPr>
        <w:pStyle w:val="TextBody"/>
        <w:bidi w:val="0"/>
        <w:spacing w:before="240" w:after="0"/>
        <w:jc w:val="left"/>
        <w:rPr>
          <w:rFonts w:ascii="Times New Roman" w:hAnsi="Times New Roman"/>
          <w:sz w:val="20"/>
        </w:rPr>
      </w:pPr>
      <w:r>
        <w:rPr>
          <w:rFonts w:ascii="Times New Roman" w:hAnsi="Times New Roman"/>
          <w:sz w:val="20"/>
        </w:rPr>
        <w:t xml:space="preserve">29.8 </w:t>
      </w:r>
      <w:r>
        <w:rPr>
          <w:rFonts w:ascii="Times New Roman" w:hAnsi="Times New Roman"/>
          <w:b/>
          <w:sz w:val="20"/>
          <w:u w:val="single"/>
        </w:rPr>
        <w:t>Relationship of Parties</w:t>
      </w:r>
      <w:r>
        <w:rPr>
          <w:rFonts w:ascii="Times New Roman" w:hAnsi="Times New Roman"/>
          <w:sz w:val="20"/>
        </w:rPr>
        <w:t xml:space="preserve">. Nothing contained in this Lease shall be deemed or construed by the parties hereto or by any third party to create the relationship of principal and agent, partnership, joint venturer or any association between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29.9 </w:t>
      </w:r>
      <w:r>
        <w:rPr>
          <w:rFonts w:ascii="Times New Roman" w:hAnsi="Times New Roman"/>
          <w:b/>
          <w:sz w:val="20"/>
          <w:u w:val="single"/>
        </w:rPr>
        <w:t>Application of Payments</w:t>
      </w:r>
      <w:r>
        <w:rPr>
          <w:rFonts w:ascii="Times New Roman" w:hAnsi="Times New Roman"/>
          <w:sz w:val="20"/>
        </w:rPr>
        <w:t xml:space="preserve">. Landlord shall have the right to apply payments received from Tenant pursuant to this Lease, regardless of Tenant’s designation of such payments, to satisfy any obligations of Tenant hereunder that are then due and payable, in such order and amounts as Landlord, in its sole discretion, may elect. </w:t>
      </w:r>
    </w:p>
    <w:p>
      <w:pPr>
        <w:pStyle w:val="TextBody"/>
        <w:bidi w:val="0"/>
        <w:spacing w:before="240" w:after="0"/>
        <w:jc w:val="left"/>
        <w:rPr>
          <w:rFonts w:ascii="Times New Roman" w:hAnsi="Times New Roman"/>
          <w:sz w:val="20"/>
        </w:rPr>
      </w:pPr>
      <w:r>
        <w:rPr>
          <w:rFonts w:ascii="Times New Roman" w:hAnsi="Times New Roman"/>
          <w:sz w:val="20"/>
        </w:rPr>
        <w:t xml:space="preserve">29.10 </w:t>
      </w:r>
      <w:r>
        <w:rPr>
          <w:rFonts w:ascii="Times New Roman" w:hAnsi="Times New Roman"/>
          <w:b/>
          <w:sz w:val="20"/>
          <w:u w:val="single"/>
        </w:rPr>
        <w:t>Time of Essence</w:t>
      </w:r>
      <w:r>
        <w:rPr>
          <w:rFonts w:ascii="Times New Roman" w:hAnsi="Times New Roman"/>
          <w:sz w:val="20"/>
        </w:rPr>
        <w:t xml:space="preserve">. Time is of the essence with respect to the performance of every provision of this Lease in which time of performance is a factor. </w:t>
      </w:r>
    </w:p>
    <w:p>
      <w:pPr>
        <w:pStyle w:val="TextBody"/>
        <w:bidi w:val="0"/>
        <w:spacing w:before="240" w:after="0"/>
        <w:jc w:val="left"/>
        <w:rPr>
          <w:rFonts w:ascii="Times New Roman" w:hAnsi="Times New Roman"/>
          <w:sz w:val="20"/>
        </w:rPr>
      </w:pPr>
      <w:r>
        <w:rPr>
          <w:rFonts w:ascii="Times New Roman" w:hAnsi="Times New Roman"/>
          <w:sz w:val="20"/>
        </w:rPr>
        <w:t xml:space="preserve">29.11 </w:t>
      </w:r>
      <w:r>
        <w:rPr>
          <w:rFonts w:ascii="Times New Roman" w:hAnsi="Times New Roman"/>
          <w:b/>
          <w:sz w:val="20"/>
          <w:u w:val="single"/>
        </w:rPr>
        <w:t>Partial Invalidity</w:t>
      </w:r>
      <w:r>
        <w:rPr>
          <w:rFonts w:ascii="Times New Roman" w:hAnsi="Times New Roman"/>
          <w:sz w:val="20"/>
        </w:rPr>
        <w:t xml:space="preserve">.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29.12 </w:t>
      </w:r>
      <w:r>
        <w:rPr>
          <w:rFonts w:ascii="Times New Roman" w:hAnsi="Times New Roman"/>
          <w:b/>
          <w:sz w:val="20"/>
          <w:u w:val="single"/>
        </w:rPr>
        <w:t>No Warranty</w:t>
      </w:r>
      <w:r>
        <w:rPr>
          <w:rFonts w:ascii="Times New Roman" w:hAnsi="Times New Roman"/>
          <w:sz w:val="20"/>
        </w:rPr>
        <w:t xml:space="preserve">.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expressly set forth herein or in one or more of the exhibits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29.13 </w:t>
      </w:r>
      <w:r>
        <w:rPr>
          <w:rFonts w:ascii="Times New Roman" w:hAnsi="Times New Roman"/>
          <w:b/>
          <w:sz w:val="20"/>
          <w:u w:val="single"/>
        </w:rPr>
        <w:t>Landlord Exculpation</w:t>
      </w:r>
      <w:r>
        <w:rPr>
          <w:rFonts w:ascii="Times New Roman" w:hAnsi="Times New Roman"/>
          <w:b/>
          <w:sz w:val="20"/>
        </w:rPr>
        <w:t xml:space="preserve">. </w:t>
      </w:r>
      <w:r>
        <w:rPr>
          <w:rFonts w:ascii="Times New Roman" w:hAnsi="Times New Roman"/>
          <w:sz w:val="20"/>
        </w:rPr>
        <w:t xml:space="preserve">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Project.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hAnsi="Times New Roman"/>
          <w:sz w:val="20"/>
          <w:u w:val="single"/>
        </w:rPr>
        <w:t>Section 29.13</w:t>
      </w:r>
      <w:r>
        <w:rPr>
          <w:rFonts w:ascii="Times New Roman" w:hAnsi="Times New Roman"/>
          <w:sz w:val="20"/>
        </w:rPr>
        <w:t xml:space="preserve"> shall inure to the benefit of Landlord’s and the Landlord Parties’ present and future partners, members, managers, beneficiaries, officers, directors, trustees, shareholders, agents and employees, and their respective partners, members, managers, heirs, successors and assigns. Under no circumstances shall any present or future partner, limited partner, or member of Landlord (if Landlord is a partnership, limited partnership or limited liability company), or trustee or beneficiary (if Landlord or any member or other beneficial owner of Landlord is a trust), have any liability for the performance of Landlord’s obligations under this Lease. Notwithstanding any contrary provision herein, neither Landlord nor the Landlord Parties shall be liable under any circumstances for consequential or indirect damages, including without limitation injury or damage to, or interference with, Tenant’s business, loss of profits, loss of refits or other revenues, loss of business opportunity, loss of goodwill or loss of use, in each case, however occurring. </w:t>
      </w:r>
    </w:p>
    <w:p>
      <w:pPr>
        <w:pStyle w:val="TextBody"/>
        <w:bidi w:val="0"/>
        <w:spacing w:before="240" w:after="0"/>
        <w:jc w:val="left"/>
        <w:rPr>
          <w:rFonts w:ascii="Times New Roman" w:hAnsi="Times New Roman"/>
          <w:sz w:val="20"/>
        </w:rPr>
      </w:pPr>
      <w:r>
        <w:rPr>
          <w:rFonts w:ascii="Times New Roman" w:hAnsi="Times New Roman"/>
          <w:sz w:val="20"/>
        </w:rPr>
        <w:t xml:space="preserve">29.14 </w:t>
      </w:r>
      <w:r>
        <w:rPr>
          <w:rFonts w:ascii="Times New Roman" w:hAnsi="Times New Roman"/>
          <w:b/>
          <w:sz w:val="20"/>
          <w:u w:val="single"/>
        </w:rPr>
        <w:t>Entire Agreement</w:t>
      </w:r>
      <w:r>
        <w:rPr>
          <w:rFonts w:ascii="Times New Roman" w:hAnsi="Times New Roman"/>
          <w:b/>
          <w:sz w:val="20"/>
        </w:rPr>
        <w:t xml:space="preserve">. </w:t>
      </w:r>
      <w:r>
        <w:rPr>
          <w:rFonts w:ascii="Times New Roman" w:hAnsi="Times New Roman"/>
          <w:sz w:val="20"/>
        </w:rPr>
        <w:t xml:space="preserve">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29.15 </w:t>
      </w:r>
      <w:r>
        <w:rPr>
          <w:rFonts w:ascii="Times New Roman" w:hAnsi="Times New Roman"/>
          <w:b/>
          <w:sz w:val="20"/>
          <w:u w:val="single"/>
        </w:rPr>
        <w:t>Right to Lease</w:t>
      </w:r>
      <w:r>
        <w:rPr>
          <w:rFonts w:ascii="Times New Roman" w:hAnsi="Times New Roman"/>
          <w:b/>
          <w:sz w:val="20"/>
        </w:rPr>
        <w:t xml:space="preserve">. </w:t>
      </w:r>
      <w:r>
        <w:rPr>
          <w:rFonts w:ascii="Times New Roman" w:hAnsi="Times New Roman"/>
          <w:sz w:val="20"/>
        </w:rPr>
        <w:t xml:space="preserve">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 </w:t>
      </w:r>
    </w:p>
    <w:p>
      <w:pPr>
        <w:pStyle w:val="TextBody"/>
        <w:bidi w:val="0"/>
        <w:spacing w:before="240" w:after="0"/>
        <w:jc w:val="left"/>
        <w:rPr>
          <w:rFonts w:ascii="Times New Roman" w:hAnsi="Times New Roman"/>
          <w:sz w:val="20"/>
        </w:rPr>
      </w:pPr>
      <w:r>
        <w:rPr>
          <w:rFonts w:ascii="Times New Roman" w:hAnsi="Times New Roman"/>
          <w:sz w:val="20"/>
        </w:rPr>
        <w:t xml:space="preserve">29.16 </w:t>
      </w:r>
      <w:r>
        <w:rPr>
          <w:rFonts w:ascii="Times New Roman" w:hAnsi="Times New Roman"/>
          <w:b/>
          <w:sz w:val="20"/>
          <w:u w:val="single"/>
        </w:rPr>
        <w:t>Force Majeure</w:t>
      </w:r>
      <w:r>
        <w:rPr>
          <w:rFonts w:ascii="Times New Roman" w:hAnsi="Times New Roman"/>
          <w:b/>
          <w:sz w:val="20"/>
        </w:rPr>
        <w:t xml:space="preserve">. </w:t>
      </w:r>
      <w:r>
        <w:rPr>
          <w:rFonts w:ascii="Times New Roman" w:hAnsi="Times New Roman"/>
          <w:sz w:val="20"/>
        </w:rPr>
        <w:t>Any prevention, delay or stoppage due to strikes, lockouts, labor disputes, acts of God, acts of war, terrorist acts, governmental action or inaction,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Times New Roman" w:hAnsi="Times New Roman"/>
          <w:b/>
          <w:sz w:val="20"/>
        </w:rPr>
        <w:t>Force Majeure</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w:t>
      </w:r>
    </w:p>
    <w:p>
      <w:pPr>
        <w:pStyle w:val="TextBody"/>
        <w:bidi w:val="0"/>
        <w:spacing w:before="240" w:after="0"/>
        <w:jc w:val="left"/>
        <w:rPr>
          <w:rFonts w:ascii="Times New Roman" w:hAnsi="Times New Roman"/>
          <w:sz w:val="20"/>
        </w:rPr>
      </w:pPr>
      <w:r>
        <w:rPr>
          <w:rFonts w:ascii="Times New Roman" w:hAnsi="Times New Roman"/>
          <w:sz w:val="20"/>
        </w:rPr>
        <w:t xml:space="preserve">29.17 </w:t>
      </w:r>
      <w:r>
        <w:rPr>
          <w:rFonts w:ascii="Times New Roman" w:hAnsi="Times New Roman"/>
          <w:b/>
          <w:sz w:val="20"/>
          <w:u w:val="single"/>
        </w:rPr>
        <w:t>Waiver of Redemption by Tenant</w:t>
      </w:r>
      <w:r>
        <w:rPr>
          <w:rFonts w:ascii="Times New Roman" w:hAnsi="Times New Roman"/>
          <w:b/>
          <w:sz w:val="20"/>
        </w:rPr>
        <w:t xml:space="preserve">. </w:t>
      </w:r>
      <w:r>
        <w:rPr>
          <w:rFonts w:ascii="Times New Roman" w:hAnsi="Times New Roman"/>
          <w:sz w:val="20"/>
        </w:rPr>
        <w:t xml:space="preserve">Tenant hereby waives, for Tenant and for all those claiming under Tenant, any and all rights now or hereafter existing to redeem by order or judgment of any court or by any legal process or writ, Tenant’s right of occupancy of the Premises after any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29.18 </w:t>
      </w:r>
      <w:r>
        <w:rPr>
          <w:rFonts w:ascii="Times New Roman" w:hAnsi="Times New Roman"/>
          <w:b/>
          <w:sz w:val="20"/>
          <w:u w:val="single"/>
        </w:rPr>
        <w:t>Notices</w:t>
      </w:r>
      <w:r>
        <w:rPr>
          <w:rFonts w:ascii="Times New Roman" w:hAnsi="Times New Roman"/>
          <w:b/>
          <w:sz w:val="20"/>
        </w:rPr>
        <w:t xml:space="preserve">. </w:t>
      </w:r>
      <w:r>
        <w:rPr>
          <w:rFonts w:ascii="Times New Roman" w:hAnsi="Times New Roman"/>
          <w:sz w:val="20"/>
        </w:rPr>
        <w:t>All notices, demands, statements, designations, approvals or other communications (collectively, “</w:t>
      </w:r>
      <w:r>
        <w:rPr>
          <w:rFonts w:ascii="Times New Roman" w:hAnsi="Times New Roman"/>
          <w:b/>
          <w:sz w:val="20"/>
        </w:rPr>
        <w:t>Notices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given or required to be given by either party to the other hereunder or by law shall be in writing, shall be (A) sent by United States certified or registered mail, postage prepaid, return receipt requested </w:t>
      </w:r>
      <w:r>
        <w:rPr>
          <w:rFonts w:ascii="Times New Roman" w:hAnsi="Times New Roman"/>
          <w:b/>
          <w:sz w:val="20"/>
        </w:rPr>
        <w:t>(</w:t>
      </w:r>
      <w:r>
        <w:rPr>
          <w:rFonts w:ascii="Times New Roman" w:hAnsi="Times New Roman"/>
          <w:sz w:val="20"/>
        </w:rPr>
        <w:t>“</w:t>
      </w:r>
      <w:r>
        <w:rPr>
          <w:rFonts w:ascii="Times New Roman" w:hAnsi="Times New Roman"/>
          <w:b/>
          <w:sz w:val="20"/>
        </w:rPr>
        <w:t>Mail</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(B) delivered by a nationally recognized overnight courier, or (C) delivered personally. Any Notice shall be sent, transmitted, or delivered, as the case may be, to Tenant at the appropriate address set forth in </w:t>
      </w:r>
      <w:r>
        <w:rPr>
          <w:rFonts w:ascii="Times New Roman" w:hAnsi="Times New Roman"/>
          <w:sz w:val="20"/>
          <w:u w:val="single"/>
        </w:rPr>
        <w:t>Section 11</w:t>
      </w:r>
      <w:r>
        <w:rPr>
          <w:rFonts w:ascii="Times New Roman" w:hAnsi="Times New Roman"/>
          <w:sz w:val="20"/>
        </w:rPr>
        <w:t xml:space="preserve"> of the Summary, or to such other place as Tenant may from time to time designate in a Notice to Landlord, and to Landlord at the addresses set forth below, or to such other places as Landlord may from time to time designate in a Notice to Tenant. Any Notice will be deemed given (i) three (3) days after the date it is posted if sent by Mail, (ii) the date the overnight courier delivery is made, or (iii) the date personal delivery is made. As of the date of this Lease, any Notices to Landlord must be sent, transmitted, or delivered, as the case may be, to the following addresses: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Cambridge 1030 Mass Ave, LLC </w:t>
      </w:r>
    </w:p>
    <w:p>
      <w:pPr>
        <w:pStyle w:val="TextBody"/>
        <w:bidi w:val="0"/>
        <w:spacing w:before="0" w:after="0"/>
        <w:jc w:val="left"/>
        <w:rPr>
          <w:rFonts w:ascii="Times New Roman" w:hAnsi="Times New Roman"/>
          <w:sz w:val="20"/>
        </w:rPr>
      </w:pPr>
      <w:r>
        <w:rPr>
          <w:rFonts w:ascii="Times New Roman" w:hAnsi="Times New Roman"/>
          <w:sz w:val="20"/>
        </w:rPr>
        <w:t xml:space="preserve">c/o Longfellow Real Estate Partners </w:t>
      </w:r>
    </w:p>
    <w:p>
      <w:pPr>
        <w:pStyle w:val="TextBody"/>
        <w:bidi w:val="0"/>
        <w:spacing w:before="0" w:after="0"/>
        <w:jc w:val="left"/>
        <w:rPr>
          <w:rFonts w:ascii="Times New Roman" w:hAnsi="Times New Roman"/>
          <w:sz w:val="20"/>
        </w:rPr>
      </w:pPr>
      <w:r>
        <w:rPr>
          <w:rFonts w:ascii="Times New Roman" w:hAnsi="Times New Roman"/>
          <w:sz w:val="20"/>
        </w:rPr>
        <w:t xml:space="preserve">260 Franklin Street, Suite 1920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Attention: Asset Management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33 Arch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Attention: Geoff Howell, Esq. </w:t>
      </w:r>
    </w:p>
    <w:p>
      <w:pPr>
        <w:pStyle w:val="TextBody"/>
        <w:bidi w:val="0"/>
        <w:spacing w:before="240" w:after="0"/>
        <w:jc w:val="left"/>
        <w:rPr>
          <w:rFonts w:ascii="Times New Roman" w:hAnsi="Times New Roman"/>
          <w:sz w:val="20"/>
        </w:rPr>
      </w:pPr>
      <w:r>
        <w:rPr>
          <w:rFonts w:ascii="Times New Roman" w:hAnsi="Times New Roman"/>
          <w:sz w:val="20"/>
        </w:rPr>
        <w:t xml:space="preserve">29.19 </w:t>
      </w:r>
      <w:r>
        <w:rPr>
          <w:rFonts w:ascii="Times New Roman" w:hAnsi="Times New Roman"/>
          <w:b/>
          <w:sz w:val="20"/>
          <w:u w:val="single"/>
        </w:rPr>
        <w:t>Joint and Several</w:t>
      </w:r>
      <w:r>
        <w:rPr>
          <w:rFonts w:ascii="Times New Roman" w:hAnsi="Times New Roman"/>
          <w:b/>
          <w:sz w:val="20"/>
        </w:rPr>
        <w:t xml:space="preserve">. </w:t>
      </w:r>
      <w:r>
        <w:rPr>
          <w:rFonts w:ascii="Times New Roman" w:hAnsi="Times New Roman"/>
          <w:sz w:val="20"/>
        </w:rPr>
        <w:t xml:space="preserve">If there is more than one Tenant, the obligations imposed upon Tenant under this Lease shall be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20.20 </w:t>
      </w:r>
      <w:r>
        <w:rPr>
          <w:rFonts w:ascii="Times New Roman" w:hAnsi="Times New Roman"/>
          <w:b/>
          <w:sz w:val="20"/>
          <w:u w:val="single"/>
        </w:rPr>
        <w:t>Authority</w:t>
      </w:r>
      <w:r>
        <w:rPr>
          <w:rFonts w:ascii="Times New Roman" w:hAnsi="Times New Roman"/>
          <w:sz w:val="20"/>
        </w:rPr>
        <w:t xml:space="preserve">. If Tenant is a corporation, trust or partnership, Tenant hereby represents and warrants that Tenant (a) is a duly formed and existing entity qualified to do business in the State of Delaware and is qualified as a foreign entity authorized to do business in The Commonwealth of Massachusetts and (b) has full right and authority to execute and deliver this Lease, and (c) each person signing on behalf of Tenant is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29.21 </w:t>
      </w:r>
      <w:r>
        <w:rPr>
          <w:rFonts w:ascii="Times New Roman" w:hAnsi="Times New Roman"/>
          <w:b/>
          <w:sz w:val="20"/>
          <w:u w:val="single"/>
        </w:rPr>
        <w:t>Attorneys</w:t>
      </w:r>
      <w:r>
        <w:rPr>
          <w:rFonts w:ascii="Times New Roman" w:hAnsi="Times New Roman"/>
          <w:sz w:val="20"/>
          <w:u w:val="single"/>
        </w:rPr>
        <w:t xml:space="preserve">’ </w:t>
      </w:r>
      <w:r>
        <w:rPr>
          <w:rFonts w:ascii="Times New Roman" w:hAnsi="Times New Roman"/>
          <w:b/>
          <w:sz w:val="20"/>
          <w:u w:val="single"/>
        </w:rPr>
        <w:t>Fees</w:t>
      </w:r>
      <w:r>
        <w:rPr>
          <w:rFonts w:ascii="Times New Roman" w:hAnsi="Times New Roman"/>
          <w:b/>
          <w:sz w:val="20"/>
        </w:rPr>
        <w:t xml:space="preserve">. </w:t>
      </w:r>
      <w:r>
        <w:rPr>
          <w:rFonts w:ascii="Times New Roman" w:hAnsi="Times New Roman"/>
          <w:sz w:val="20"/>
        </w:rPr>
        <w:t xml:space="preserve">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 </w:t>
      </w:r>
    </w:p>
    <w:p>
      <w:pPr>
        <w:pStyle w:val="TextBody"/>
        <w:bidi w:val="0"/>
        <w:spacing w:before="240" w:after="0"/>
        <w:jc w:val="left"/>
        <w:rPr>
          <w:rFonts w:ascii="Times New Roman" w:hAnsi="Times New Roman"/>
          <w:sz w:val="20"/>
        </w:rPr>
      </w:pPr>
      <w:r>
        <w:rPr>
          <w:rFonts w:ascii="Times New Roman" w:hAnsi="Times New Roman"/>
          <w:sz w:val="20"/>
        </w:rPr>
        <w:t xml:space="preserve">29.22 </w:t>
      </w:r>
      <w:r>
        <w:rPr>
          <w:rFonts w:ascii="Times New Roman" w:hAnsi="Times New Roman"/>
          <w:b/>
          <w:sz w:val="20"/>
          <w:u w:val="single"/>
        </w:rPr>
        <w:t>Governing Law; WAIVER OF TRIAL BY JURY</w:t>
      </w:r>
      <w:r>
        <w:rPr>
          <w:rFonts w:ascii="Times New Roman" w:hAnsi="Times New Roman"/>
          <w:b/>
          <w:sz w:val="20"/>
        </w:rPr>
        <w:t xml:space="preserve">. </w:t>
      </w:r>
      <w:r>
        <w:rPr>
          <w:rFonts w:ascii="Times New Roman" w:hAnsi="Times New Roman"/>
          <w:sz w:val="20"/>
        </w:rPr>
        <w:t xml:space="preserve">This Lease shall be construed and enforced in accordance with the laws of The Commonwealth of Massachusetts. Landlord and Tenant waive trial by jury in any action to which they are parties, and further agree that any action arising out of this Lease (except an action for possession by Landlord, which may be brought in whatever manner or place provided by law) shall be brought in the Trial Court, Superior Court Department, in the county where the Premises are located. </w:t>
      </w:r>
    </w:p>
    <w:p>
      <w:pPr>
        <w:pStyle w:val="TextBody"/>
        <w:bidi w:val="0"/>
        <w:spacing w:before="240" w:after="0"/>
        <w:jc w:val="left"/>
        <w:rPr>
          <w:rFonts w:ascii="Times New Roman" w:hAnsi="Times New Roman"/>
          <w:sz w:val="20"/>
        </w:rPr>
      </w:pPr>
      <w:r>
        <w:rPr>
          <w:rFonts w:ascii="Times New Roman" w:hAnsi="Times New Roman"/>
          <w:sz w:val="20"/>
        </w:rPr>
        <w:t xml:space="preserve">29.23 </w:t>
      </w:r>
      <w:r>
        <w:rPr>
          <w:rFonts w:ascii="Times New Roman" w:hAnsi="Times New Roman"/>
          <w:b/>
          <w:sz w:val="20"/>
          <w:u w:val="single"/>
        </w:rPr>
        <w:t>Submission of Lease</w:t>
      </w:r>
      <w:r>
        <w:rPr>
          <w:rFonts w:ascii="Times New Roman" w:hAnsi="Times New Roman"/>
          <w:b/>
          <w:sz w:val="20"/>
        </w:rPr>
        <w:t xml:space="preserve">. </w:t>
      </w:r>
      <w:r>
        <w:rPr>
          <w:rFonts w:ascii="Times New Roman" w:hAnsi="Times New Roman"/>
          <w:sz w:val="20"/>
        </w:rPr>
        <w:t xml:space="preserve">Submission of this instrument for examination or signature by Tenant does not constitute a reservation of, option for or option to lease, and it is not effective as a lease or otherwise until execution and delivery by both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29.24 </w:t>
      </w:r>
      <w:r>
        <w:rPr>
          <w:rFonts w:ascii="Times New Roman" w:hAnsi="Times New Roman"/>
          <w:b/>
          <w:sz w:val="20"/>
          <w:u w:val="single"/>
        </w:rPr>
        <w:t>Brokers</w:t>
      </w:r>
      <w:r>
        <w:rPr>
          <w:rFonts w:ascii="Times New Roman" w:hAnsi="Times New Roman"/>
          <w:b/>
          <w:sz w:val="20"/>
        </w:rPr>
        <w:t xml:space="preserve">. </w:t>
      </w:r>
      <w:r>
        <w:rPr>
          <w:rFonts w:ascii="Times New Roman" w:hAnsi="Times New Roman"/>
          <w:sz w:val="20"/>
        </w:rPr>
        <w:t xml:space="preserve">Landlord and Tenant hereby warrant to each other that they have had no dealings with any real estate broker or agent in connection with the negotiation of this Lease, excepting only the real estate broker or agent specified in </w:t>
      </w:r>
      <w:r>
        <w:rPr>
          <w:rFonts w:ascii="Times New Roman" w:hAnsi="Times New Roman"/>
          <w:sz w:val="20"/>
          <w:u w:val="single"/>
        </w:rPr>
        <w:t>Section 13</w:t>
      </w:r>
      <w:r>
        <w:rPr>
          <w:rFonts w:ascii="Times New Roman" w:hAnsi="Times New Roman"/>
          <w:sz w:val="20"/>
        </w:rPr>
        <w:t xml:space="preserve"> of the Summary (the “</w:t>
      </w:r>
      <w:r>
        <w:rPr>
          <w:rFonts w:ascii="Times New Roman" w:hAnsi="Times New Roman"/>
          <w:b/>
          <w:sz w:val="20"/>
        </w:rPr>
        <w:t>Broker</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 occurring by, through, or under the indemnifying party. The Broker is to be paid by Landlord pursuant to the terms of a separate written agreement between Landlord and the Broker. The terms of this </w:t>
      </w:r>
      <w:r>
        <w:rPr>
          <w:rFonts w:ascii="Times New Roman" w:hAnsi="Times New Roman"/>
          <w:sz w:val="20"/>
          <w:u w:val="single"/>
        </w:rPr>
        <w:t>Section 29.24</w:t>
      </w:r>
      <w:r>
        <w:rPr>
          <w:rFonts w:ascii="Times New Roman" w:hAnsi="Times New Roman"/>
          <w:sz w:val="20"/>
        </w:rPr>
        <w:t xml:space="preserve"> shall survive the expiration or earlier termination of the Lease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29.25 </w:t>
      </w:r>
      <w:r>
        <w:rPr>
          <w:rFonts w:ascii="Times New Roman" w:hAnsi="Times New Roman"/>
          <w:b/>
          <w:sz w:val="20"/>
          <w:u w:val="single"/>
        </w:rPr>
        <w:t>Project or Building Name, Address and Signage</w:t>
      </w:r>
      <w:r>
        <w:rPr>
          <w:rFonts w:ascii="Times New Roman" w:hAnsi="Times New Roman"/>
          <w:b/>
          <w:sz w:val="20"/>
        </w:rPr>
        <w:t xml:space="preserve">. </w:t>
      </w:r>
      <w:r>
        <w:rPr>
          <w:rFonts w:ascii="Times New Roman" w:hAnsi="Times New Roman"/>
          <w:sz w:val="20"/>
        </w:rPr>
        <w:t xml:space="preserve">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 </w:t>
      </w:r>
    </w:p>
    <w:p>
      <w:pPr>
        <w:pStyle w:val="TextBody"/>
        <w:bidi w:val="0"/>
        <w:spacing w:before="240" w:after="0"/>
        <w:jc w:val="left"/>
        <w:rPr>
          <w:rFonts w:ascii="Times New Roman" w:hAnsi="Times New Roman"/>
          <w:sz w:val="20"/>
        </w:rPr>
      </w:pPr>
      <w:r>
        <w:rPr>
          <w:rFonts w:ascii="Times New Roman" w:hAnsi="Times New Roman"/>
          <w:sz w:val="20"/>
        </w:rPr>
        <w:t xml:space="preserve">29.26 </w:t>
      </w:r>
      <w:r>
        <w:rPr>
          <w:rFonts w:ascii="Times New Roman" w:hAnsi="Times New Roman"/>
          <w:b/>
          <w:sz w:val="20"/>
          <w:u w:val="single"/>
        </w:rPr>
        <w:t>Counterparts</w:t>
      </w:r>
      <w:r>
        <w:rPr>
          <w:rFonts w:ascii="Times New Roman" w:hAnsi="Times New Roman"/>
          <w:b/>
          <w:sz w:val="20"/>
        </w:rPr>
        <w:t xml:space="preserve">. </w:t>
      </w:r>
      <w:r>
        <w:rPr>
          <w:rFonts w:ascii="Times New Roman" w:hAnsi="Times New Roman"/>
          <w:sz w:val="20"/>
        </w:rPr>
        <w:t xml:space="preserve">This Lease may be executed in counterparts with the same effect as if both parties hereto had executed the same document. Both counterparts shall be construed together and shall constitute a single lease. Delivery by fax or by electronic mail file attachment of any executed counterpart to this Lease will be deemed the equivalent of the delivery of the original executed instrument. </w:t>
      </w:r>
    </w:p>
    <w:p>
      <w:pPr>
        <w:pStyle w:val="TextBody"/>
        <w:bidi w:val="0"/>
        <w:spacing w:before="240" w:after="0"/>
        <w:jc w:val="left"/>
        <w:rPr>
          <w:rFonts w:ascii="Times New Roman" w:hAnsi="Times New Roman"/>
          <w:sz w:val="20"/>
        </w:rPr>
      </w:pPr>
      <w:r>
        <w:rPr>
          <w:rFonts w:ascii="Times New Roman" w:hAnsi="Times New Roman"/>
          <w:sz w:val="20"/>
        </w:rPr>
        <w:t xml:space="preserve">29.27 </w:t>
      </w:r>
      <w:r>
        <w:rPr>
          <w:rFonts w:ascii="Times New Roman" w:hAnsi="Times New Roman"/>
          <w:b/>
          <w:sz w:val="20"/>
          <w:u w:val="single"/>
        </w:rPr>
        <w:t>Confidentiality</w:t>
      </w:r>
      <w:r>
        <w:rPr>
          <w:rFonts w:ascii="Times New Roman" w:hAnsi="Times New Roman"/>
          <w:b/>
          <w:sz w:val="20"/>
        </w:rPr>
        <w:t xml:space="preserve">. </w:t>
      </w:r>
      <w:r>
        <w:rPr>
          <w:rFonts w:ascii="Times New Roman" w:hAnsi="Times New Roman"/>
          <w:sz w:val="20"/>
        </w:rPr>
        <w:t xml:space="preserve">Tenant acknowledges that the content of this Lease, any information regarding the Building or Project received from Landlord, and any related documents are confidential information. Tenant shall keep such confidential information strictly confidential and shall not disclose such confidential information to any person or entity other than Tenant’s financial, legal, and space planning consultants on a ‘need to know’ basis, provided that such other parties are made aware of Tenant’s obligations under this </w:t>
      </w:r>
      <w:r>
        <w:rPr>
          <w:rFonts w:ascii="Times New Roman" w:hAnsi="Times New Roman"/>
          <w:sz w:val="20"/>
          <w:u w:val="single"/>
        </w:rPr>
        <w:t>Section 29,27</w:t>
      </w:r>
      <w:r>
        <w:rPr>
          <w:rFonts w:ascii="Times New Roman" w:hAnsi="Times New Roman"/>
          <w:sz w:val="20"/>
        </w:rPr>
        <w:t xml:space="preserve"> and Tenant shall be responsible for any disclosure by such parties in violation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Landlord agrees to hold in confidence any tangible proprietary information that Tenant supplies to Landlord, to the extent such information is designated in writing as confidential when it is so supplied, together with a written designation of confidentiality, pursuant to this Lease; provided, however, that Landlord may disclose such proprietary information (i) to Landlord’s directors, employees, agents, lenders, co-investors, consultants, contractors, advisors and authorized representatives; (ii) to prospective lenders, purchasers, lessees, partners, co-investors, or other persons or entities with which Landlord contemplates a transaction and in each case where such information is requested or reasonably required by such entity an such entity is made aware of and subject to the provisions of this paragraph, and (iii) to any person or entity to the extent Landlord determines based on the advice of its counsel that such disclosure is advisable with reference to Applicable Law or stock exchange rules (including without limitation the federal securities laws) or is required by applicable contract, policy, law, order, rule, regulation, or by legal process (including without limitation by oral questions, interrogatories, requests for information or documents in legal proceedings, subpoena, civil investigative demand or other similar process. </w:t>
      </w:r>
    </w:p>
    <w:p>
      <w:pPr>
        <w:pStyle w:val="TextBody"/>
        <w:bidi w:val="0"/>
        <w:spacing w:before="240" w:after="0"/>
        <w:jc w:val="left"/>
        <w:rPr>
          <w:rFonts w:ascii="Times New Roman" w:hAnsi="Times New Roman"/>
          <w:sz w:val="20"/>
        </w:rPr>
      </w:pPr>
      <w:r>
        <w:rPr>
          <w:rFonts w:ascii="Times New Roman" w:hAnsi="Times New Roman"/>
          <w:sz w:val="20"/>
        </w:rPr>
        <w:t xml:space="preserve">29.28 </w:t>
      </w:r>
      <w:r>
        <w:rPr>
          <w:rFonts w:ascii="Times New Roman" w:hAnsi="Times New Roman"/>
          <w:b/>
          <w:sz w:val="20"/>
          <w:u w:val="single"/>
        </w:rPr>
        <w:t>Construction of Property and Other Improvements</w:t>
      </w:r>
      <w:r>
        <w:rPr>
          <w:rFonts w:ascii="Times New Roman" w:hAnsi="Times New Roman"/>
          <w:b/>
          <w:sz w:val="20"/>
        </w:rPr>
        <w:t xml:space="preserve">. </w:t>
      </w:r>
      <w:r>
        <w:rPr>
          <w:rFonts w:ascii="Times New Roman" w:hAnsi="Times New Roman"/>
          <w:sz w:val="20"/>
        </w:rPr>
        <w:t xml:space="preserve">Tenant acknowledges that portions of the Project and/or other tenant premises may be under construction following Tenant’s occupancy of the Premises, and that such construction may periodically result in levels of noise, dust, obstruction of access, etc. Tenant hereby waives any and all rent offsets or claims of constructive eviction which may arise in connection with such construction. </w:t>
      </w:r>
    </w:p>
    <w:p>
      <w:pPr>
        <w:pStyle w:val="TextBody"/>
        <w:bidi w:val="0"/>
        <w:spacing w:before="240" w:after="0"/>
        <w:jc w:val="left"/>
        <w:rPr>
          <w:rFonts w:ascii="Times New Roman" w:hAnsi="Times New Roman"/>
          <w:sz w:val="20"/>
        </w:rPr>
      </w:pPr>
      <w:r>
        <w:rPr>
          <w:rFonts w:ascii="Times New Roman" w:hAnsi="Times New Roman"/>
          <w:sz w:val="20"/>
        </w:rPr>
        <w:t xml:space="preserve">29.29 </w:t>
      </w:r>
      <w:r>
        <w:rPr>
          <w:rFonts w:ascii="Times New Roman" w:hAnsi="Times New Roman"/>
          <w:b/>
          <w:sz w:val="20"/>
          <w:u w:val="single"/>
        </w:rPr>
        <w:t>No Violation</w:t>
      </w:r>
      <w:r>
        <w:rPr>
          <w:rFonts w:ascii="Times New Roman" w:hAnsi="Times New Roman"/>
          <w:b/>
          <w:sz w:val="20"/>
        </w:rPr>
        <w:t xml:space="preserve">. </w:t>
      </w:r>
      <w:r>
        <w:rPr>
          <w:rFonts w:ascii="Times New Roman" w:hAnsi="Times New Roman"/>
          <w:sz w:val="20"/>
        </w:rPr>
        <w:t xml:space="preserve">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29.30 </w:t>
      </w:r>
      <w:r>
        <w:rPr>
          <w:rFonts w:ascii="Times New Roman" w:hAnsi="Times New Roman"/>
          <w:b/>
          <w:sz w:val="20"/>
          <w:u w:val="single"/>
        </w:rPr>
        <w:t>Communications and Computer Lines</w:t>
      </w:r>
      <w:r>
        <w:rPr>
          <w:rFonts w:ascii="Times New Roman" w:hAnsi="Times New Roman"/>
          <w:b/>
          <w:sz w:val="20"/>
        </w:rPr>
        <w:t xml:space="preserve">. </w:t>
      </w:r>
      <w:r>
        <w:rPr>
          <w:rFonts w:ascii="Times New Roman" w:hAnsi="Times New Roman"/>
          <w:sz w:val="20"/>
        </w:rPr>
        <w:t>Tenant may install, maintain, replace, remove or use any communications or computer wires and cables serving the Premises (collectively, the “</w:t>
      </w:r>
      <w:r>
        <w:rPr>
          <w:rFonts w:ascii="Times New Roman" w:hAnsi="Times New Roman"/>
          <w:b/>
          <w:sz w:val="20"/>
        </w:rPr>
        <w:t>Lines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provided that Tenant shall obtain Landlord’s prior written consent (which consent shall not be unreasonably withheld, conditioned or delayed), use an experienced and qualified contractor approved in writing by Landlord, and comply with all of the other provisions of </w:t>
      </w:r>
      <w:r>
        <w:rPr>
          <w:rFonts w:ascii="Times New Roman" w:hAnsi="Times New Roman"/>
          <w:sz w:val="20"/>
          <w:u w:val="single"/>
        </w:rPr>
        <w:t>Articles 7</w:t>
      </w:r>
      <w:r>
        <w:rPr>
          <w:rFonts w:ascii="Times New Roman" w:hAnsi="Times New Roman"/>
          <w:sz w:val="20"/>
        </w:rPr>
        <w:t xml:space="preserve">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29.31 </w:t>
      </w:r>
      <w:r>
        <w:rPr>
          <w:rFonts w:ascii="Times New Roman" w:hAnsi="Times New Roman"/>
          <w:b/>
          <w:sz w:val="20"/>
          <w:u w:val="single"/>
        </w:rPr>
        <w:t>Transportation Management</w:t>
      </w:r>
      <w:r>
        <w:rPr>
          <w:rFonts w:ascii="Times New Roman" w:hAnsi="Times New Roman"/>
          <w:b/>
          <w:sz w:val="20"/>
        </w:rPr>
        <w:t xml:space="preserve">. </w:t>
      </w:r>
      <w:r>
        <w:rPr>
          <w:rFonts w:ascii="Times New Roman" w:hAnsi="Times New Roman"/>
          <w:sz w:val="20"/>
        </w:rPr>
        <w:t xml:space="preserve">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29.32 </w:t>
      </w:r>
      <w:r>
        <w:rPr>
          <w:rFonts w:ascii="Times New Roman" w:hAnsi="Times New Roman"/>
          <w:b/>
          <w:sz w:val="20"/>
          <w:u w:val="single"/>
        </w:rPr>
        <w:t>Rooftop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29.12.1 </w:t>
      </w:r>
      <w:r>
        <w:rPr>
          <w:rFonts w:ascii="Times New Roman" w:hAnsi="Times New Roman"/>
          <w:b/>
          <w:sz w:val="20"/>
          <w:u w:val="single"/>
        </w:rPr>
        <w:t>Grant of Rights</w:t>
      </w:r>
      <w:r>
        <w:rPr>
          <w:rFonts w:ascii="Times New Roman" w:hAnsi="Times New Roman"/>
          <w:b/>
          <w:sz w:val="20"/>
        </w:rPr>
        <w:t xml:space="preserve">. </w:t>
      </w:r>
      <w:r>
        <w:rPr>
          <w:rFonts w:ascii="Times New Roman" w:hAnsi="Times New Roman"/>
          <w:sz w:val="20"/>
        </w:rPr>
        <w:t>Landlord grants Tenant the appurtenant, non-exclusive, and irrevocable (except upon the expiration or earlier termination of this Lease) license at no additional charge (other than to the extent included in Operating Expenses), but otherwise subject to the terms and conditions of this Lease, to use a contiguous portion of the roof of the Building reasonably approved by Landlord (the “</w:t>
      </w:r>
      <w:r>
        <w:rPr>
          <w:rFonts w:ascii="Times New Roman" w:hAnsi="Times New Roman"/>
          <w:b/>
          <w:sz w:val="20"/>
        </w:rPr>
        <w:t>Rooftop Installation Areas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to operate, maintain, repair and replace telecommunications and mechanical equipment for Tenant’s own use, such as supplemental HVAC equipment, a satellite dish, microwave dish, and the like, appurtenant to the Permitted Use installed as part of Tenant Improvements or otherwise as permitted pursuant to </w:t>
      </w:r>
      <w:r>
        <w:rPr>
          <w:rFonts w:ascii="Times New Roman" w:hAnsi="Times New Roman"/>
          <w:sz w:val="20"/>
          <w:u w:val="single"/>
        </w:rPr>
        <w:t>Article 8</w:t>
      </w:r>
      <w:r>
        <w:rPr>
          <w:rFonts w:ascii="Times New Roman" w:hAnsi="Times New Roman"/>
          <w:sz w:val="20"/>
        </w:rPr>
        <w:t xml:space="preserve"> (collectively, “</w:t>
      </w:r>
      <w:r>
        <w:rPr>
          <w:rFonts w:ascii="Times New Roman" w:hAnsi="Times New Roman"/>
          <w:b/>
          <w:sz w:val="20"/>
        </w:rPr>
        <w:t>Rooftop Equipment</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The exact location and layout of the Rooftop Installation Areas shall be designated by Landlord and shall not exceed in area the Tenant’s Share of rooftop areas made available to tenants in the Building for similar purposes. </w:t>
      </w:r>
    </w:p>
    <w:p>
      <w:pPr>
        <w:pStyle w:val="TextBody"/>
        <w:bidi w:val="0"/>
        <w:spacing w:before="240" w:after="0"/>
        <w:jc w:val="left"/>
        <w:rPr>
          <w:rFonts w:ascii="Times New Roman" w:hAnsi="Times New Roman"/>
          <w:sz w:val="20"/>
        </w:rPr>
      </w:pPr>
      <w:r>
        <w:rPr>
          <w:rFonts w:ascii="Times New Roman" w:hAnsi="Times New Roman"/>
          <w:sz w:val="20"/>
        </w:rPr>
        <w:t xml:space="preserve">29.12.2 </w:t>
      </w:r>
      <w:r>
        <w:rPr>
          <w:rFonts w:ascii="Times New Roman" w:hAnsi="Times New Roman"/>
          <w:b/>
          <w:sz w:val="20"/>
          <w:u w:val="single"/>
        </w:rPr>
        <w:t>Installation and Maintenance of Rooftop Equipment</w:t>
      </w:r>
      <w:r>
        <w:rPr>
          <w:rFonts w:ascii="Times New Roman" w:hAnsi="Times New Roman"/>
          <w:b/>
          <w:sz w:val="20"/>
        </w:rPr>
        <w:t xml:space="preserve">. </w:t>
      </w:r>
      <w:r>
        <w:rPr>
          <w:rFonts w:ascii="Times New Roman" w:hAnsi="Times New Roman"/>
          <w:sz w:val="20"/>
        </w:rPr>
        <w:t xml:space="preserve">Tenant shall install Rooftop Equipment at its sole cost and expense, at such times and in such manner as Landlord may reasonably designate and in accordance with all of the provisions of this Lease, including without limitation </w:t>
      </w:r>
      <w:r>
        <w:rPr>
          <w:rFonts w:ascii="Times New Roman" w:hAnsi="Times New Roman"/>
          <w:sz w:val="20"/>
          <w:u w:val="single"/>
        </w:rPr>
        <w:t>Article 8</w:t>
      </w:r>
      <w:r>
        <w:rPr>
          <w:rFonts w:ascii="Times New Roman" w:hAnsi="Times New Roman"/>
          <w:sz w:val="20"/>
        </w:rPr>
        <w:t xml:space="preserve">. Tenant shall not install or operate Rooftop Equipment until it receives prior written approval of the plans for such work in accordance with </w:t>
      </w:r>
      <w:r>
        <w:rPr>
          <w:rFonts w:ascii="Times New Roman" w:hAnsi="Times New Roman"/>
          <w:sz w:val="20"/>
          <w:u w:val="single"/>
        </w:rPr>
        <w:t>Article 8</w:t>
      </w:r>
      <w:r>
        <w:rPr>
          <w:rFonts w:ascii="Times New Roman" w:hAnsi="Times New Roman"/>
          <w:sz w:val="20"/>
        </w:rPr>
        <w:t xml:space="preserve">. Landlord may withhold approval if the installation or operation of Rooftop Equipment reasonably would be expected to damage the structural integrity of the Building. Tenant shall maintain any Rooftop Equipment in compliance with all Applicable Laws, including the City of Cambridge noise ordinance. Tenant shall cooperate with Landlord as reasonably required to accommodate any re-roofing of the Building during the Lease term and Tenant shall be responsible for any costs associated with working around, moving or temporarily relocation Tenant’s Roof Equipment. Tenant’s access to the rooftop for the purposes of exercising its rights and obligations under this </w:t>
      </w:r>
      <w:r>
        <w:rPr>
          <w:rFonts w:ascii="Times New Roman" w:hAnsi="Times New Roman"/>
          <w:sz w:val="20"/>
          <w:u w:val="single"/>
        </w:rPr>
        <w:t>Section 29.32</w:t>
      </w:r>
      <w:r>
        <w:rPr>
          <w:rFonts w:ascii="Times New Roman" w:hAnsi="Times New Roman"/>
          <w:sz w:val="20"/>
        </w:rPr>
        <w:t xml:space="preserve"> shall be limited to Building Hours by prior appointment with the property manager, except in the case of emergencies threatening life or personal property. Tenant shall engage Landlord’s roofer before beginning any rooftop installations or repairs of Rooftop Equipment, whether under this </w:t>
      </w:r>
      <w:r>
        <w:rPr>
          <w:rFonts w:ascii="Times New Roman" w:hAnsi="Times New Roman"/>
          <w:sz w:val="20"/>
          <w:u w:val="single"/>
        </w:rPr>
        <w:t>Section 29.32</w:t>
      </w:r>
      <w:r>
        <w:rPr>
          <w:rFonts w:ascii="Times New Roman" w:hAnsi="Times New Roman"/>
          <w:sz w:val="20"/>
        </w:rPr>
        <w:t xml:space="preserve"> or otherwise, and shall always comply with the roof warranty governing the protection of the roof and modifications to the roof. Tenant shall obtain a letter from Landlord’s roofer following completion of such work stating that the roof warranty remains in effect. Tenant, at it# sole cost and expense, shall cause a qualified contractor to inspect the Rooftop Installation Areas at least once a calendar quarter and correct any loose bolts, fittings or other appurtenances and shall repair any damage to the roof caused by the installation or operation of Rooftop Equipment. Tenant shall pay Landlord following a written request therefor, with the next payment of Rent, (i) all applicable taxes or governmental charges, fees, or impositions imposed on Landlord because of Tenant’s use of the Rooftop Installation Areas and (ii) the amount of any increase in Landlord’s insurance premiums as a result of the installation of Rooftop Equipment. All Rooftop Equipment shall be screened or otherwise designed so that it is not visible from the ground level of the Project. </w:t>
      </w:r>
    </w:p>
    <w:p>
      <w:pPr>
        <w:pStyle w:val="TextBody"/>
        <w:bidi w:val="0"/>
        <w:spacing w:before="240" w:after="0"/>
        <w:jc w:val="left"/>
        <w:rPr>
          <w:rFonts w:ascii="Times New Roman" w:hAnsi="Times New Roman"/>
          <w:sz w:val="20"/>
        </w:rPr>
      </w:pPr>
      <w:r>
        <w:rPr>
          <w:rFonts w:ascii="Times New Roman" w:hAnsi="Times New Roman"/>
          <w:sz w:val="20"/>
        </w:rPr>
        <w:t xml:space="preserve">29.12.3 </w:t>
      </w:r>
      <w:r>
        <w:rPr>
          <w:rFonts w:ascii="Times New Roman" w:hAnsi="Times New Roman"/>
          <w:b/>
          <w:sz w:val="20"/>
          <w:u w:val="single"/>
        </w:rPr>
        <w:t>Indemnification</w:t>
      </w:r>
      <w:r>
        <w:rPr>
          <w:rFonts w:ascii="Times New Roman" w:hAnsi="Times New Roman"/>
          <w:b/>
          <w:sz w:val="20"/>
        </w:rPr>
        <w:t xml:space="preserve">. </w:t>
      </w:r>
      <w:r>
        <w:rPr>
          <w:rFonts w:ascii="Times New Roman" w:hAnsi="Times New Roman"/>
          <w:sz w:val="20"/>
        </w:rPr>
        <w:t xml:space="preserve">Tenant agrees that the installation, operation and removal of Rooftop Equipment shall be at its sole risk. Tenant shall indemnify and defend Landlord and the other Indemnitees against any liability, claim or cost, including reasonable attorneys’ fees, incurred in connection with the loss of life, personal injury, damage to property or business or any other loss or injury (except to the extent due to the negligence or willful misconduct of Landlord or its employees, agents or contractors) arising out of the installation, use, operation, or removal of Rooftop Equipment by Tenant or its employees, agents, or contractors, including any liability arising out of Tenant’s violation of this </w:t>
      </w:r>
      <w:r>
        <w:rPr>
          <w:rFonts w:ascii="Times New Roman" w:hAnsi="Times New Roman"/>
          <w:sz w:val="20"/>
          <w:u w:val="single"/>
        </w:rPr>
        <w:t>Section 29.32</w:t>
      </w:r>
      <w:r>
        <w:rPr>
          <w:rFonts w:ascii="Times New Roman" w:hAnsi="Times New Roman"/>
          <w:sz w:val="20"/>
        </w:rPr>
        <w:t xml:space="preserve">. Landlord assumes no responsibility for interference in the operation of Rooftop Equipment caused by other tenants’ equipment, or for interference in the operation of other tenants’ equipment caused by Rooftop Equipment, and Tenant hereby waives any claims against Landlord arising from such interference. The provisions of this paragraph shall survive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29.12.4 </w:t>
      </w:r>
      <w:r>
        <w:rPr>
          <w:rFonts w:ascii="Times New Roman" w:hAnsi="Times New Roman"/>
          <w:b/>
          <w:sz w:val="20"/>
        </w:rPr>
        <w:t>Removal of Rooftop Equipment</w:t>
      </w:r>
      <w:r>
        <w:rPr>
          <w:rFonts w:ascii="Times New Roman" w:hAnsi="Times New Roman"/>
          <w:sz w:val="20"/>
        </w:rPr>
        <w:t xml:space="preserve">. Upon the expiration or earlier termination of the Lease, Tenant, unless and to the extent otherwise instructed by Landlord in writing, at Tenant’s sole cost and expense, shall (i) remove Rooftop Equipment from the Rooftop Installation Areas in accordance with the provisions of this Lease and (ii) leave the Rooftop Installation Areas in good order and repair, reasonable wear and tear excepted. If Tenant does not remove Rooftop Equipment and restore the Rooftop Installation Areas when so required, Landlord may remove and dispose of it and charge Tenant for all costs and expenses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29.12.5 </w:t>
      </w:r>
      <w:r>
        <w:rPr>
          <w:rFonts w:ascii="Times New Roman" w:hAnsi="Times New Roman"/>
          <w:b/>
          <w:sz w:val="20"/>
          <w:u w:val="single"/>
        </w:rPr>
        <w:t>Interference by Rooftop Equipment</w:t>
      </w:r>
      <w:r>
        <w:rPr>
          <w:rFonts w:ascii="Times New Roman" w:hAnsi="Times New Roman"/>
          <w:b/>
          <w:sz w:val="20"/>
        </w:rPr>
        <w:t xml:space="preserve">. </w:t>
      </w:r>
      <w:r>
        <w:rPr>
          <w:rFonts w:ascii="Times New Roman" w:hAnsi="Times New Roman"/>
          <w:sz w:val="20"/>
        </w:rPr>
        <w:t xml:space="preserve">Landlord may have granted and may hereafter grant roof rights to other parties, and Landlord shall use commercially reasonable efforts to cause such other parties to minimize interference with Rooftop Equipment. If Rooftop Equipment (i) causes physical damage to the structural integrity of the Building, (ii) materially interferes with any telecommunications, mechanical or other systems located at or servicing (as of the Commencement Date) the Building or any building, premises or location in the vicinity of the Building, (iii) interferes with any other service provided to other tenants in the Building by rooftop installations installed prior to the installation of Rooftop Equipment or (iv) interferes with any other tenants’ business, in each case in excess of that permissible under F.C.C. or other regulations (io the extent that such regulations apply and do not require such tenants or those providing such services to correct such interference or damage), Tenant shall within five (5) business days of notice of a claim of interference or damage cooperate with Landlord or any other tenant or third party making such claim to determine the source of the damage or interference and effect a prompt solution at Tenant’s expense (if Rooftop Equipment Paused such interference or damage). In the event Tenant disputes Landlord’s allegation that Rooftop Equipment is causing a problem with the Building (including, but not limited to, the electrical, HVAC. and mechanical systems of the Building) and/or any other Building tenants’ equipment in the Building, in writing delivered within five (5) business days of receiving Landlord’s notice claiming such interference, then Landlord and Tenant shall meet to discuss a solution, and if within seven (7) days of their initial meeting Landlord and Tenant are unable to resolve the dispute, then the matter shall be submitted to arbitration in accordance with the provisions set forth below. The parties shall direct the Boston office of the AAA to appoint an arbitrator who shall have a minimum of ten (10) years’ experience in commercial real estate disputes and who shall not be affiliated with either Landlord or Tenant. Both Landlord and Tenant shall have the opportunity to present evidence and outside consultants to the arbitrator. The arbitration shall be conducted in accordance with the expedited commercial real estate arbitration rules of the AAA insofar as such rules are not inconsistent with the provisions of this Lease (in which case the provisions of this Lease shall govern). The cost of the arbitration (exclusive of each party’s witness and attorneys’ fees, which shall be paid by such party) shall be borne equally by the parties. Within ten (10) days of appointment, the arbitrator shall determine whether or not Rooftop Equipment is causing a problem with the Building and/or any other Building tenants’ equipment in the Building, and the appropriate resolution, if any. The arbitrator’s decision shall be final and binding on the parties. If Tenant shall fail to cooperate with Landlord in resolving any such interference or if Tenant shall fail to implement the arbitrator’s decision within ten (10) days after it is issued, Landlord may at any time thereafter (i) declare a default and/or (ii) relocate the item(s) of Rooftop Equipment in dispute in a manner consistent with the arbitral decision. </w:t>
      </w:r>
    </w:p>
    <w:p>
      <w:pPr>
        <w:pStyle w:val="TextBody"/>
        <w:bidi w:val="0"/>
        <w:spacing w:before="240" w:after="0"/>
        <w:jc w:val="left"/>
        <w:rPr>
          <w:rFonts w:ascii="Times New Roman" w:hAnsi="Times New Roman"/>
          <w:sz w:val="20"/>
        </w:rPr>
      </w:pPr>
      <w:r>
        <w:rPr>
          <w:rFonts w:ascii="Times New Roman" w:hAnsi="Times New Roman"/>
          <w:sz w:val="20"/>
        </w:rPr>
        <w:t xml:space="preserve">29.12.6 </w:t>
      </w:r>
      <w:r>
        <w:rPr>
          <w:rFonts w:ascii="Times New Roman" w:hAnsi="Times New Roman"/>
          <w:b/>
          <w:sz w:val="20"/>
          <w:u w:val="single"/>
        </w:rPr>
        <w:t>Relocation of Rooftop Equipment</w:t>
      </w:r>
      <w:r>
        <w:rPr>
          <w:rFonts w:ascii="Times New Roman" w:hAnsi="Times New Roman"/>
          <w:b/>
          <w:sz w:val="20"/>
        </w:rPr>
        <w:t xml:space="preserve">. </w:t>
      </w:r>
      <w:r>
        <w:rPr>
          <w:rFonts w:ascii="Times New Roman" w:hAnsi="Times New Roman"/>
          <w:sz w:val="20"/>
        </w:rPr>
        <w:t xml:space="preserve">Based on Landlord’s good faith determination that such relocation is necessary, Landlord reserves the right to cause Tenant to relocate Rooftop Equipment located on the roof to comparably functional space on the roof by giving Tenant prior notice of such intention to relocate. If within thirty (30) days after receipt of such notice Tenant has not agreed with Landlord on the space to which Rooftop Equipment is to be relocated, the timing of such relocation, and the terms of such relocation, then Landlord shall have the right to make all such determinations in its reasonable judgment. Landlord agrees to pay the reasonable cost of moving Rooftop Equipment to such other space, taking such other steps necessary to ensure comparable functionality of Rooftop Equipment, and finishing such space to a condition comparable to the then condition of the current location of Rooftop Equipment. Such payment by Landlord shall not constitute an Operating Expense under this Lease. Tenant shall arrange for the relocation of Rooftop Equipment within sixty (60) days after a comparable space is agreed upon or selected by Landlord, as the case may be. In the event Tenant fails to arrange for said relocation within the sixty-(60)-day period, Landlord shall have the right to arrange for the relocation of Rooftop Equipment at Landlord’s expense, all of which shall be performed in a manner designed to minimize interference with Tenant’s business. </w:t>
      </w:r>
    </w:p>
    <w:p>
      <w:pPr>
        <w:pStyle w:val="TextBody"/>
        <w:bidi w:val="0"/>
        <w:spacing w:before="240" w:after="0"/>
        <w:jc w:val="left"/>
        <w:rPr>
          <w:rFonts w:ascii="Times New Roman" w:hAnsi="Times New Roman"/>
          <w:sz w:val="20"/>
        </w:rPr>
      </w:pPr>
      <w:r>
        <w:rPr>
          <w:rFonts w:ascii="Times New Roman" w:hAnsi="Times New Roman"/>
          <w:sz w:val="20"/>
        </w:rPr>
        <w:t xml:space="preserve">29.33 </w:t>
      </w:r>
      <w:r>
        <w:rPr>
          <w:rFonts w:ascii="Times New Roman" w:hAnsi="Times New Roman"/>
          <w:b/>
          <w:sz w:val="20"/>
          <w:u w:val="single"/>
        </w:rPr>
        <w:t>Other Special Appurtenant Rights</w:t>
      </w:r>
      <w:r>
        <w:rPr>
          <w:rFonts w:ascii="Times New Roman" w:hAnsi="Times New Roman"/>
          <w:b/>
          <w:sz w:val="20"/>
        </w:rPr>
        <w:t xml:space="preserve">. </w:t>
      </w:r>
      <w:r>
        <w:rPr>
          <w:rFonts w:ascii="Times New Roman" w:hAnsi="Times New Roman"/>
          <w:sz w:val="20"/>
        </w:rPr>
        <w:t>Tenant shall have the right in common with others to connect to and use the compressed air and vacuum systems and RO water system (collectively, the “</w:t>
      </w:r>
      <w:r>
        <w:rPr>
          <w:rFonts w:ascii="Times New Roman" w:hAnsi="Times New Roman"/>
          <w:b/>
          <w:sz w:val="20"/>
        </w:rPr>
        <w:t>Special Systems</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located at the Building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(1) Tenant’s use of the Special Systems shall be at Tenant’s sole risk to the extent permitted pursuant to Applicable Laws (Landlord making no representation or warranty regarding the sufficiency of the Special Systems for Tenant’s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Tenant’s use of the Special Systems shall be undertaken by Tenant in compliance with all Applicable Laws, including Environmental Laws, and Tenant shall obtain any and all permits required in connection with Tenant’s particular use of the Special Systems (as opposed to those permits required to use or operate the pH neutralization system, generally, which permits shall be obtained and maintained by Landlord); </w:t>
      </w:r>
    </w:p>
    <w:p>
      <w:pPr>
        <w:pStyle w:val="TextBody"/>
        <w:bidi w:val="0"/>
        <w:spacing w:before="120" w:after="0"/>
        <w:jc w:val="left"/>
        <w:rPr>
          <w:rFonts w:ascii="Times New Roman" w:hAnsi="Times New Roman"/>
          <w:sz w:val="20"/>
        </w:rPr>
      </w:pPr>
      <w:r>
        <w:rPr>
          <w:rFonts w:ascii="Times New Roman" w:hAnsi="Times New Roman"/>
          <w:sz w:val="20"/>
        </w:rPr>
        <w:t xml:space="preserve">(3) Tenant shall be responsible for connecting to the central distribution point for the Special Systems in connection with the Tenant Improvements at the locations shown on </w:t>
      </w:r>
      <w:r>
        <w:rPr>
          <w:rFonts w:ascii="Times New Roman" w:hAnsi="Times New Roman"/>
          <w:sz w:val="20"/>
          <w:u w:val="single"/>
        </w:rPr>
        <w:t>Exhibit 29.33</w:t>
      </w:r>
      <w:r>
        <w:rPr>
          <w:rFonts w:ascii="Times New Roman" w:hAnsi="Times New Roman"/>
          <w:sz w:val="20"/>
        </w:rPr>
        <w:t xml:space="preserve">. Tenant further acknowledges that Landlord may discontinue one or more of the Special Systems at Landlord’s election by prior written notice given to Tenant at least 30 days in advance. If Landlord elects to discontinue any such service, then Landlord shall (i) provide Tenant with a location mutually agreeable to Landlord and Tenant for Tenant to install its own Special Systems on the terms and conditions set forth in </w:t>
      </w:r>
      <w:r>
        <w:rPr>
          <w:rFonts w:ascii="Times New Roman" w:hAnsi="Times New Roman"/>
          <w:sz w:val="20"/>
          <w:u w:val="single"/>
        </w:rPr>
        <w:t>Article 8</w:t>
      </w:r>
      <w:r>
        <w:rPr>
          <w:rFonts w:ascii="Times New Roman" w:hAnsi="Times New Roman"/>
          <w:sz w:val="20"/>
        </w:rPr>
        <w:t xml:space="preserve"> of this Lease, and (ii) reasonably cooperate with Tenant to ensure an orderly transition of the Special Systems; </w:t>
      </w:r>
    </w:p>
    <w:p>
      <w:pPr>
        <w:pStyle w:val="TextBody"/>
        <w:bidi w:val="0"/>
        <w:spacing w:before="120" w:after="0"/>
        <w:jc w:val="left"/>
        <w:rPr>
          <w:rFonts w:ascii="Times New Roman" w:hAnsi="Times New Roman"/>
          <w:sz w:val="20"/>
        </w:rPr>
      </w:pPr>
      <w:r>
        <w:rPr>
          <w:rFonts w:ascii="Times New Roman" w:hAnsi="Times New Roman"/>
          <w:sz w:val="20"/>
        </w:rPr>
        <w:t xml:space="preserve">(4) The costs to operate and maintain the Special System shall be included in Operating Expenses, Tenant use of the Special Systems shall not exceed Tenant’s Share of the capacity available to tenants of any such Special System; </w:t>
      </w:r>
    </w:p>
    <w:p>
      <w:pPr>
        <w:pStyle w:val="TextBody"/>
        <w:bidi w:val="0"/>
        <w:spacing w:before="120" w:after="0"/>
        <w:jc w:val="left"/>
        <w:rPr>
          <w:rFonts w:ascii="Times New Roman" w:hAnsi="Times New Roman"/>
          <w:sz w:val="20"/>
        </w:rPr>
      </w:pPr>
      <w:r>
        <w:rPr>
          <w:rFonts w:ascii="Times New Roman" w:hAnsi="Times New Roman"/>
          <w:sz w:val="20"/>
        </w:rPr>
        <w:t xml:space="preserve">(5) The use of the Special Systems shall be subject to the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(6) Tenant acknowledges and agrees that there are no warranties of any kind, whether express or otherwise with respect to the Special Systems or any services (if any) provided in the Special Systems, and the Tenant disclaims any and all such warranties; and </w:t>
      </w:r>
    </w:p>
    <w:p>
      <w:pPr>
        <w:pStyle w:val="TextBody"/>
        <w:bidi w:val="0"/>
        <w:spacing w:before="120" w:after="0"/>
        <w:jc w:val="left"/>
        <w:rPr>
          <w:rFonts w:ascii="Times New Roman" w:hAnsi="Times New Roman"/>
          <w:sz w:val="20"/>
        </w:rPr>
      </w:pPr>
      <w:r>
        <w:rPr>
          <w:rFonts w:ascii="Times New Roman" w:hAnsi="Times New Roman"/>
          <w:sz w:val="20"/>
        </w:rPr>
        <w:t xml:space="preserve">(7) Tenant’s sole remedy for any breach or default by Landlord under this </w:t>
      </w:r>
      <w:r>
        <w:rPr>
          <w:rFonts w:ascii="Times New Roman" w:hAnsi="Times New Roman"/>
          <w:sz w:val="20"/>
          <w:u w:val="single"/>
        </w:rPr>
        <w:t>Section 29.33</w:t>
      </w:r>
      <w:r>
        <w:rPr>
          <w:rFonts w:ascii="Times New Roman" w:hAnsi="Times New Roman"/>
          <w:sz w:val="20"/>
        </w:rPr>
        <w:t xml:space="preserve"> beyond applicable notice and cure periods shall be to terminate the provisions of this </w:t>
      </w:r>
      <w:r>
        <w:rPr>
          <w:rFonts w:ascii="Times New Roman" w:hAnsi="Times New Roman"/>
          <w:sz w:val="20"/>
          <w:u w:val="single"/>
        </w:rPr>
        <w:t>Section 29.33</w:t>
      </w:r>
      <w:r>
        <w:rPr>
          <w:rFonts w:ascii="Times New Roman" w:hAnsi="Times New Roman"/>
          <w:sz w:val="20"/>
        </w:rPr>
        <w:t xml:space="preserve"> and Tenant hereby, to the maximum extent possible, knowingly waives the provisions of any law or regulation, now or hereafter in effect that provides additional or other remedies to Tenant as a result of any breach by Landlord hereunder or under any such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Landlord may, at its sole election and by prior written notice to Tenant, add additional Special Systems to the Building in the future and make the same available to all laboratory tenants, in which case such additional systems shall be treated as Special Systems hereunder. </w:t>
      </w:r>
    </w:p>
    <w:p>
      <w:pPr>
        <w:pStyle w:val="TextBody"/>
        <w:bidi w:val="0"/>
        <w:spacing w:before="240" w:after="0"/>
        <w:jc w:val="left"/>
        <w:rPr>
          <w:rFonts w:ascii="Times New Roman" w:hAnsi="Times New Roman"/>
          <w:sz w:val="20"/>
        </w:rPr>
      </w:pPr>
      <w:r>
        <w:rPr>
          <w:rFonts w:ascii="Times New Roman" w:hAnsi="Times New Roman"/>
          <w:sz w:val="20"/>
        </w:rPr>
        <w:t xml:space="preserve">29.34 </w:t>
      </w:r>
      <w:r>
        <w:rPr>
          <w:rFonts w:ascii="Times New Roman" w:hAnsi="Times New Roman"/>
          <w:b/>
          <w:sz w:val="20"/>
          <w:u w:val="single"/>
        </w:rPr>
        <w:t>REIT</w:t>
      </w:r>
      <w:r>
        <w:rPr>
          <w:rFonts w:ascii="Times New Roman" w:hAnsi="Times New Roman"/>
          <w:b/>
          <w:sz w:val="20"/>
        </w:rPr>
        <w:t xml:space="preserve">. </w:t>
      </w:r>
      <w:r>
        <w:rPr>
          <w:rFonts w:ascii="Times New Roman" w:hAnsi="Times New Roman"/>
          <w:sz w:val="20"/>
        </w:rPr>
        <w:t>Tenant acknowledges that the Company, an affiliate of Landlord, elects to be taxed as a real estate investment trust (a “</w:t>
      </w:r>
      <w:r>
        <w:rPr>
          <w:rFonts w:ascii="Times New Roman" w:hAnsi="Times New Roman"/>
          <w:b/>
          <w:sz w:val="20"/>
        </w:rPr>
        <w:t>REIT</w:t>
      </w:r>
      <w:r>
        <w:rPr>
          <w:rFonts w:ascii="Times New Roman" w:hAnsi="Times New Roman"/>
          <w:sz w:val="20"/>
        </w:rPr>
        <w:t>”</w:t>
      </w:r>
      <w:r>
        <w:rPr>
          <w:rFonts w:ascii="Times New Roman" w:hAnsi="Times New Roman"/>
          <w:b/>
          <w:sz w:val="20"/>
        </w:rPr>
        <w:t xml:space="preserve">) </w:t>
      </w:r>
      <w:r>
        <w:rPr>
          <w:rFonts w:ascii="Times New Roman" w:hAnsi="Times New Roman"/>
          <w:sz w:val="20"/>
        </w:rPr>
        <w:t xml:space="preserve">under the Code. Tenant hereby agrees to modifications of this Lease required to retain or clarity the Company’s status as a REIT, provided such modifications: (a) are reasonable, (b) do not adversely affect in a material manner Tenant’s use of the Premises as herein permitted, and (c) do not increase the Base Rent, Additional Rent and other sums to be paid by Tenant or Tenant’s other obligations pursuant to this Lease, or reduce any rights of Tenant under this Lease, then Landlord may submit to Tenant an amendment to this Lease incorporating such required modifications, and Tenant shall execute, acknowledge and deliver such amendment to Landlord within ten (10) days after Tenant’s receipt thereof.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Landlord and Tenant have caused this Lease to be executed the day and date first above written as a sealed Massachusetts instrument.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
        <w:gridCol w:w="108"/>
        <w:gridCol w:w="4305"/>
        <w:gridCol w:w="108"/>
        <w:gridCol w:w="384"/>
        <w:gridCol w:w="108"/>
        <w:gridCol w:w="374"/>
        <w:gridCol w:w="108"/>
        <w:gridCol w:w="4337"/>
      </w:tblGrid>
      <w:tr>
        <w:trPr/>
        <w:tc>
          <w:tcPr>
            <w:tcW w:w="37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0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37"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Pr>
          <w:p>
            <w:pPr>
              <w:pStyle w:val="TableContents"/>
              <w:bidi w:val="0"/>
              <w:spacing w:before="0" w:after="283"/>
              <w:jc w:val="left"/>
              <w:rPr/>
            </w:pPr>
            <w:r>
              <w:rPr>
                <w:u w:val="single"/>
              </w:rPr>
              <w:t>LANDLORD</w:t>
            </w:r>
            <w:r>
              <w:rPr/>
              <w:t>:</w:t>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283"/>
              <w:jc w:val="left"/>
              <w:rPr/>
            </w:pPr>
            <w:r>
              <w:rPr>
                <w:u w:val="single"/>
              </w:rPr>
              <w:t>TENANT</w:t>
            </w:r>
            <w:r>
              <w:rPr/>
              <w:t>:</w:t>
            </w:r>
          </w:p>
        </w:tc>
      </w:tr>
      <w:tr>
        <w:trPr>
          <w:trHeight w:val="240" w:hRule="atLeast"/>
        </w:trPr>
        <w:tc>
          <w:tcPr>
            <w:tcW w:w="4786" w:type="dxa"/>
            <w:gridSpan w:val="3"/>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927" w:type="dxa"/>
            <w:gridSpan w:val="4"/>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CAMBRIDGE 1030 MASS AVE,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OBSIDIAN THERAPEUTICS,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4413" w:type="dxa"/>
            <w:gridSpan w:val="2"/>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445"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Jamison N. Peschel</w:t>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3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Gilman</w:t>
            </w:r>
          </w:p>
        </w:tc>
      </w:tr>
      <w:tr>
        <w:trPr/>
        <w:tc>
          <w:tcPr>
            <w:tcW w:w="4786" w:type="dxa"/>
            <w:gridSpan w:val="3"/>
            <w:tcBorders/>
          </w:tcPr>
          <w:p>
            <w:pPr>
              <w:pStyle w:val="TableContents"/>
              <w:bidi w:val="0"/>
              <w:spacing w:before="0" w:after="283"/>
              <w:jc w:val="left"/>
              <w:rPr/>
            </w:pPr>
            <w:r>
              <w:rPr/>
              <w:t>Name: Jamison N. Peschel</w:t>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283"/>
              <w:jc w:val="left"/>
              <w:rPr/>
            </w:pPr>
            <w:r>
              <w:rPr/>
              <w:t>Name: Michael Gilman</w:t>
            </w:r>
          </w:p>
        </w:tc>
      </w:tr>
      <w:tr>
        <w:trPr>
          <w:trHeight w:val="240" w:hRule="atLeast"/>
        </w:trPr>
        <w:tc>
          <w:tcPr>
            <w:tcW w:w="4786" w:type="dxa"/>
            <w:gridSpan w:val="3"/>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927" w:type="dxa"/>
            <w:gridSpan w:val="4"/>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Pr>
          <w:p>
            <w:pPr>
              <w:pStyle w:val="TableContents"/>
              <w:bidi w:val="0"/>
              <w:spacing w:before="0" w:after="283"/>
              <w:jc w:val="left"/>
              <w:rPr/>
            </w:pPr>
            <w:r>
              <w:rPr/>
              <w:t>Its: Authorized Signatory</w:t>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283"/>
              <w:jc w:val="left"/>
              <w:rPr/>
            </w:pPr>
            <w:r>
              <w:rPr/>
              <w:t>Its: President or Vice President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4413" w:type="dxa"/>
            <w:gridSpan w:val="2"/>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445"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3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Neafus</w:t>
            </w:r>
          </w:p>
        </w:tc>
      </w:tr>
      <w:tr>
        <w:trPr/>
        <w:tc>
          <w:tcPr>
            <w:tcW w:w="4786" w:type="dxa"/>
            <w:gridSpan w:val="3"/>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283"/>
              <w:jc w:val="left"/>
              <w:rPr/>
            </w:pPr>
            <w:r>
              <w:rPr/>
              <w:t>Name: David Neafus</w:t>
            </w:r>
          </w:p>
        </w:tc>
      </w:tr>
      <w:tr>
        <w:trPr>
          <w:trHeight w:val="240" w:hRule="atLeast"/>
        </w:trPr>
        <w:tc>
          <w:tcPr>
            <w:tcW w:w="4786" w:type="dxa"/>
            <w:gridSpan w:val="3"/>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927" w:type="dxa"/>
            <w:gridSpan w:val="4"/>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gridSpan w:val="3"/>
            <w:tcBorders/>
          </w:tcPr>
          <w:p>
            <w:pPr>
              <w:pStyle w:val="TableContents"/>
              <w:bidi w:val="0"/>
              <w:spacing w:before="0" w:after="283"/>
              <w:jc w:val="left"/>
              <w:rPr/>
            </w:pPr>
            <w:r>
              <w:rPr/>
              <w:t>Its: Treasurer or Assistant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NOTICE OF LEASE TERM 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OBSIDIAN THERAPEUTICS, INC. </w:t>
            </w:r>
          </w:p>
        </w:tc>
      </w:tr>
    </w:tbl>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 dated </w:t>
            </w:r>
            <w:r>
              <w:rPr>
                <w:rFonts w:ascii="Times New Roman" w:hAnsi="Times New Roman"/>
                <w:sz w:val="20"/>
                <w:u w:val="single"/>
              </w:rPr>
              <w:t>     </w:t>
            </w:r>
            <w:r>
              <w:rPr>
                <w:rFonts w:ascii="Times New Roman" w:hAnsi="Times New Roman"/>
                <w:sz w:val="20"/>
              </w:rPr>
              <w:t>, 2017 between CAMBRIDGE 1030 MASS AVE, LLC (“</w:t>
            </w:r>
            <w:r>
              <w:rPr>
                <w:rFonts w:ascii="Times New Roman" w:hAnsi="Times New Roman"/>
                <w:b/>
                <w:sz w:val="20"/>
              </w:rPr>
              <w:t>Landlord</w:t>
            </w:r>
            <w:r>
              <w:rPr>
                <w:rFonts w:ascii="Times New Roman" w:hAnsi="Times New Roman"/>
                <w:sz w:val="20"/>
              </w:rPr>
              <w:t xml:space="preserve">”), and OBSIDIAN THERAPEUTICS, INC. </w:t>
            </w:r>
            <w:r>
              <w:rPr>
                <w:rFonts w:ascii="Times New Roman" w:hAnsi="Times New Roman"/>
                <w:b/>
                <w:sz w:val="20"/>
              </w:rPr>
              <w:t xml:space="preserve">(“Tenant”) </w:t>
            </w:r>
            <w:r>
              <w:rPr>
                <w:rFonts w:ascii="Times New Roman" w:hAnsi="Times New Roman"/>
                <w:sz w:val="20"/>
              </w:rPr>
              <w:t xml:space="preserve">concerning premises on the first and fourth floors of the building located at </w:t>
            </w:r>
            <w:r>
              <w:rPr>
                <w:rFonts w:ascii="Times New Roman" w:hAnsi="Times New Roman"/>
                <w:b/>
                <w:sz w:val="20"/>
              </w:rPr>
              <w:t>1030 Massachusetts Avenue, Cambridge, MA.</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120" w:after="0"/>
        <w:jc w:val="left"/>
        <w:rPr>
          <w:rFonts w:ascii="Times New Roman" w:hAnsi="Times New Roman"/>
          <w:sz w:val="20"/>
        </w:rPr>
      </w:pPr>
      <w:r>
        <w:rPr>
          <w:rFonts w:ascii="Times New Roman" w:hAnsi="Times New Roman"/>
          <w:sz w:val="20"/>
        </w:rPr>
        <w:t>In accordance with the Lease (the “</w:t>
      </w:r>
      <w:r>
        <w:rPr>
          <w:rFonts w:ascii="Times New Roman" w:hAnsi="Times New Roman"/>
          <w:b/>
          <w:sz w:val="20"/>
        </w:rPr>
        <w:t xml:space="preserve">Lease”), </w:t>
      </w:r>
      <w:r>
        <w:rPr>
          <w:rFonts w:ascii="Times New Roman" w:hAnsi="Times New Roman"/>
          <w:sz w:val="20"/>
        </w:rPr>
        <w:t xml:space="preserve">we wish to advise you and/or confirm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Fourth Floor Premises Commencement Date is </w:t>
            </w:r>
            <w:r>
              <w:rPr>
                <w:rFonts w:ascii="Times New Roman" w:hAnsi="Times New Roman"/>
                <w:sz w:val="20"/>
                <w:u w:val="single"/>
              </w:rPr>
              <w:t>     </w:t>
            </w:r>
            <w:r>
              <w:rPr>
                <w:rFonts w:ascii="Times New Roman" w:hAnsi="Times New Roman"/>
                <w:sz w:val="20"/>
              </w:rPr>
              <w:t xml:space="preserve">, 2017 and the Fourth Floor Premises Rent Commencement Date is </w:t>
            </w:r>
            <w:r>
              <w:rPr>
                <w:rFonts w:ascii="Times New Roman" w:hAnsi="Times New Roman"/>
                <w:sz w:val="20"/>
                <w:u w:val="single"/>
              </w:rPr>
              <w:t>     </w:t>
            </w:r>
            <w:r>
              <w:rPr>
                <w:rFonts w:ascii="Times New Roman" w:hAnsi="Times New Roman"/>
                <w:sz w:val="20"/>
              </w:rPr>
              <w:t xml:space="preserve">,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Floor Premises Commencement Date is </w:t>
            </w:r>
            <w:r>
              <w:rPr>
                <w:rFonts w:ascii="Times New Roman" w:hAnsi="Times New Roman"/>
                <w:sz w:val="20"/>
                <w:u w:val="single"/>
              </w:rPr>
              <w:t>     </w:t>
            </w:r>
            <w:r>
              <w:rPr>
                <w:rFonts w:ascii="Times New Roman" w:hAnsi="Times New Roman"/>
                <w:sz w:val="20"/>
              </w:rPr>
              <w:t xml:space="preserve">, 2017 and the First Floor Premises Rent Commencement Date is </w:t>
            </w:r>
            <w:r>
              <w:rPr>
                <w:rFonts w:ascii="Times New Roman" w:hAnsi="Times New Roman"/>
                <w:sz w:val="20"/>
                <w:u w:val="single"/>
              </w:rPr>
              <w:t>     </w:t>
            </w:r>
            <w:r>
              <w:rPr>
                <w:rFonts w:ascii="Times New Roman" w:hAnsi="Times New Roman"/>
                <w:sz w:val="20"/>
              </w:rPr>
              <w:t xml:space="preserve">,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Expiration Date is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Commencement Date is other than the first day of the month, the first billing will contain a pro rata adjustment. Each billing thereafter, with the exception of the final billing, shall be for the full amount of the monthly installment as provided for in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rent checks should be made payable to </w:t>
            </w:r>
            <w:r>
              <w:rPr>
                <w:rFonts w:ascii="Times New Roman" w:hAnsi="Times New Roman"/>
                <w:sz w:val="20"/>
                <w:u w:val="single"/>
              </w:rPr>
              <w:t>    </w:t>
            </w:r>
            <w:r>
              <w:rPr>
                <w:rFonts w:ascii="Times New Roman" w:hAnsi="Times New Roman"/>
                <w:sz w:val="20"/>
              </w:rPr>
              <w:t xml:space="preserve"> at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3"/>
        <w:gridCol w:w="209"/>
        <w:gridCol w:w="2750"/>
      </w:tblGrid>
      <w:tr>
        <w:trPr/>
        <w:tc>
          <w:tcPr>
            <w:tcW w:w="1123"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b/>
              </w:rPr>
              <w:t>Landlord</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CAMBRIDGE 1030 MASS AVE, LLC, a Delaware limited liability company</w:t>
            </w:r>
          </w:p>
        </w:tc>
      </w:tr>
      <w:tr>
        <w:trPr>
          <w:trHeight w:val="240" w:hRule="atLeast"/>
        </w:trPr>
        <w:tc>
          <w:tcPr>
            <w:tcW w:w="1123" w:type="dxa"/>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tcPr>
          <w:p>
            <w:pPr>
              <w:pStyle w:val="TableContents"/>
              <w:bidi w:val="0"/>
              <w:spacing w:before="0" w:after="283"/>
              <w:jc w:val="left"/>
              <w:rPr/>
            </w:pPr>
            <w:r>
              <w:rPr/>
              <w:t>By:</w:t>
            </w:r>
          </w:p>
        </w:tc>
        <w:tc>
          <w:tcPr>
            <w:tcW w:w="209" w:type="dxa"/>
            <w:tcBorders/>
            <w:vAlign w:val="bottom"/>
          </w:tcPr>
          <w:p>
            <w:pPr>
              <w:pStyle w:val="TableContents"/>
              <w:bidi w:val="0"/>
              <w:spacing w:before="0" w:after="283"/>
              <w:jc w:val="left"/>
              <w:rPr/>
            </w:pPr>
            <w:r>
              <w:rPr/>
              <w:t> </w:t>
            </w:r>
          </w:p>
        </w:tc>
        <w:tc>
          <w:tcPr>
            <w:tcW w:w="2750" w:type="dxa"/>
            <w:tcBorders/>
          </w:tcPr>
          <w:p>
            <w:pPr>
              <w:pStyle w:val="TableContents"/>
              <w:pBdr>
                <w:bottom w:val="single" w:sz="2" w:space="1" w:color="000000"/>
              </w:pBdr>
              <w:bidi w:val="0"/>
              <w:spacing w:before="0" w:after="20"/>
              <w:jc w:val="left"/>
              <w:rPr/>
            </w:pPr>
            <w:r>
              <w:rPr/>
              <w:t> </w:t>
            </w:r>
          </w:p>
        </w:tc>
      </w:tr>
      <w:tr>
        <w:trPr/>
        <w:tc>
          <w:tcPr>
            <w:tcW w:w="1123" w:type="dxa"/>
            <w:tcBorders/>
          </w:tcPr>
          <w:p>
            <w:pPr>
              <w:pStyle w:val="TableContents"/>
              <w:bidi w:val="0"/>
              <w:spacing w:before="0" w:after="283"/>
              <w:jc w:val="left"/>
              <w:rPr/>
            </w:pPr>
            <w:r>
              <w:rPr/>
              <w:t>Its:</w:t>
            </w:r>
          </w:p>
        </w:tc>
        <w:tc>
          <w:tcPr>
            <w:tcW w:w="209" w:type="dxa"/>
            <w:tcBorders/>
            <w:vAlign w:val="bottom"/>
          </w:tcPr>
          <w:p>
            <w:pPr>
              <w:pStyle w:val="TableContents"/>
              <w:bidi w:val="0"/>
              <w:spacing w:before="0" w:after="283"/>
              <w:jc w:val="left"/>
              <w:rPr/>
            </w:pPr>
            <w:r>
              <w:rPr/>
              <w:t> </w:t>
            </w:r>
          </w:p>
        </w:tc>
        <w:tc>
          <w:tcPr>
            <w:tcW w:w="275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240"/>
        <w:gridCol w:w="137"/>
        <w:gridCol w:w="2705"/>
      </w:tblGrid>
      <w:tr>
        <w:trPr/>
        <w:tc>
          <w:tcPr>
            <w:tcW w:w="124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Agreed to and Accepted as of </w:t>
            </w:r>
            <w:r>
              <w:rPr>
                <w:u w:val="single"/>
              </w:rPr>
              <w:t>   </w:t>
            </w:r>
            <w:r>
              <w:rPr/>
              <w:t>, 2017.</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OBSIDIAN THERAPEUTICS,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1240" w:type="dxa"/>
            <w:tcBorders/>
            <w:vAlign w:val="center"/>
          </w:tcPr>
          <w:p>
            <w:pPr>
              <w:pStyle w:val="TableContents"/>
              <w:bidi w:val="0"/>
              <w:spacing w:before="0" w:after="283"/>
              <w:jc w:val="left"/>
              <w:rPr>
                <w:sz w:val="4"/>
                <w:szCs w:val="4"/>
              </w:rPr>
            </w:pPr>
            <w:r>
              <w:rPr>
                <w:sz w:val="4"/>
                <w:szCs w:val="4"/>
              </w:rPr>
            </w:r>
          </w:p>
        </w:tc>
        <w:tc>
          <w:tcPr>
            <w:tcW w:w="28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705" w:type="dxa"/>
            <w:tcBorders/>
          </w:tcPr>
          <w:p>
            <w:pPr>
              <w:pStyle w:val="TableContents"/>
              <w:pBdr>
                <w:bottom w:val="single" w:sz="2" w:space="1" w:color="000000"/>
              </w:pBdr>
              <w:bidi w:val="0"/>
              <w:spacing w:before="0" w:after="20"/>
              <w:jc w:val="left"/>
              <w:rPr/>
            </w:pPr>
            <w:r>
              <w:rPr/>
              <w:t> </w:t>
            </w:r>
          </w:p>
        </w:tc>
      </w:tr>
      <w:tr>
        <w:trPr/>
        <w:tc>
          <w:tcPr>
            <w:tcW w:w="1240" w:type="dxa"/>
            <w:tcBorders/>
          </w:tcPr>
          <w:p>
            <w:pPr>
              <w:pStyle w:val="TableContents"/>
              <w:bidi w:val="0"/>
              <w:spacing w:before="0" w:after="283"/>
              <w:jc w:val="left"/>
              <w:rPr/>
            </w:pPr>
            <w:r>
              <w:rPr/>
              <w:t>Its:</w:t>
            </w:r>
          </w:p>
        </w:tc>
        <w:tc>
          <w:tcPr>
            <w:tcW w:w="137" w:type="dxa"/>
            <w:tcBorders/>
            <w:vAlign w:val="bottom"/>
          </w:tcPr>
          <w:p>
            <w:pPr>
              <w:pStyle w:val="TableContents"/>
              <w:bidi w:val="0"/>
              <w:spacing w:before="0" w:after="283"/>
              <w:jc w:val="left"/>
              <w:rPr/>
            </w:pPr>
            <w:r>
              <w:rPr/>
              <w:t> </w:t>
            </w:r>
          </w:p>
        </w:tc>
        <w:tc>
          <w:tcPr>
            <w:tcW w:w="270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5.2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 </w:t>
      </w:r>
    </w:p>
    <w:p>
      <w:pPr>
        <w:pStyle w:val="TextBody"/>
        <w:bidi w:val="0"/>
        <w:spacing w:before="240" w:after="0"/>
        <w:jc w:val="left"/>
        <w:rPr>
          <w:rFonts w:ascii="Times New Roman" w:hAnsi="Times New Roman"/>
          <w:sz w:val="20"/>
        </w:rPr>
      </w:pPr>
      <w:r>
        <w:rPr>
          <w:rFonts w:ascii="Times New Roman" w:hAnsi="Times New Roman"/>
          <w:sz w:val="20"/>
        </w:rPr>
        <w:t xml:space="preserve">1. Tenant shall not alter any lock or install any new or additional locks or bolts on any doors or windows of the Premises without obtaining Landlord’s prior written consent, which shall not be unreasonably withheld, conditioned or delayed. If Tenant shall affix additional locks on doors then Tenant shall furnish Landlord with copies of keys or pass cards or similar devices for said locks. Tenant shall bear the cost of any lock changes or repairs required by Tenant. Initial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 </w:t>
      </w:r>
    </w:p>
    <w:p>
      <w:pPr>
        <w:pStyle w:val="TextBody"/>
        <w:bidi w:val="0"/>
        <w:spacing w:before="240" w:after="0"/>
        <w:jc w:val="left"/>
        <w:rPr>
          <w:rFonts w:ascii="Times New Roman" w:hAnsi="Times New Roman"/>
          <w:sz w:val="20"/>
        </w:rPr>
      </w:pPr>
      <w:r>
        <w:rPr>
          <w:rFonts w:ascii="Times New Roman" w:hAnsi="Times New Roman"/>
          <w:sz w:val="20"/>
        </w:rPr>
        <w:t xml:space="preserve">2. All doors opening to public corridors shall be kept closed at all times except for normal ingress and egress to the Premises. </w:t>
      </w:r>
    </w:p>
    <w:p>
      <w:pPr>
        <w:pStyle w:val="TextBody"/>
        <w:bidi w:val="0"/>
        <w:spacing w:before="240" w:after="0"/>
        <w:jc w:val="left"/>
        <w:rPr>
          <w:rFonts w:ascii="Times New Roman" w:hAnsi="Times New Roman"/>
          <w:sz w:val="20"/>
        </w:rPr>
      </w:pPr>
      <w:r>
        <w:rPr>
          <w:rFonts w:ascii="Times New Roman" w:hAnsi="Times New Roman"/>
          <w:sz w:val="20"/>
        </w:rPr>
        <w:t xml:space="preserve">3. Landlord reserves the right to close and keep locked all entrance and exit doors of the Building during such hours as are customary for comparable buildings in the vicinity of the Building.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its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 </w:t>
      </w:r>
    </w:p>
    <w:p>
      <w:pPr>
        <w:pStyle w:val="TextBody"/>
        <w:bidi w:val="0"/>
        <w:spacing w:before="240" w:after="0"/>
        <w:jc w:val="left"/>
        <w:rPr>
          <w:rFonts w:ascii="Times New Roman" w:hAnsi="Times New Roman"/>
          <w:sz w:val="20"/>
        </w:rPr>
      </w:pPr>
      <w:r>
        <w:rPr>
          <w:rFonts w:ascii="Times New Roman" w:hAnsi="Times New Roman"/>
          <w:sz w:val="20"/>
        </w:rPr>
        <w:t xml:space="preserve">4. No furniture, freight or equipment of any kind shall be brought into the Building without prior notice to Landlord. All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 </w:t>
      </w:r>
    </w:p>
    <w:p>
      <w:pPr>
        <w:pStyle w:val="TextBody"/>
        <w:bidi w:val="0"/>
        <w:spacing w:before="240" w:after="0"/>
        <w:jc w:val="left"/>
        <w:rPr>
          <w:rFonts w:ascii="Times New Roman" w:hAnsi="Times New Roman"/>
          <w:sz w:val="20"/>
        </w:rPr>
      </w:pPr>
      <w:r>
        <w:rPr>
          <w:rFonts w:ascii="Times New Roman" w:hAnsi="Times New Roman"/>
          <w:sz w:val="20"/>
        </w:rPr>
        <w:t xml:space="preserve">5. No furniture, packages, supplies, equipment or merchandise will be received in the Building or carried up or down in the elevators, except between such hours, in such specific elevator and by such personnel as shall be designated by Landlord. </w:t>
      </w:r>
    </w:p>
    <w:p>
      <w:pPr>
        <w:pStyle w:val="TextBody"/>
        <w:bidi w:val="0"/>
        <w:spacing w:before="240" w:after="0"/>
        <w:jc w:val="left"/>
        <w:rPr>
          <w:rFonts w:ascii="Times New Roman" w:hAnsi="Times New Roman"/>
          <w:sz w:val="20"/>
        </w:rPr>
      </w:pPr>
      <w:r>
        <w:rPr>
          <w:rFonts w:ascii="Times New Roman" w:hAnsi="Times New Roman"/>
          <w:sz w:val="20"/>
        </w:rPr>
        <w:t xml:space="preserve">6. 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 </w:t>
      </w:r>
    </w:p>
    <w:p>
      <w:pPr>
        <w:pStyle w:val="TextBody"/>
        <w:bidi w:val="0"/>
        <w:spacing w:before="240" w:after="0"/>
        <w:jc w:val="left"/>
        <w:rPr>
          <w:rFonts w:ascii="Times New Roman" w:hAnsi="Times New Roman"/>
          <w:sz w:val="20"/>
        </w:rPr>
      </w:pPr>
      <w:r>
        <w:rPr>
          <w:rFonts w:ascii="Times New Roman" w:hAnsi="Times New Roman"/>
          <w:sz w:val="20"/>
        </w:rPr>
        <w:t xml:space="preserve">8. 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 </w:t>
      </w:r>
    </w:p>
    <w:p>
      <w:pPr>
        <w:pStyle w:val="TextBody"/>
        <w:bidi w:val="0"/>
        <w:spacing w:before="240" w:after="0"/>
        <w:jc w:val="left"/>
        <w:rPr>
          <w:rFonts w:ascii="Times New Roman" w:hAnsi="Times New Roman"/>
          <w:sz w:val="20"/>
        </w:rPr>
      </w:pPr>
      <w:r>
        <w:rPr>
          <w:rFonts w:ascii="Times New Roman" w:hAnsi="Times New Roman"/>
          <w:sz w:val="20"/>
        </w:rPr>
        <w:t xml:space="preserve">9. Discharge of industrial sewage to the Building plumbing system shall only be permitted if Tenant, at its sole expense, shall have obtained all necessary permits and licenses therefor, including without limitation permits from state and local authorities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l 0. Tenant shall not overload the floor of the Premises, nor mark, drive nails or screws, or drill into the partitions, woodwork or drywall or in any way deface the Premises or any part thereof without Landlord’s prior written consent; provided, however, that Landlord’s prior written consent shall not be required for the hanging of normal and customary office artwork and personal items. Tenant shall not purchase spring water, ice, towel, linen, maintenance or other like services from any person or persons not included on an approved list that Landlord shall provide to Tenant upon request. Landlord reserves the right to have Landlord’s structural engineer review Tenant’s floor loads on the Building at Landlord’s expense, unless such study reveals that Tenant has exceeded the floor loads, in which case Tenant shall pay the cost of such survey. </w:t>
      </w:r>
    </w:p>
    <w:p>
      <w:pPr>
        <w:pStyle w:val="TextBody"/>
        <w:bidi w:val="0"/>
        <w:spacing w:before="240" w:after="0"/>
        <w:jc w:val="left"/>
        <w:rPr>
          <w:rFonts w:ascii="Times New Roman" w:hAnsi="Times New Roman"/>
          <w:sz w:val="20"/>
        </w:rPr>
      </w:pPr>
      <w:r>
        <w:rPr>
          <w:rFonts w:ascii="Times New Roman" w:hAnsi="Times New Roman"/>
          <w:sz w:val="20"/>
        </w:rPr>
        <w:t xml:space="preserve">11. Except for vending machines intended for the sole use of Tenant’s employees and invitees, no vending machine or machines other than fractional horsepower office machines shall be installed, maintained or operated upon the Premises without the written consent of Landlord. </w:t>
      </w:r>
    </w:p>
    <w:p>
      <w:pPr>
        <w:pStyle w:val="TextBody"/>
        <w:bidi w:val="0"/>
        <w:spacing w:before="240" w:after="0"/>
        <w:jc w:val="left"/>
        <w:rPr>
          <w:rFonts w:ascii="Times New Roman" w:hAnsi="Times New Roman"/>
          <w:sz w:val="20"/>
        </w:rPr>
      </w:pPr>
      <w:r>
        <w:rPr>
          <w:rFonts w:ascii="Times New Roman" w:hAnsi="Times New Roman"/>
          <w:sz w:val="20"/>
        </w:rPr>
        <w:t xml:space="preserve">12. Tenant shall not use or keep in or on the Premises, the Building, or the Project any kerosene, gasoline or other inflammable or combustible fluid, chemical, substance or material. </w:t>
      </w:r>
    </w:p>
    <w:p>
      <w:pPr>
        <w:pStyle w:val="TextBody"/>
        <w:bidi w:val="0"/>
        <w:spacing w:before="240" w:after="0"/>
        <w:jc w:val="left"/>
        <w:rPr>
          <w:rFonts w:ascii="Times New Roman" w:hAnsi="Times New Roman"/>
          <w:sz w:val="20"/>
        </w:rPr>
      </w:pPr>
      <w:r>
        <w:rPr>
          <w:rFonts w:ascii="Times New Roman" w:hAnsi="Times New Roman"/>
          <w:sz w:val="20"/>
        </w:rPr>
        <w:t xml:space="preserve">13. Tenant shall not without the prior written consent of Landlord use any method of heating or air conditioning other than that supplied by Landlord. </w:t>
      </w:r>
    </w:p>
    <w:p>
      <w:pPr>
        <w:pStyle w:val="TextBody"/>
        <w:bidi w:val="0"/>
        <w:spacing w:before="240" w:after="0"/>
        <w:jc w:val="left"/>
        <w:rPr>
          <w:rFonts w:ascii="Times New Roman" w:hAnsi="Times New Roman"/>
          <w:sz w:val="20"/>
        </w:rPr>
      </w:pPr>
      <w:r>
        <w:rPr>
          <w:rFonts w:ascii="Times New Roman" w:hAnsi="Times New Roman"/>
          <w:sz w:val="20"/>
        </w:rPr>
        <w:t xml:space="preserve">14. 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 </w:t>
      </w:r>
    </w:p>
    <w:p>
      <w:pPr>
        <w:pStyle w:val="TextBody"/>
        <w:bidi w:val="0"/>
        <w:spacing w:before="240" w:after="0"/>
        <w:jc w:val="left"/>
        <w:rPr>
          <w:rFonts w:ascii="Times New Roman" w:hAnsi="Times New Roman"/>
          <w:sz w:val="20"/>
        </w:rPr>
      </w:pPr>
      <w:r>
        <w:rPr>
          <w:rFonts w:ascii="Times New Roman" w:hAnsi="Times New Roman"/>
          <w:sz w:val="20"/>
        </w:rPr>
        <w:t xml:space="preserve">15. Tenant shall not bring into or keep within the Project, the Building or the Premises any animals (except for animals used in the vivarium and in other areas in the Premises reasonably necessary for Tenant’s use of the vivarium), birds, aquariums, or, except in areas designated by Landlord, bicycles or other vehicles. </w:t>
      </w:r>
    </w:p>
    <w:p>
      <w:pPr>
        <w:pStyle w:val="TextBody"/>
        <w:bidi w:val="0"/>
        <w:spacing w:before="240" w:after="0"/>
        <w:jc w:val="left"/>
        <w:rPr>
          <w:rFonts w:ascii="Times New Roman" w:hAnsi="Times New Roman"/>
          <w:sz w:val="20"/>
        </w:rPr>
      </w:pPr>
      <w:r>
        <w:rPr>
          <w:rFonts w:ascii="Times New Roman" w:hAnsi="Times New Roman"/>
          <w:sz w:val="20"/>
        </w:rPr>
        <w:t xml:space="preserve">16. 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17. 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Landlord reserves the right to exclude or expel from the Project any person who, in the judgment of Landlord, is intoxicated or under the influence of liquor or drugs, or who shall in any manner do any act in violation of any of these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 9. 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w:t>
      </w:r>
    </w:p>
    <w:p>
      <w:pPr>
        <w:pStyle w:val="TextBody"/>
        <w:bidi w:val="0"/>
        <w:spacing w:before="240" w:after="0"/>
        <w:jc w:val="left"/>
        <w:rPr>
          <w:rFonts w:ascii="Times New Roman" w:hAnsi="Times New Roman"/>
          <w:sz w:val="20"/>
        </w:rPr>
      </w:pPr>
      <w:r>
        <w:rPr>
          <w:rFonts w:ascii="Times New Roman" w:hAnsi="Times New Roman"/>
          <w:sz w:val="20"/>
        </w:rPr>
        <w:t xml:space="preserve">20. Tenant shall not waste electricity, water or air conditioning and agrees to cooperate fully with Landlord to ensure the most effective operation of the Building’s heating and air conditioning system, and shall refrain from attempting to adjust any controls. </w:t>
      </w:r>
    </w:p>
    <w:p>
      <w:pPr>
        <w:pStyle w:val="TextBody"/>
        <w:bidi w:val="0"/>
        <w:spacing w:before="240" w:after="0"/>
        <w:jc w:val="left"/>
        <w:rPr>
          <w:rFonts w:ascii="Times New Roman" w:hAnsi="Times New Roman"/>
          <w:sz w:val="20"/>
        </w:rPr>
      </w:pPr>
      <w:r>
        <w:rPr>
          <w:rFonts w:ascii="Times New Roman" w:hAnsi="Times New Roman"/>
          <w:sz w:val="20"/>
        </w:rPr>
        <w:t xml:space="preserve">21. 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the city in which the Building is located without violation of any law or ordinance governing such disposal. All trash, garbage and refuse disposal shall be made only through entry-ways and elevators provided for such purposes at such times as Landlord shall designate. </w:t>
      </w:r>
    </w:p>
    <w:p>
      <w:pPr>
        <w:pStyle w:val="TextBody"/>
        <w:bidi w:val="0"/>
        <w:spacing w:before="240" w:after="0"/>
        <w:jc w:val="left"/>
        <w:rPr>
          <w:rFonts w:ascii="Times New Roman" w:hAnsi="Times New Roman"/>
          <w:sz w:val="20"/>
        </w:rPr>
      </w:pPr>
      <w:r>
        <w:rPr>
          <w:rFonts w:ascii="Times New Roman" w:hAnsi="Times New Roman"/>
          <w:sz w:val="20"/>
        </w:rPr>
        <w:t xml:space="preserve">22. Tenant shall comply with all safety, fire protection and evacuation procedures and regulations established by Landlord or any governmental agency. </w:t>
      </w:r>
    </w:p>
    <w:p>
      <w:pPr>
        <w:pStyle w:val="TextBody"/>
        <w:bidi w:val="0"/>
        <w:spacing w:before="240" w:after="0"/>
        <w:jc w:val="left"/>
        <w:rPr>
          <w:rFonts w:ascii="Times New Roman" w:hAnsi="Times New Roman"/>
          <w:sz w:val="20"/>
        </w:rPr>
      </w:pPr>
      <w:r>
        <w:rPr>
          <w:rFonts w:ascii="Times New Roman" w:hAnsi="Times New Roman"/>
          <w:sz w:val="20"/>
        </w:rPr>
        <w:t xml:space="preserve">23. Any persons employed by Tenant to do janitorial work shall be subject to the prior written approval of Landlord, and while in the Building and outside of the Premises, shall be subject to and under the control and direction of the Building manager (but not as an agent or servant of such manager or of Landlord), and Tenant shall be responsible for all acts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24. 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abide by Landlord’s regulations concerning the opening and closing of window coverings which are attached to the windows in the Premises, if any, which have a view of any interior portion of the Building or Building Common Areas. </w:t>
      </w:r>
    </w:p>
    <w:p>
      <w:pPr>
        <w:pStyle w:val="TextBody"/>
        <w:bidi w:val="0"/>
        <w:spacing w:before="240" w:after="0"/>
        <w:jc w:val="left"/>
        <w:rPr>
          <w:rFonts w:ascii="Times New Roman" w:hAnsi="Times New Roman"/>
          <w:sz w:val="20"/>
        </w:rPr>
      </w:pPr>
      <w:r>
        <w:rPr>
          <w:rFonts w:ascii="Times New Roman" w:hAnsi="Times New Roman"/>
          <w:sz w:val="20"/>
        </w:rPr>
        <w:t xml:space="preserve">25. The sashes, sash doors, skylights, windows, and doors that reflect or admit light and air into the halls, passageways or other public places in the Building shall not be covered or obstructed by Tenant, nor shall any bottles, parcels or other articles be placed on the windowsills. </w:t>
      </w:r>
    </w:p>
    <w:p>
      <w:pPr>
        <w:pStyle w:val="TextBody"/>
        <w:bidi w:val="0"/>
        <w:spacing w:before="240" w:after="0"/>
        <w:jc w:val="left"/>
        <w:rPr>
          <w:rFonts w:ascii="Times New Roman" w:hAnsi="Times New Roman"/>
          <w:sz w:val="20"/>
        </w:rPr>
      </w:pPr>
      <w:r>
        <w:rPr>
          <w:rFonts w:ascii="Times New Roman" w:hAnsi="Times New Roman"/>
          <w:sz w:val="20"/>
        </w:rPr>
        <w:t xml:space="preserve">26. Tenant must comply with requests by the Landlord concerning the informing of their employees of items of importance to the Landlord. </w:t>
      </w:r>
    </w:p>
    <w:p>
      <w:pPr>
        <w:pStyle w:val="TextBody"/>
        <w:bidi w:val="0"/>
        <w:spacing w:before="240" w:after="0"/>
        <w:jc w:val="left"/>
        <w:rPr>
          <w:rFonts w:ascii="Times New Roman" w:hAnsi="Times New Roman"/>
          <w:sz w:val="20"/>
        </w:rPr>
      </w:pPr>
      <w:r>
        <w:rPr>
          <w:rFonts w:ascii="Times New Roman" w:hAnsi="Times New Roman"/>
          <w:sz w:val="20"/>
        </w:rPr>
        <w:t xml:space="preserve">27. No smoking is permitted in the Building or on the Project. </w:t>
      </w:r>
    </w:p>
    <w:p>
      <w:pPr>
        <w:pStyle w:val="TextBody"/>
        <w:bidi w:val="0"/>
        <w:spacing w:before="240" w:after="0"/>
        <w:jc w:val="left"/>
        <w:rPr>
          <w:rFonts w:ascii="Times New Roman" w:hAnsi="Times New Roman"/>
          <w:sz w:val="20"/>
        </w:rPr>
      </w:pPr>
      <w:r>
        <w:rPr>
          <w:rFonts w:ascii="Times New Roman" w:hAnsi="Times New Roman"/>
          <w:sz w:val="20"/>
        </w:rPr>
        <w:t xml:space="preserve">28. 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All non-standard office equipment of any electrical or mechanical nature shall be placed by Tenant in the Premises in settings approved by Landlord, to absorb or prevent any vibration, noise and annoyance. </w:t>
      </w:r>
    </w:p>
    <w:p>
      <w:pPr>
        <w:pStyle w:val="TextBody"/>
        <w:bidi w:val="0"/>
        <w:spacing w:before="240" w:after="0"/>
        <w:jc w:val="left"/>
        <w:rPr>
          <w:rFonts w:ascii="Times New Roman" w:hAnsi="Times New Roman"/>
          <w:sz w:val="20"/>
        </w:rPr>
      </w:pPr>
      <w:r>
        <w:rPr>
          <w:rFonts w:ascii="Times New Roman" w:hAnsi="Times New Roman"/>
          <w:sz w:val="20"/>
        </w:rPr>
        <w:t xml:space="preserve">30. Tenant shall not use in any space or in the public halls of the Building, any hand trucks except those equipped with rubber tires and rubber side guards. </w:t>
      </w:r>
    </w:p>
    <w:p>
      <w:pPr>
        <w:pStyle w:val="TextBody"/>
        <w:bidi w:val="0"/>
        <w:spacing w:before="240" w:after="0"/>
        <w:jc w:val="left"/>
        <w:rPr>
          <w:rFonts w:ascii="Times New Roman" w:hAnsi="Times New Roman"/>
          <w:sz w:val="20"/>
        </w:rPr>
      </w:pPr>
      <w:r>
        <w:rPr>
          <w:rFonts w:ascii="Times New Roman" w:hAnsi="Times New Roman"/>
          <w:sz w:val="20"/>
        </w:rPr>
        <w:t xml:space="preserve">32. No auction, liquidation, fire sale, going-out-of-business or bankruptcy sale shall be conducted in the Premises without the prior written consent of Landlord. </w:t>
      </w:r>
    </w:p>
    <w:p>
      <w:pPr>
        <w:pStyle w:val="TextBody"/>
        <w:bidi w:val="0"/>
        <w:spacing w:before="240" w:after="0"/>
        <w:jc w:val="left"/>
        <w:rPr>
          <w:rFonts w:ascii="Times New Roman" w:hAnsi="Times New Roman"/>
          <w:sz w:val="20"/>
        </w:rPr>
      </w:pPr>
      <w:r>
        <w:rPr>
          <w:rFonts w:ascii="Times New Roman" w:hAnsi="Times New Roman"/>
          <w:sz w:val="20"/>
        </w:rPr>
        <w:t xml:space="preserve">32. No tenant shall use or permit the use of any portion of the Premises for living quarters, sleeping apartments or lodging rooms. </w:t>
      </w:r>
    </w:p>
    <w:p>
      <w:pPr>
        <w:pStyle w:val="TextBody"/>
        <w:bidi w:val="0"/>
        <w:spacing w:before="240" w:after="0"/>
        <w:jc w:val="left"/>
        <w:rPr>
          <w:rFonts w:ascii="Times New Roman" w:hAnsi="Times New Roman"/>
          <w:sz w:val="20"/>
        </w:rPr>
      </w:pPr>
      <w:r>
        <w:rPr>
          <w:rFonts w:ascii="Times New Roman" w:hAnsi="Times New Roman"/>
          <w:sz w:val="20"/>
        </w:rPr>
        <w:t xml:space="preserve">33. Not tenant shall permit its employees, agents, servants, visitors or licensees to place, leave or discard any rubbish, paper, articles, or objects of any kind whatsoever outside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5.4.1.1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ENVIRONMENTAL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5.4.7 </w:t>
      </w:r>
    </w:p>
    <w:p>
      <w:pPr>
        <w:pStyle w:val="TextBody"/>
        <w:bidi w:val="0"/>
        <w:spacing w:before="240" w:after="0"/>
        <w:jc w:val="center"/>
        <w:rPr>
          <w:rFonts w:ascii="Times New Roman" w:hAnsi="Times New Roman"/>
          <w:b/>
          <w:sz w:val="20"/>
        </w:rPr>
      </w:pPr>
      <w:r>
        <w:rPr>
          <w:rFonts w:ascii="Times New Roman" w:hAnsi="Times New Roman"/>
          <w:b/>
          <w:sz w:val="20"/>
        </w:rPr>
        <w:t xml:space="preserve">ENVIRONMENTAL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6.3 </w:t>
      </w:r>
    </w:p>
    <w:p>
      <w:pPr>
        <w:pStyle w:val="TextBody"/>
        <w:bidi w:val="0"/>
        <w:spacing w:before="240" w:after="0"/>
        <w:jc w:val="center"/>
        <w:rPr>
          <w:rFonts w:ascii="Times New Roman" w:hAnsi="Times New Roman"/>
          <w:b/>
          <w:sz w:val="20"/>
        </w:rPr>
      </w:pPr>
      <w:r>
        <w:rPr>
          <w:rFonts w:ascii="Times New Roman" w:hAnsi="Times New Roman"/>
          <w:b/>
          <w:sz w:val="20"/>
        </w:rPr>
        <w:t xml:space="preserve">Tenant Utility Matrix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17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TENANT’S ESTOPPEL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18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SNDA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27 </w:t>
      </w:r>
    </w:p>
    <w:p>
      <w:pPr>
        <w:pStyle w:val="TextBody"/>
        <w:bidi w:val="0"/>
        <w:spacing w:before="240" w:after="0"/>
        <w:jc w:val="center"/>
        <w:rPr>
          <w:rFonts w:ascii="Times New Roman" w:hAnsi="Times New Roman"/>
          <w:b/>
          <w:sz w:val="20"/>
        </w:rPr>
      </w:pPr>
      <w:r>
        <w:rPr>
          <w:rFonts w:ascii="Times New Roman" w:hAnsi="Times New Roman"/>
          <w:b/>
          <w:sz w:val="20"/>
        </w:rPr>
        <w:t xml:space="preserve">FUTURE SHAFT AREAS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29.33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 SYSTEM CONNECTION POINTS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LEASE </w:t>
      </w:r>
    </w:p>
    <w:p>
      <w:pPr>
        <w:pStyle w:val="TextBody"/>
        <w:bidi w:val="0"/>
        <w:spacing w:before="240" w:after="0"/>
        <w:jc w:val="left"/>
        <w:rPr>
          <w:rFonts w:ascii="Times New Roman" w:hAnsi="Times New Roman"/>
          <w:sz w:val="20"/>
        </w:rPr>
      </w:pPr>
      <w:r>
        <w:rPr>
          <w:rFonts w:ascii="Times New Roman" w:hAnsi="Times New Roman"/>
          <w:b/>
          <w:sz w:val="20"/>
        </w:rPr>
        <w:t xml:space="preserve">THIS FIRST AMENDMENT TO LEASE </w:t>
      </w:r>
      <w:r>
        <w:rPr>
          <w:rFonts w:ascii="Times New Roman" w:hAnsi="Times New Roman"/>
          <w:sz w:val="20"/>
        </w:rPr>
        <w:t xml:space="preserve">(this “Amendment”) is made as of </w:t>
      </w:r>
      <w:r>
        <w:rPr>
          <w:rFonts w:ascii="Times New Roman" w:hAnsi="Times New Roman"/>
          <w:sz w:val="20"/>
          <w:u w:val="single"/>
        </w:rPr>
        <w:t>1/18/2023</w:t>
      </w:r>
      <w:r>
        <w:rPr>
          <w:rFonts w:ascii="Times New Roman" w:hAnsi="Times New Roman"/>
          <w:sz w:val="20"/>
        </w:rPr>
        <w:t xml:space="preserve"> (the “Amendment Effective Date”), by and between </w:t>
      </w:r>
      <w:r>
        <w:rPr>
          <w:rFonts w:ascii="Times New Roman" w:hAnsi="Times New Roman"/>
          <w:b/>
          <w:sz w:val="20"/>
        </w:rPr>
        <w:t xml:space="preserve">VTRLS 1030 MASS AVE, LLC, </w:t>
      </w:r>
      <w:r>
        <w:rPr>
          <w:rFonts w:ascii="Times New Roman" w:hAnsi="Times New Roman"/>
          <w:sz w:val="20"/>
        </w:rPr>
        <w:t xml:space="preserve">a Delaware limited liability company (“Landlord”), and </w:t>
      </w:r>
      <w:r>
        <w:rPr>
          <w:rFonts w:ascii="Times New Roman" w:hAnsi="Times New Roman"/>
          <w:b/>
          <w:sz w:val="20"/>
        </w:rPr>
        <w:t xml:space="preserve">OBSIDIAN THERAPEUTICS, INC., </w:t>
      </w:r>
      <w:r>
        <w:rPr>
          <w:rFonts w:ascii="Times New Roman" w:hAnsi="Times New Roman"/>
          <w:sz w:val="20"/>
        </w:rPr>
        <w:t xml:space="preserve">a Delaware corporation (“Tenant”). </w:t>
      </w:r>
    </w:p>
    <w:p>
      <w:pPr>
        <w:pStyle w:val="TextBody"/>
        <w:bidi w:val="0"/>
        <w:spacing w:before="240" w:after="0"/>
        <w:jc w:val="left"/>
        <w:rPr>
          <w:rFonts w:ascii="Times New Roman" w:hAnsi="Times New Roman"/>
          <w:sz w:val="20"/>
        </w:rPr>
      </w:pPr>
      <w:r>
        <w:rPr>
          <w:rFonts w:ascii="Times New Roman" w:hAnsi="Times New Roman"/>
          <w:b/>
          <w:sz w:val="20"/>
        </w:rPr>
        <w:t>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Landlord (as successor in interest to Cambridge I 030 Mass Ave, LLC) and Tenant are parties to that certain Lease, dated May 19, 2017 (the “Lease”), for 17,807 rentable square feet of space (the “Premises”) on the first and fourth floors of the building located at 1030 Massachusetts Avenue, Cambridge, Massachusetts (the “Building”). Suite 119B on the first floor of the Building is a part of the Premises and is referred to herein as the “Storage Space.”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Landlord and Tenant desire to amend the Lease to extend the term, adjust the rent and make other modifications thereto, all pursuant to the terms of this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Landlord and Tenant hereby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Words whose initial letters are capitalized are defined terms. Any defined term that is not defined in this Amendment shall have the same meaning that is ascribed to that term in the Lease.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AMENDMENTS TO THE 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2.1</w:t>
      </w:r>
      <w:r>
        <w:rPr>
          <w:rFonts w:ascii="Times New Roman" w:hAnsi="Times New Roman"/>
          <w:sz w:val="20"/>
        </w:rPr>
        <w:t xml:space="preserve"> </w:t>
      </w:r>
      <w:r>
        <w:rPr>
          <w:rFonts w:ascii="Times New Roman" w:hAnsi="Times New Roman"/>
          <w:b/>
          <w:i/>
          <w:sz w:val="20"/>
        </w:rPr>
        <w:t>Lease Term</w:t>
      </w:r>
      <w:r>
        <w:rPr>
          <w:rFonts w:ascii="Times New Roman" w:hAnsi="Times New Roman"/>
          <w:sz w:val="20"/>
        </w:rPr>
        <w:t xml:space="preserve">. The Lease Term is extended through January 31, 2027. </w:t>
      </w:r>
    </w:p>
    <w:p>
      <w:pPr>
        <w:pStyle w:val="TextBody"/>
        <w:bidi w:val="0"/>
        <w:spacing w:before="240" w:after="0"/>
        <w:jc w:val="left"/>
        <w:rPr>
          <w:rFonts w:ascii="Times New Roman" w:hAnsi="Times New Roman"/>
          <w:sz w:val="20"/>
        </w:rPr>
      </w:pPr>
      <w:r>
        <w:rPr>
          <w:rFonts w:ascii="Times New Roman" w:hAnsi="Times New Roman"/>
          <w:b/>
          <w:i/>
          <w:sz w:val="20"/>
        </w:rPr>
        <w:t>2.2</w:t>
      </w:r>
      <w:r>
        <w:rPr>
          <w:rFonts w:ascii="Times New Roman" w:hAnsi="Times New Roman"/>
          <w:sz w:val="20"/>
        </w:rPr>
        <w:t xml:space="preserve"> </w:t>
      </w:r>
      <w:r>
        <w:rPr>
          <w:rFonts w:ascii="Times New Roman" w:hAnsi="Times New Roman"/>
          <w:b/>
          <w:i/>
          <w:sz w:val="20"/>
        </w:rPr>
        <w:t>Base Rent</w:t>
      </w:r>
      <w:r>
        <w:rPr>
          <w:rFonts w:ascii="Times New Roman" w:hAnsi="Times New Roman"/>
          <w:i/>
          <w:sz w:val="20"/>
        </w:rPr>
        <w:t xml:space="preserve">. </w:t>
      </w:r>
      <w:r>
        <w:rPr>
          <w:rFonts w:ascii="Times New Roman" w:hAnsi="Times New Roman"/>
          <w:sz w:val="20"/>
        </w:rPr>
        <w:t xml:space="preserve">Effective on February I, 2024, Base Rent shall be equal to $123.50 per rentable square foot of the Premises per annum (i.e., $2,199,164.52 per annum), payable in equal monthly installments of $183,263.71. Effective on February I, 2025, and on each February 1 thereafter during the Lease Term, Base Rent shall be increased to an amount equal to the product of (a) the Base Rent amount in effect immediately prior to that increase, multiplied by (b) 1.03. </w:t>
      </w:r>
    </w:p>
    <w:p>
      <w:pPr>
        <w:pStyle w:val="TextBody"/>
        <w:bidi w:val="0"/>
        <w:spacing w:before="240" w:after="0"/>
        <w:jc w:val="left"/>
        <w:rPr>
          <w:rFonts w:ascii="Times New Roman" w:hAnsi="Times New Roman"/>
          <w:sz w:val="20"/>
        </w:rPr>
      </w:pPr>
      <w:r>
        <w:rPr>
          <w:rFonts w:ascii="Times New Roman" w:hAnsi="Times New Roman"/>
          <w:b/>
          <w:i/>
          <w:sz w:val="20"/>
        </w:rPr>
        <w:t>2.3</w:t>
      </w:r>
      <w:r>
        <w:rPr>
          <w:rFonts w:ascii="Times New Roman" w:hAnsi="Times New Roman"/>
          <w:sz w:val="20"/>
        </w:rPr>
        <w:t xml:space="preserve"> </w:t>
      </w:r>
      <w:r>
        <w:rPr>
          <w:rFonts w:ascii="Times New Roman" w:hAnsi="Times New Roman"/>
          <w:b/>
          <w:i/>
          <w:sz w:val="20"/>
        </w:rPr>
        <w:t>Option Right Void</w:t>
      </w:r>
      <w:r>
        <w:rPr>
          <w:rFonts w:ascii="Times New Roman" w:hAnsi="Times New Roman"/>
          <w:i/>
          <w:sz w:val="20"/>
        </w:rPr>
        <w:t xml:space="preserve">. </w:t>
      </w:r>
      <w:r>
        <w:rPr>
          <w:rFonts w:ascii="Times New Roman" w:hAnsi="Times New Roman"/>
          <w:sz w:val="20"/>
        </w:rPr>
        <w:t xml:space="preserve">Tenant’s option to extend the Lease Term under Section 2.2 of the Lease is hereby void and of no further force or effect, and Tenant shall no longer have any right or option to further extend the Lease Term. </w:t>
      </w:r>
    </w:p>
    <w:p>
      <w:pPr>
        <w:pStyle w:val="TextBody"/>
        <w:bidi w:val="0"/>
        <w:spacing w:before="240" w:after="0"/>
        <w:jc w:val="left"/>
        <w:rPr>
          <w:rFonts w:ascii="Times New Roman" w:hAnsi="Times New Roman"/>
          <w:sz w:val="20"/>
        </w:rPr>
      </w:pPr>
      <w:r>
        <w:rPr>
          <w:rFonts w:ascii="Times New Roman" w:hAnsi="Times New Roman"/>
          <w:b/>
          <w:i/>
          <w:sz w:val="20"/>
        </w:rPr>
        <w:t>2.4</w:t>
      </w:r>
      <w:r>
        <w:rPr>
          <w:rFonts w:ascii="Times New Roman" w:hAnsi="Times New Roman"/>
          <w:sz w:val="20"/>
        </w:rPr>
        <w:t xml:space="preserve"> </w:t>
      </w:r>
      <w:r>
        <w:rPr>
          <w:rFonts w:ascii="Times New Roman" w:hAnsi="Times New Roman"/>
          <w:b/>
          <w:i/>
          <w:sz w:val="20"/>
        </w:rPr>
        <w:t>Definition of Lease Commencement Date</w:t>
      </w:r>
      <w:r>
        <w:rPr>
          <w:rFonts w:ascii="Times New Roman" w:hAnsi="Times New Roman"/>
          <w:i/>
          <w:sz w:val="20"/>
        </w:rPr>
        <w:t xml:space="preserve">. </w:t>
      </w:r>
      <w:r>
        <w:rPr>
          <w:rFonts w:ascii="Times New Roman" w:hAnsi="Times New Roman"/>
          <w:sz w:val="20"/>
        </w:rPr>
        <w:t xml:space="preserve">The defined term “Lease Commencement Date” (which is defined in Section 2.1 of the Lease) is renamed to be the “Commencement Date” under the Lease. In addition, the reference to “Fourth Floor Premises Lease Commencement Date” in clause (xiii)(C) of Section 4.2.4 of the Lease is amended to be a reference to “Fourth Floor Premises Commencement Date.” </w:t>
      </w:r>
    </w:p>
    <w:p>
      <w:pPr>
        <w:pStyle w:val="TextBody"/>
        <w:bidi w:val="0"/>
        <w:spacing w:before="240" w:after="0"/>
        <w:jc w:val="left"/>
        <w:rPr>
          <w:rFonts w:ascii="Times New Roman" w:hAnsi="Times New Roman"/>
          <w:sz w:val="20"/>
        </w:rPr>
      </w:pPr>
      <w:r>
        <w:rPr>
          <w:rFonts w:ascii="Times New Roman" w:hAnsi="Times New Roman"/>
          <w:b/>
          <w:i/>
          <w:sz w:val="20"/>
        </w:rPr>
        <w:t>2.5</w:t>
      </w:r>
      <w:r>
        <w:rPr>
          <w:rFonts w:ascii="Times New Roman" w:hAnsi="Times New Roman"/>
          <w:sz w:val="20"/>
        </w:rPr>
        <w:t xml:space="preserve"> </w:t>
      </w:r>
      <w:r>
        <w:rPr>
          <w:rFonts w:ascii="Times New Roman" w:hAnsi="Times New Roman"/>
          <w:b/>
          <w:i/>
          <w:sz w:val="20"/>
        </w:rPr>
        <w:t>Lease of Storage Space</w:t>
      </w:r>
      <w:r>
        <w:rPr>
          <w:rFonts w:ascii="Times New Roman" w:hAnsi="Times New Roman"/>
          <w:i/>
          <w:sz w:val="20"/>
        </w:rPr>
        <w:t xml:space="preserve">. </w:t>
      </w:r>
      <w:r>
        <w:rPr>
          <w:rFonts w:ascii="Times New Roman" w:hAnsi="Times New Roman"/>
          <w:sz w:val="20"/>
        </w:rPr>
        <w:t xml:space="preserve">Landlord and Tenant acknowledge and agree that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Tenant may use the Storage Space solely for purposes of storing Tenant’s personal property and (b) Landlord shall not be obligated to provide any services to the Storage Space (such as janitorial services or water) other than electrical power and HVAC service sufficient for adequate lighting, heating and air conditioning to the Storage Space during ordinary business hours as may be reasonably required for the use of the Storage Space for storage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2.6</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4.2.4</w:t>
      </w:r>
      <w:r>
        <w:rPr>
          <w:rFonts w:ascii="Times New Roman" w:hAnsi="Times New Roman"/>
          <w:i/>
          <w:sz w:val="20"/>
        </w:rPr>
        <w:t xml:space="preserve">. </w:t>
      </w:r>
      <w:r>
        <w:rPr>
          <w:rFonts w:ascii="Times New Roman" w:hAnsi="Times New Roman"/>
          <w:sz w:val="20"/>
        </w:rPr>
        <w:t xml:space="preserve">Clause (i) of the first paragraph of Section 4.2.4 of the Lease is amended to read in its entirety as follows: </w:t>
      </w:r>
    </w:p>
    <w:p>
      <w:pPr>
        <w:pStyle w:val="TextBody"/>
        <w:bidi w:val="0"/>
        <w:spacing w:before="240" w:after="0"/>
        <w:jc w:val="left"/>
        <w:rPr/>
      </w:pPr>
      <w:r>
        <w:rPr/>
        <w:t>“</w:t>
      </w:r>
      <w:r>
        <w:rPr>
          <w:rFonts w:ascii="Times New Roman" w:hAnsi="Times New Roman"/>
          <w:sz w:val="20"/>
        </w:rPr>
        <w:t xml:space="preserve">(i) the cost of supplying all utilities (other than separately metered utilities to the premises of other tenants), the cost of operating, repairing, maintaining, and renovating the utility, telephone, mechanical, sanitary, storm drainage, and elevator systems, and the cost of maintenance and service contracts in connection therewith;” </w:t>
      </w:r>
    </w:p>
    <w:p>
      <w:pPr>
        <w:pStyle w:val="TextBody"/>
        <w:bidi w:val="0"/>
        <w:spacing w:before="240" w:after="0"/>
        <w:jc w:val="left"/>
        <w:rPr>
          <w:rFonts w:ascii="Times New Roman" w:hAnsi="Times New Roman"/>
          <w:sz w:val="20"/>
        </w:rPr>
      </w:pPr>
      <w:r>
        <w:rPr>
          <w:rFonts w:ascii="Times New Roman" w:hAnsi="Times New Roman"/>
          <w:b/>
          <w:i/>
          <w:sz w:val="20"/>
        </w:rPr>
        <w:t>2.7</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6.1.1</w:t>
      </w:r>
      <w:r>
        <w:rPr>
          <w:rFonts w:ascii="Times New Roman" w:hAnsi="Times New Roman"/>
          <w:i/>
          <w:sz w:val="20"/>
        </w:rPr>
        <w:t xml:space="preserve">. </w:t>
      </w:r>
      <w:r>
        <w:rPr>
          <w:rFonts w:ascii="Times New Roman" w:hAnsi="Times New Roman"/>
          <w:sz w:val="20"/>
        </w:rPr>
        <w:t>Section 6.1.1 of the Lease is amended by replacing the reference to “</w:t>
      </w:r>
      <w:r>
        <w:rPr>
          <w:rFonts w:ascii="Times New Roman" w:hAnsi="Times New Roman"/>
          <w:sz w:val="20"/>
          <w:u w:val="single"/>
        </w:rPr>
        <w:t>Exhibit 6.1</w:t>
      </w:r>
      <w:r>
        <w:rPr>
          <w:rFonts w:ascii="Times New Roman" w:hAnsi="Times New Roman"/>
          <w:sz w:val="20"/>
        </w:rPr>
        <w:t>” therein with a reference to “</w:t>
      </w:r>
      <w:r>
        <w:rPr>
          <w:rFonts w:ascii="Times New Roman" w:hAnsi="Times New Roman"/>
          <w:sz w:val="20"/>
          <w:u w:val="single"/>
        </w:rPr>
        <w:t>Exhibit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2.8</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10</w:t>
      </w:r>
      <w:r>
        <w:rPr>
          <w:rFonts w:ascii="Times New Roman" w:hAnsi="Times New Roman"/>
          <w:i/>
          <w:sz w:val="20"/>
        </w:rPr>
        <w:t xml:space="preserve">. </w:t>
      </w:r>
      <w:r>
        <w:rPr>
          <w:rFonts w:ascii="Times New Roman" w:hAnsi="Times New Roman"/>
          <w:sz w:val="20"/>
        </w:rPr>
        <w:t xml:space="preserve">7. Section 10.7 of the Lease is amended to permit Landlord to satisfy its obligation to carry general liability insurance through a combination of primary and excess/umbrella liability insurance. </w:t>
      </w:r>
    </w:p>
    <w:p>
      <w:pPr>
        <w:pStyle w:val="TextBody"/>
        <w:bidi w:val="0"/>
        <w:spacing w:before="240" w:after="0"/>
        <w:jc w:val="left"/>
        <w:rPr>
          <w:rFonts w:ascii="Times New Roman" w:hAnsi="Times New Roman"/>
          <w:sz w:val="20"/>
        </w:rPr>
      </w:pPr>
      <w:r>
        <w:rPr>
          <w:rFonts w:ascii="Times New Roman" w:hAnsi="Times New Roman"/>
          <w:b/>
          <w:i/>
          <w:sz w:val="20"/>
        </w:rPr>
        <w:t>2.9</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15.2</w:t>
      </w:r>
      <w:r>
        <w:rPr>
          <w:rFonts w:ascii="Times New Roman" w:hAnsi="Times New Roman"/>
          <w:i/>
          <w:sz w:val="20"/>
        </w:rPr>
        <w:t xml:space="preserve">. </w:t>
      </w:r>
      <w:r>
        <w:rPr>
          <w:rFonts w:ascii="Times New Roman" w:hAnsi="Times New Roman"/>
          <w:sz w:val="20"/>
        </w:rPr>
        <w:t>Section 15.2 of the Lease is amended by (a) replacing the reference to “</w:t>
      </w:r>
      <w:r>
        <w:rPr>
          <w:rFonts w:ascii="Times New Roman" w:hAnsi="Times New Roman"/>
          <w:sz w:val="20"/>
          <w:u w:val="single"/>
        </w:rPr>
        <w:t>Section 8.3</w:t>
      </w:r>
      <w:r>
        <w:rPr>
          <w:rFonts w:ascii="Times New Roman" w:hAnsi="Times New Roman"/>
          <w:sz w:val="20"/>
        </w:rPr>
        <w:t>” therein with a reference to “</w:t>
      </w:r>
      <w:r>
        <w:rPr>
          <w:rFonts w:ascii="Times New Roman" w:hAnsi="Times New Roman"/>
          <w:sz w:val="20"/>
          <w:u w:val="single"/>
        </w:rPr>
        <w:t>Section 8.5</w:t>
      </w:r>
      <w:r>
        <w:rPr>
          <w:rFonts w:ascii="Times New Roman" w:hAnsi="Times New Roman"/>
          <w:sz w:val="20"/>
        </w:rPr>
        <w:t xml:space="preserve">” and (b) replacing the reference to “Allowance” in the final sentence thereof with a reference to “Tenant Improvement Allowance.” </w:t>
      </w:r>
    </w:p>
    <w:p>
      <w:pPr>
        <w:pStyle w:val="TextBody"/>
        <w:bidi w:val="0"/>
        <w:spacing w:before="240" w:after="0"/>
        <w:jc w:val="left"/>
        <w:rPr>
          <w:rFonts w:ascii="Times New Roman" w:hAnsi="Times New Roman"/>
          <w:sz w:val="20"/>
        </w:rPr>
      </w:pPr>
      <w:r>
        <w:rPr>
          <w:rFonts w:ascii="Times New Roman" w:hAnsi="Times New Roman"/>
          <w:b/>
          <w:i/>
          <w:sz w:val="20"/>
        </w:rPr>
        <w:t>2.10</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15.3</w:t>
      </w:r>
      <w:r>
        <w:rPr>
          <w:rFonts w:ascii="Times New Roman" w:hAnsi="Times New Roman"/>
          <w:i/>
          <w:sz w:val="20"/>
        </w:rPr>
        <w:t xml:space="preserve">. </w:t>
      </w:r>
      <w:r>
        <w:rPr>
          <w:rFonts w:ascii="Times New Roman" w:hAnsi="Times New Roman"/>
          <w:sz w:val="20"/>
        </w:rPr>
        <w:t xml:space="preserve">Section 15.3 of the Lease is amended by replacing the reference to “this </w:t>
      </w:r>
      <w:r>
        <w:rPr>
          <w:rFonts w:ascii="Times New Roman" w:hAnsi="Times New Roman"/>
          <w:sz w:val="20"/>
          <w:u w:val="single"/>
        </w:rPr>
        <w:t>Section 15.2</w:t>
      </w:r>
      <w:r>
        <w:rPr>
          <w:rFonts w:ascii="Times New Roman" w:hAnsi="Times New Roman"/>
          <w:sz w:val="20"/>
        </w:rPr>
        <w:t xml:space="preserve">” in the second paragraph thereof with a reference to “this </w:t>
      </w:r>
      <w:r>
        <w:rPr>
          <w:rFonts w:ascii="Times New Roman" w:hAnsi="Times New Roman"/>
          <w:sz w:val="20"/>
          <w:u w:val="single"/>
        </w:rPr>
        <w:t>Section 15.3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2.11</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29.33</w:t>
      </w:r>
      <w:r>
        <w:rPr>
          <w:rFonts w:ascii="Times New Roman" w:hAnsi="Times New Roman"/>
          <w:i/>
          <w:sz w:val="20"/>
        </w:rPr>
        <w:t xml:space="preserve">. </w:t>
      </w:r>
      <w:r>
        <w:rPr>
          <w:rFonts w:ascii="Times New Roman" w:hAnsi="Times New Roman"/>
          <w:sz w:val="20"/>
        </w:rPr>
        <w:t xml:space="preserve">Section 29.33 of the Lease is amended by replacing the reference to “pH neutralization system” in subsection (2) thereof with a reference to “Special Systems.” </w:t>
      </w:r>
    </w:p>
    <w:p>
      <w:pPr>
        <w:pStyle w:val="TextBody"/>
        <w:bidi w:val="0"/>
        <w:spacing w:before="240" w:after="0"/>
        <w:jc w:val="left"/>
        <w:rPr>
          <w:rFonts w:ascii="Times New Roman" w:hAnsi="Times New Roman"/>
          <w:sz w:val="20"/>
        </w:rPr>
      </w:pPr>
      <w:r>
        <w:rPr>
          <w:rFonts w:ascii="Times New Roman" w:hAnsi="Times New Roman"/>
          <w:b/>
          <w:i/>
          <w:sz w:val="20"/>
        </w:rPr>
        <w:t>2.12</w:t>
      </w:r>
      <w:r>
        <w:rPr>
          <w:rFonts w:ascii="Times New Roman" w:hAnsi="Times New Roman"/>
          <w:sz w:val="20"/>
        </w:rPr>
        <w:t xml:space="preserve"> </w:t>
      </w:r>
      <w:r>
        <w:rPr>
          <w:rFonts w:ascii="Times New Roman" w:hAnsi="Times New Roman"/>
          <w:b/>
          <w:i/>
          <w:sz w:val="20"/>
        </w:rPr>
        <w:t>References to Term</w:t>
      </w:r>
      <w:r>
        <w:rPr>
          <w:rFonts w:ascii="Times New Roman" w:hAnsi="Times New Roman"/>
          <w:i/>
          <w:sz w:val="20"/>
        </w:rPr>
        <w:t xml:space="preserve">. </w:t>
      </w:r>
      <w:r>
        <w:rPr>
          <w:rFonts w:ascii="Times New Roman" w:hAnsi="Times New Roman"/>
          <w:sz w:val="20"/>
        </w:rPr>
        <w:t xml:space="preserve">The parties acknowledge and agree that references in the Lease to “the Term” are intended to be (and shall be construed as) references to “the Lease Term.” </w:t>
      </w:r>
    </w:p>
    <w:p>
      <w:pPr>
        <w:pStyle w:val="TextBody"/>
        <w:bidi w:val="0"/>
        <w:spacing w:before="240" w:after="0"/>
        <w:jc w:val="left"/>
        <w:rPr>
          <w:rFonts w:ascii="Times New Roman" w:hAnsi="Times New Roman"/>
          <w:sz w:val="20"/>
        </w:rPr>
      </w:pPr>
      <w:r>
        <w:rPr>
          <w:rFonts w:ascii="Times New Roman" w:hAnsi="Times New Roman"/>
          <w:b/>
          <w:i/>
          <w:sz w:val="20"/>
        </w:rPr>
        <w:t>2.13</w:t>
      </w:r>
      <w:r>
        <w:rPr>
          <w:rFonts w:ascii="Times New Roman" w:hAnsi="Times New Roman"/>
          <w:sz w:val="20"/>
        </w:rPr>
        <w:t xml:space="preserve"> </w:t>
      </w:r>
      <w:r>
        <w:rPr>
          <w:rFonts w:ascii="Times New Roman" w:hAnsi="Times New Roman"/>
          <w:b/>
          <w:i/>
          <w:sz w:val="20"/>
        </w:rPr>
        <w:t>Landlord’s Notice Address</w:t>
      </w:r>
      <w:r>
        <w:rPr>
          <w:rFonts w:ascii="Times New Roman" w:hAnsi="Times New Roman"/>
          <w:i/>
          <w:sz w:val="20"/>
        </w:rPr>
        <w:t xml:space="preserve">. </w:t>
      </w:r>
      <w:r>
        <w:rPr>
          <w:rFonts w:ascii="Times New Roman" w:hAnsi="Times New Roman"/>
          <w:sz w:val="20"/>
        </w:rPr>
        <w:t xml:space="preserve">Landlord’s address for Notices under the Lease is amended to be: </w:t>
      </w:r>
    </w:p>
    <w:p>
      <w:pPr>
        <w:pStyle w:val="TextBody"/>
        <w:bidi w:val="0"/>
        <w:spacing w:before="120" w:after="0"/>
        <w:jc w:val="left"/>
        <w:rPr>
          <w:rFonts w:ascii="Times New Roman" w:hAnsi="Times New Roman"/>
          <w:sz w:val="20"/>
        </w:rPr>
      </w:pPr>
      <w:r>
        <w:rPr>
          <w:rFonts w:ascii="Times New Roman" w:hAnsi="Times New Roman"/>
          <w:sz w:val="20"/>
        </w:rPr>
        <w:t xml:space="preserve">VTR LS 1030 Mass Ave, LLC </w:t>
      </w:r>
    </w:p>
    <w:p>
      <w:pPr>
        <w:pStyle w:val="TextBody"/>
        <w:bidi w:val="0"/>
        <w:spacing w:before="0" w:after="0"/>
        <w:jc w:val="left"/>
        <w:rPr>
          <w:rFonts w:ascii="Times New Roman" w:hAnsi="Times New Roman"/>
          <w:sz w:val="20"/>
        </w:rPr>
      </w:pPr>
      <w:r>
        <w:rPr>
          <w:rFonts w:ascii="Times New Roman" w:hAnsi="Times New Roman"/>
          <w:sz w:val="20"/>
        </w:rPr>
        <w:t xml:space="preserve">c/o Ventas, Inc. </w:t>
      </w:r>
    </w:p>
    <w:p>
      <w:pPr>
        <w:pStyle w:val="TextBody"/>
        <w:bidi w:val="0"/>
        <w:spacing w:before="0" w:after="0"/>
        <w:jc w:val="left"/>
        <w:rPr>
          <w:rFonts w:ascii="Times New Roman" w:hAnsi="Times New Roman"/>
          <w:sz w:val="20"/>
        </w:rPr>
      </w:pPr>
      <w:r>
        <w:rPr>
          <w:rFonts w:ascii="Times New Roman" w:hAnsi="Times New Roman"/>
          <w:sz w:val="20"/>
        </w:rPr>
        <w:t xml:space="preserve">353 N. Clark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0" w:after="0"/>
        <w:jc w:val="left"/>
        <w:rPr>
          <w:rFonts w:ascii="Times New Roman" w:hAnsi="Times New Roman"/>
          <w:sz w:val="20"/>
        </w:rPr>
      </w:pPr>
      <w:r>
        <w:rPr>
          <w:rFonts w:ascii="Times New Roman" w:hAnsi="Times New Roman"/>
          <w:sz w:val="20"/>
        </w:rPr>
        <w:t xml:space="preserve">Attn: Asset Management—Life Sciences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c/o Ventas, Inc. </w:t>
      </w:r>
    </w:p>
    <w:p>
      <w:pPr>
        <w:pStyle w:val="TextBody"/>
        <w:bidi w:val="0"/>
        <w:spacing w:before="0" w:after="0"/>
        <w:jc w:val="left"/>
        <w:rPr>
          <w:rFonts w:ascii="Times New Roman" w:hAnsi="Times New Roman"/>
          <w:sz w:val="20"/>
        </w:rPr>
      </w:pPr>
      <w:r>
        <w:rPr>
          <w:rFonts w:ascii="Times New Roman" w:hAnsi="Times New Roman"/>
          <w:sz w:val="20"/>
        </w:rPr>
        <w:t xml:space="preserve">353 N. Clark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TENANT IMPROVEMENTS. </w:t>
      </w:r>
    </w:p>
    <w:p>
      <w:pPr>
        <w:pStyle w:val="TextBody"/>
        <w:bidi w:val="0"/>
        <w:spacing w:before="240" w:after="0"/>
        <w:jc w:val="left"/>
        <w:rPr>
          <w:rFonts w:ascii="Times New Roman" w:hAnsi="Times New Roman"/>
          <w:sz w:val="20"/>
        </w:rPr>
      </w:pPr>
      <w:r>
        <w:rPr>
          <w:rFonts w:ascii="Times New Roman" w:hAnsi="Times New Roman"/>
          <w:b/>
          <w:i/>
          <w:sz w:val="20"/>
        </w:rPr>
        <w:t>3.1</w:t>
      </w:r>
      <w:r>
        <w:rPr>
          <w:rFonts w:ascii="Times New Roman" w:hAnsi="Times New Roman"/>
          <w:sz w:val="20"/>
        </w:rPr>
        <w:t xml:space="preserve"> Tenant’s Work.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Tenant shall, in accordance with the terms and conditions of this Amendment and the Lease, construct or cause to be constructed, certain improvements and perform other work to be approved or reasonably required by Landlord and more completely described in the Tenant’s Plans (as defined below) (collectively, the “Tenant’s Work”). Tenant shall proceed diligently with Tenant’s Work in order to have it fully completed as soon as practicable, as reasonably determined by Landlord, subject to any delays resulting from events of Force Majeure. Tenant’s Work shall be staged at locations reasonably acceptable to Landlord. Subject to Landlord’s Contribution provided in </w:t>
      </w:r>
      <w:r>
        <w:rPr>
          <w:rFonts w:ascii="Times New Roman" w:hAnsi="Times New Roman"/>
          <w:sz w:val="20"/>
          <w:u w:val="single"/>
        </w:rPr>
        <w:t>Section 3.l(d)</w:t>
      </w:r>
      <w:r>
        <w:rPr>
          <w:rFonts w:ascii="Times New Roman" w:hAnsi="Times New Roman"/>
          <w:sz w:val="20"/>
        </w:rPr>
        <w:t xml:space="preserve">, all of Tenant’s Work shall be performed at Tenant’s sole cost and expense.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Tenant shall, as soon as reasonably practicable after mutual execution of this Amendment, submit plans and specifications (and, if requested by Landlord, a narrative description from Tenant’s architect) for Tenant’s Work as it relates to the Premises to Landlord for its approval, which approval shall not be unreasonably withheld or delayed unless such work (1) impacts the structural components of the Project, (2) impacts the utility or mechanical systems of the Project or (3) impacts any other tenant’s premises or is visible from outside the Premises, in which case Landlord’s approval may be withheld in its sole discretion (“Tenant’s Plans”). Landlord shall have a period of 10 business days after receipt of Tenant’s Plans within which to either approve such plans or to make comments and changes thereon. If Landlord does not object to such plans within such 10-business day period, Landlord shall be deemed to have approved the same. If Landlord objects by making reasonably detailed comments to Tenant’s Plans, Tenant shall revise Tenant’s Plans in accordance with Landlord’s comments and resubmit them to Landlord for approval within 15 business days after the date of receipt of written comments from Landlord. Landlord shall then have 10 business days after receipt of such revised Tenant’s Plans to approve such revised Tenant’s Plans. If Landlord fails to timely object to such revised Tenant’s Plans, Landlord shall be deemed to have approved the same. If Landlord objects by making reasonably detailed comments to the revised portions of Tenant’s Plans, the revision process described herein shall be repeated. Once approved, Tenant shall not make material changes or material revisions to any of Tenant’s Plans without submitting such changes and revisions to Landlord for its review and approval in accordance with the procedures of this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Promptly after Tenant’s Plans are finalized, Tenant shall commence and thereafter proceed diligently with the completion of all Tenant’s Work in accordance with the terms hereof and the installation of such fixtures, furniture and equipment as may be necessary to prepare the Premises for the operation of business. Upon completion of Tenant’s Work, Tenant shall deliver to Landlord a copy of all licenses and permits that are necessary for Tenant’s use and </w:t>
      </w:r>
    </w:p>
    <w:p>
      <w:pPr>
        <w:pStyle w:val="TextBody"/>
        <w:bidi w:val="0"/>
        <w:spacing w:before="240" w:after="0"/>
        <w:jc w:val="left"/>
        <w:rPr>
          <w:rFonts w:ascii="Times New Roman" w:hAnsi="Times New Roman"/>
          <w:sz w:val="20"/>
        </w:rPr>
      </w:pPr>
      <w:r>
        <w:rPr>
          <w:rFonts w:ascii="Times New Roman" w:hAnsi="Times New Roman"/>
          <w:sz w:val="20"/>
        </w:rPr>
        <w:t xml:space="preserve">occupancy of the Premises, including, if required by applicable governmental authorities, a certificate of occupancy. </w:t>
      </w:r>
    </w:p>
    <w:p>
      <w:pPr>
        <w:pStyle w:val="TextBody"/>
        <w:bidi w:val="0"/>
        <w:spacing w:before="240" w:after="0"/>
        <w:jc w:val="left"/>
        <w:rPr>
          <w:rFonts w:ascii="Times New Roman" w:hAnsi="Times New Roman"/>
          <w:sz w:val="20"/>
        </w:rPr>
      </w:pPr>
      <w:r>
        <w:rPr>
          <w:rFonts w:ascii="Times New Roman" w:hAnsi="Times New Roman"/>
          <w:i/>
          <w:sz w:val="20"/>
        </w:rPr>
        <w:t>(d)</w:t>
      </w:r>
      <w:r>
        <w:rPr>
          <w:rFonts w:ascii="Times New Roman" w:hAnsi="Times New Roman"/>
          <w:sz w:val="20"/>
        </w:rPr>
        <w:t xml:space="preserve"> With respect to Tenant’s Work, Landlord shall pay to Tenant an amount (“Landlord’s Contribution”) equal to either (1) $267,105 or (2) the actual cost of Tenant’s Work, whichever is less, as a contribution towards Tenant’s Work (and in no event shall the Landlord’s Contribution be used to purchase furniture, equipment or other personal property). </w:t>
      </w:r>
    </w:p>
    <w:p>
      <w:pPr>
        <w:pStyle w:val="TextBody"/>
        <w:bidi w:val="0"/>
        <w:spacing w:before="24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So long as Tenant is not in default under the Lease and no event exists that with the giving of notice or passage of time would constitute a default under the Lease, Landlord shall pay to Tenant the Landlord’s Contribution after: (1) Tenant has completed all of Tenant’s Work and installed such fixtures, furniture and equipment as may be necessary to prepare the Premises for the operation of Tenant’s business, (2) Tenant is open for business and (3) Tenant has submitted in a form reasonably satisfactory to Landlord each of the following: (A) final owner’s and contractor’s sworn statements, (B) full and final lien waivers covering all labor and materials included in such Tenant’s Work, (C) copies of paid invoices or other evidence reasonably satisfactory to Landlord establishing Tenant’s full payment of the cost of Tenant’s Work, (D) copies of certificates of occupancy, if applicable, (E) copies of all other licenses and permits that are necessary for Tenant’s Work and, to the extent available to Tenant, necessary for Tenant’s use and occupancy of the Premises, (F) certification from Tenant’s architect, if an architect was used in connection with such plans, that Tenant’s Work was performed and completed in accordance with Tenant’s Plans, and (G) such other information that Landlord shall reasonably require. If the cost of Tenant’s Work exceeds Landlord’s Contribution, Tenant shall pay all excess costs. If the conditions to Landlord’s payment of the Landlord’s Contribution are not met on or before the first anniversary of the Amendment Effective Date, then Tenant shall forfeit its rights to the Landlord’s Contribution. </w:t>
      </w:r>
    </w:p>
    <w:p>
      <w:pPr>
        <w:pStyle w:val="TextBody"/>
        <w:bidi w:val="0"/>
        <w:spacing w:before="240" w:after="0"/>
        <w:jc w:val="left"/>
        <w:rPr>
          <w:rFonts w:ascii="Times New Roman" w:hAnsi="Times New Roman"/>
          <w:sz w:val="20"/>
        </w:rPr>
      </w:pPr>
      <w:r>
        <w:rPr>
          <w:rFonts w:ascii="Times New Roman" w:hAnsi="Times New Roman"/>
          <w:i/>
          <w:sz w:val="20"/>
        </w:rPr>
        <w:t>(f)</w:t>
      </w:r>
      <w:r>
        <w:rPr>
          <w:rFonts w:ascii="Times New Roman" w:hAnsi="Times New Roman"/>
          <w:sz w:val="20"/>
        </w:rPr>
        <w:t xml:space="preserve"> In connection with Tenant’s Work, Tenant waives any claims for, and shall protect, defend, indemnify and save harmless Landlord and the Landlord Parties from, all liabilities, costs, damages, fees and expenses arising out of the performance of Tenant’s Work by Tenant or its agents, Tenant’s general contractor, or Tenant’s other contractors, suppliers or workmen in the Premises or the Building.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ADDITIONAL PROVISIONS. </w:t>
      </w:r>
    </w:p>
    <w:p>
      <w:pPr>
        <w:pStyle w:val="TextBody"/>
        <w:bidi w:val="0"/>
        <w:spacing w:before="240" w:after="0"/>
        <w:jc w:val="left"/>
        <w:rPr>
          <w:rFonts w:ascii="Times New Roman" w:hAnsi="Times New Roman"/>
          <w:sz w:val="20"/>
        </w:rPr>
      </w:pPr>
      <w:r>
        <w:rPr>
          <w:rFonts w:ascii="Times New Roman" w:hAnsi="Times New Roman"/>
          <w:b/>
          <w:i/>
          <w:sz w:val="20"/>
        </w:rPr>
        <w:t>4.1</w:t>
      </w:r>
      <w:r>
        <w:rPr>
          <w:rFonts w:ascii="Times New Roman" w:hAnsi="Times New Roman"/>
          <w:sz w:val="20"/>
        </w:rPr>
        <w:t xml:space="preserve"> </w:t>
      </w:r>
      <w:r>
        <w:rPr>
          <w:rFonts w:ascii="Times New Roman" w:hAnsi="Times New Roman"/>
          <w:b/>
          <w:i/>
          <w:sz w:val="20"/>
        </w:rPr>
        <w:t>No Further Modifications</w:t>
      </w:r>
      <w:r>
        <w:rPr>
          <w:rFonts w:ascii="Times New Roman" w:hAnsi="Times New Roman"/>
          <w:i/>
          <w:sz w:val="20"/>
        </w:rPr>
        <w:t xml:space="preserve">. </w:t>
      </w:r>
      <w:r>
        <w:rPr>
          <w:rFonts w:ascii="Times New Roman" w:hAnsi="Times New Roman"/>
          <w:sz w:val="20"/>
        </w:rPr>
        <w:t xml:space="preserve">Except as expressly modified in this Amendment, the Lease shall remain in full force and effect and is expressly ratified and confirmed by the parties hereto. </w:t>
      </w:r>
    </w:p>
    <w:p>
      <w:pPr>
        <w:pStyle w:val="TextBody"/>
        <w:bidi w:val="0"/>
        <w:spacing w:before="240" w:after="0"/>
        <w:jc w:val="left"/>
        <w:rPr>
          <w:rFonts w:ascii="Times New Roman" w:hAnsi="Times New Roman"/>
          <w:sz w:val="20"/>
        </w:rPr>
      </w:pPr>
      <w:r>
        <w:rPr>
          <w:rFonts w:ascii="Times New Roman" w:hAnsi="Times New Roman"/>
          <w:b/>
          <w:i/>
          <w:sz w:val="20"/>
        </w:rPr>
        <w:t>4.2</w:t>
      </w:r>
      <w:r>
        <w:rPr>
          <w:rFonts w:ascii="Times New Roman" w:hAnsi="Times New Roman"/>
          <w:sz w:val="20"/>
        </w:rPr>
        <w:t xml:space="preserve"> </w:t>
      </w:r>
      <w:r>
        <w:rPr>
          <w:rFonts w:ascii="Times New Roman" w:hAnsi="Times New Roman"/>
          <w:b/>
          <w:i/>
          <w:sz w:val="20"/>
        </w:rPr>
        <w:t>Brokers</w:t>
      </w:r>
      <w:r>
        <w:rPr>
          <w:rFonts w:ascii="Times New Roman" w:hAnsi="Times New Roman"/>
          <w:i/>
          <w:sz w:val="20"/>
        </w:rPr>
        <w:t xml:space="preserve">. </w:t>
      </w:r>
      <w:r>
        <w:rPr>
          <w:rFonts w:ascii="Times New Roman" w:hAnsi="Times New Roman"/>
          <w:sz w:val="20"/>
        </w:rPr>
        <w:t xml:space="preserve">Tenant represents and warrants that it neither consulted nor negotiated with any broker or finder regarding the Premises other than CBRE, Inc., which represents Landlord, and Cushman &amp; Wakefield, which represents Tenant. Tenant shall indemnify, defend, and hold Landlord harmless from and against any claims for commissions from any other real estate broker. </w:t>
      </w:r>
    </w:p>
    <w:p>
      <w:pPr>
        <w:pStyle w:val="TextBody"/>
        <w:bidi w:val="0"/>
        <w:spacing w:before="240" w:after="0"/>
        <w:jc w:val="left"/>
        <w:rPr>
          <w:rFonts w:ascii="Times New Roman" w:hAnsi="Times New Roman"/>
          <w:sz w:val="20"/>
        </w:rPr>
      </w:pPr>
      <w:r>
        <w:rPr>
          <w:rFonts w:ascii="Times New Roman" w:hAnsi="Times New Roman"/>
          <w:b/>
          <w:i/>
          <w:sz w:val="20"/>
        </w:rPr>
        <w:t>4.3</w:t>
      </w:r>
      <w:r>
        <w:rPr>
          <w:rFonts w:ascii="Times New Roman" w:hAnsi="Times New Roman"/>
          <w:sz w:val="20"/>
        </w:rPr>
        <w:t xml:space="preserve"> </w:t>
      </w:r>
      <w:r>
        <w:rPr>
          <w:rFonts w:ascii="Times New Roman" w:hAnsi="Times New Roman"/>
          <w:b/>
          <w:i/>
          <w:sz w:val="20"/>
        </w:rPr>
        <w:t>Estoppel</w:t>
      </w:r>
      <w:r>
        <w:rPr>
          <w:rFonts w:ascii="Times New Roman" w:hAnsi="Times New Roman"/>
          <w:i/>
          <w:sz w:val="20"/>
        </w:rPr>
        <w:t xml:space="preserve">. </w:t>
      </w:r>
      <w:r>
        <w:rPr>
          <w:rFonts w:ascii="Times New Roman" w:hAnsi="Times New Roman"/>
          <w:sz w:val="20"/>
        </w:rPr>
        <w:t xml:space="preserve">Tenant hereby certifies that: (a) the Lease is in full force and effect and unmodified except as set forth in this Amendment; (b) all Rent has been paid in full through the month in which this Amendment is executed; (c) neither Tenant nor, to its knowledge, Landlord is in default in the performance of their respective obligations under the Lease; and (d) Tenant has no claims, counterclaims, defenses, or setoffs with respect to the Lease or this Amendment. </w:t>
      </w:r>
    </w:p>
    <w:p>
      <w:pPr>
        <w:pStyle w:val="TextBody"/>
        <w:bidi w:val="0"/>
        <w:spacing w:before="240" w:after="0"/>
        <w:jc w:val="left"/>
        <w:rPr>
          <w:rFonts w:ascii="Times New Roman" w:hAnsi="Times New Roman"/>
          <w:sz w:val="20"/>
        </w:rPr>
      </w:pPr>
      <w:r>
        <w:rPr>
          <w:rFonts w:ascii="Times New Roman" w:hAnsi="Times New Roman"/>
          <w:b/>
          <w:i/>
          <w:sz w:val="20"/>
        </w:rPr>
        <w:t>4.4</w:t>
      </w:r>
      <w:r>
        <w:rPr>
          <w:rFonts w:ascii="Times New Roman" w:hAnsi="Times New Roman"/>
          <w:sz w:val="20"/>
        </w:rPr>
        <w:t xml:space="preserve"> </w:t>
      </w:r>
      <w:r>
        <w:rPr>
          <w:rFonts w:ascii="Times New Roman" w:hAnsi="Times New Roman"/>
          <w:b/>
          <w:i/>
          <w:sz w:val="20"/>
        </w:rPr>
        <w:t>Breach of Amendment</w:t>
      </w:r>
      <w:r>
        <w:rPr>
          <w:rFonts w:ascii="Times New Roman" w:hAnsi="Times New Roman"/>
          <w:i/>
          <w:sz w:val="20"/>
        </w:rPr>
        <w:t xml:space="preserve">. </w:t>
      </w:r>
      <w:r>
        <w:rPr>
          <w:rFonts w:ascii="Times New Roman" w:hAnsi="Times New Roman"/>
          <w:sz w:val="20"/>
        </w:rPr>
        <w:t xml:space="preserve">Any breach by Tenant of any of its representations, warranties or covenants set forth in this Amendment also constitutes a breach of the Lease. </w:t>
      </w:r>
    </w:p>
    <w:p>
      <w:pPr>
        <w:pStyle w:val="TextBody"/>
        <w:bidi w:val="0"/>
        <w:spacing w:before="240" w:after="0"/>
        <w:jc w:val="left"/>
        <w:rPr>
          <w:rFonts w:ascii="Times New Roman" w:hAnsi="Times New Roman"/>
          <w:sz w:val="20"/>
        </w:rPr>
      </w:pPr>
      <w:r>
        <w:rPr>
          <w:rFonts w:ascii="Times New Roman" w:hAnsi="Times New Roman"/>
          <w:b/>
          <w:i/>
          <w:sz w:val="20"/>
        </w:rPr>
        <w:t>4.5</w:t>
      </w:r>
      <w:r>
        <w:rPr>
          <w:rFonts w:ascii="Times New Roman" w:hAnsi="Times New Roman"/>
          <w:sz w:val="20"/>
        </w:rPr>
        <w:t xml:space="preserve"> </w:t>
      </w:r>
      <w:r>
        <w:rPr>
          <w:rFonts w:ascii="Times New Roman" w:hAnsi="Times New Roman"/>
          <w:b/>
          <w:i/>
          <w:sz w:val="20"/>
        </w:rPr>
        <w:t>Successors and Assigns</w:t>
      </w:r>
      <w:r>
        <w:rPr>
          <w:rFonts w:ascii="Times New Roman" w:hAnsi="Times New Roman"/>
          <w:i/>
          <w:sz w:val="20"/>
        </w:rPr>
        <w:t xml:space="preserve">. </w:t>
      </w:r>
      <w:r>
        <w:rPr>
          <w:rFonts w:ascii="Times New Roman" w:hAnsi="Times New Roman"/>
          <w:sz w:val="20"/>
        </w:rPr>
        <w:t xml:space="preserve">Subject to the restrictions regarding assignment and subletting in the Lease, this Amendment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b/>
          <w:i/>
          <w:sz w:val="20"/>
        </w:rPr>
        <w:t>4.6</w:t>
      </w:r>
      <w:r>
        <w:rPr>
          <w:rFonts w:ascii="Times New Roman" w:hAnsi="Times New Roman"/>
          <w:sz w:val="20"/>
        </w:rPr>
        <w:t xml:space="preserve"> </w:t>
      </w:r>
      <w:r>
        <w:rPr>
          <w:rFonts w:ascii="Times New Roman" w:hAnsi="Times New Roman"/>
          <w:b/>
          <w:i/>
          <w:sz w:val="20"/>
        </w:rPr>
        <w:t>Counterparts</w:t>
      </w:r>
      <w:r>
        <w:rPr>
          <w:rFonts w:ascii="Times New Roman" w:hAnsi="Times New Roman"/>
          <w:i/>
          <w:sz w:val="20"/>
        </w:rPr>
        <w:t xml:space="preserve">. </w:t>
      </w:r>
      <w:r>
        <w:rPr>
          <w:rFonts w:ascii="Times New Roman" w:hAnsi="Times New Roman"/>
          <w:sz w:val="20"/>
        </w:rPr>
        <w:t xml:space="preserve">This Amendment may be executed in counterparts, each of which shall be an original and all of which counterparts taken together shall constitute one and the same agreement. Electronic copies of the executed copies of this Amendment may be delivered to the parties by facsimile transmission or email and, upon receipt, shall be deemed originals and binding upon the parties hereto. </w:t>
      </w:r>
    </w:p>
    <w:p>
      <w:pPr>
        <w:pStyle w:val="TextBody"/>
        <w:bidi w:val="0"/>
        <w:spacing w:before="240" w:after="0"/>
        <w:jc w:val="left"/>
        <w:rPr>
          <w:rFonts w:ascii="Times New Roman" w:hAnsi="Times New Roman"/>
          <w:sz w:val="20"/>
        </w:rPr>
      </w:pPr>
      <w:r>
        <w:rPr>
          <w:rFonts w:ascii="Times New Roman" w:hAnsi="Times New Roman"/>
          <w:b/>
          <w:i/>
          <w:sz w:val="20"/>
        </w:rPr>
        <w:t>4.7</w:t>
      </w:r>
      <w:r>
        <w:rPr>
          <w:rFonts w:ascii="Times New Roman" w:hAnsi="Times New Roman"/>
          <w:sz w:val="20"/>
        </w:rPr>
        <w:t xml:space="preserve"> </w:t>
      </w:r>
      <w:r>
        <w:rPr>
          <w:rFonts w:ascii="Times New Roman" w:hAnsi="Times New Roman"/>
          <w:b/>
          <w:i/>
          <w:sz w:val="20"/>
        </w:rPr>
        <w:t>Governing Law</w:t>
      </w:r>
      <w:r>
        <w:rPr>
          <w:rFonts w:ascii="Times New Roman" w:hAnsi="Times New Roman"/>
          <w:i/>
          <w:sz w:val="20"/>
        </w:rPr>
        <w:t xml:space="preserve">. </w:t>
      </w:r>
      <w:r>
        <w:rPr>
          <w:rFonts w:ascii="Times New Roman" w:hAnsi="Times New Roman"/>
          <w:sz w:val="20"/>
        </w:rPr>
        <w:t xml:space="preserve">This Amendment shall be governed by and construed m accordance with the laws of the State in which the Project is located. </w:t>
      </w:r>
    </w:p>
    <w:p>
      <w:pPr>
        <w:pStyle w:val="TextBody"/>
        <w:bidi w:val="0"/>
        <w:spacing w:before="240" w:after="0"/>
        <w:jc w:val="left"/>
        <w:rPr>
          <w:rFonts w:ascii="Times New Roman" w:hAnsi="Times New Roman"/>
          <w:sz w:val="20"/>
        </w:rPr>
      </w:pPr>
      <w:r>
        <w:rPr>
          <w:rFonts w:ascii="Times New Roman" w:hAnsi="Times New Roman"/>
          <w:b/>
          <w:i/>
          <w:sz w:val="20"/>
        </w:rPr>
        <w:t>4.8</w:t>
      </w:r>
      <w:r>
        <w:rPr>
          <w:rFonts w:ascii="Times New Roman" w:hAnsi="Times New Roman"/>
          <w:sz w:val="20"/>
        </w:rPr>
        <w:t xml:space="preserve"> </w:t>
      </w:r>
      <w:r>
        <w:rPr>
          <w:rFonts w:ascii="Times New Roman" w:hAnsi="Times New Roman"/>
          <w:b/>
          <w:i/>
          <w:sz w:val="20"/>
        </w:rPr>
        <w:t>Entire Agreement</w:t>
      </w:r>
      <w:r>
        <w:rPr>
          <w:rFonts w:ascii="Times New Roman" w:hAnsi="Times New Roman"/>
          <w:i/>
          <w:sz w:val="20"/>
        </w:rPr>
        <w:t xml:space="preserve">. </w:t>
      </w:r>
      <w:r>
        <w:rPr>
          <w:rFonts w:ascii="Times New Roman" w:hAnsi="Times New Roman"/>
          <w:sz w:val="20"/>
        </w:rPr>
        <w:t xml:space="preserve">This Amendment (and the Lease as amended by this Amendment) embodies the entire agreement and understanding of the parties related to its subject matter and supersedes all prior proposals, understandings, agreements, correspondence, arrangements and contemporaneous oral agreements relating to the subject matter of this Amendment. No representation, promise, inducement or statement of intention has been made by any party that has not been embodied in this Amendment (or the Lease as amended by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WITNESS, </w:t>
      </w:r>
      <w:r>
        <w:rPr>
          <w:rFonts w:ascii="Times New Roman" w:hAnsi="Times New Roman"/>
          <w:sz w:val="20"/>
        </w:rPr>
        <w:t xml:space="preserve">the duly authorized signatures of Landlord and Tenant,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Daws</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Ryan Daws</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VTR LS 1030 MASS AVE,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Newman</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Brian Newman</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LEASE </w:t>
      </w:r>
    </w:p>
    <w:p>
      <w:pPr>
        <w:pStyle w:val="TextBody"/>
        <w:bidi w:val="0"/>
        <w:spacing w:before="120" w:after="0"/>
        <w:jc w:val="left"/>
        <w:rPr>
          <w:rFonts w:ascii="Times New Roman" w:hAnsi="Times New Roman"/>
          <w:sz w:val="20"/>
        </w:rPr>
      </w:pPr>
      <w:r>
        <w:rPr>
          <w:rFonts w:ascii="Times New Roman" w:hAnsi="Times New Roman"/>
          <w:b/>
          <w:sz w:val="20"/>
        </w:rPr>
        <w:t xml:space="preserve">THIS FIRST AMENDMENT TO LEASE </w:t>
      </w:r>
      <w:r>
        <w:rPr>
          <w:rFonts w:ascii="Times New Roman" w:hAnsi="Times New Roman"/>
          <w:sz w:val="20"/>
        </w:rPr>
        <w:t xml:space="preserve">(this “Amendment”) is made as of </w:t>
      </w:r>
      <w:r>
        <w:rPr>
          <w:rFonts w:ascii="Times New Roman" w:hAnsi="Times New Roman"/>
          <w:sz w:val="20"/>
          <w:u w:val="single"/>
        </w:rPr>
        <w:t>1/18/2023</w:t>
      </w:r>
      <w:r>
        <w:rPr>
          <w:rFonts w:ascii="Times New Roman" w:hAnsi="Times New Roman"/>
          <w:sz w:val="20"/>
        </w:rPr>
        <w:t xml:space="preserve"> (the “Amendment Effective Date”), by and between </w:t>
      </w:r>
      <w:r>
        <w:rPr>
          <w:rFonts w:ascii="Times New Roman" w:hAnsi="Times New Roman"/>
          <w:b/>
          <w:sz w:val="20"/>
        </w:rPr>
        <w:t xml:space="preserve">VTRLS 1030 MASS AVE, LLC, </w:t>
      </w:r>
      <w:r>
        <w:rPr>
          <w:rFonts w:ascii="Times New Roman" w:hAnsi="Times New Roman"/>
          <w:sz w:val="20"/>
        </w:rPr>
        <w:t xml:space="preserve">a Delaware limited liability company (“Landlord”), and </w:t>
      </w:r>
      <w:r>
        <w:rPr>
          <w:rFonts w:ascii="Times New Roman" w:hAnsi="Times New Roman"/>
          <w:b/>
          <w:sz w:val="20"/>
        </w:rPr>
        <w:t xml:space="preserve">OBSIDIAN THERAPEUTICS, INC., </w:t>
      </w:r>
      <w:r>
        <w:rPr>
          <w:rFonts w:ascii="Times New Roman" w:hAnsi="Times New Roman"/>
          <w:sz w:val="20"/>
        </w:rPr>
        <w:t xml:space="preserve">a Delaware corporation (“Tenant”). </w:t>
      </w:r>
    </w:p>
    <w:p>
      <w:pPr>
        <w:pStyle w:val="TextBody"/>
        <w:bidi w:val="0"/>
        <w:spacing w:before="240" w:after="0"/>
        <w:jc w:val="left"/>
        <w:rPr>
          <w:rFonts w:ascii="Times New Roman" w:hAnsi="Times New Roman"/>
          <w:sz w:val="20"/>
        </w:rPr>
      </w:pPr>
      <w:r>
        <w:rPr>
          <w:rFonts w:ascii="Times New Roman" w:hAnsi="Times New Roman"/>
          <w:b/>
          <w:sz w:val="20"/>
        </w:rPr>
        <w:t>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Landlord (as successor in interest to Cambridge I 030 Mass Ave, LLC) and Tenant are parties to that certain Lease, dated May 19, 2017 (the “Lease”), for 17,807 rentable square feet of space (the “Premises”) on the first and fourth floors of the building located at 1030 Massachusetts Avenue, Cambridge, Massachusetts (the “Building”). Suite 119B on the first floor of the Building is a part of the Premises and is referred to herein as the “Storage Space.”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Landlord and Tenant desire to amend the Lease to extend the term, adjust the rent and make other modifications thereto, all pursuant to the terms of this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Landlord and Tenant hereby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Words whose initial letters are capitalized are defined terms. Any defined term that is not defined in this Amendment shall have the same meaning that is ascribed to that term in the Lease.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AMENDMENTS TO THE 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2.1</w:t>
      </w:r>
      <w:r>
        <w:rPr>
          <w:rFonts w:ascii="Times New Roman" w:hAnsi="Times New Roman"/>
          <w:sz w:val="20"/>
        </w:rPr>
        <w:t xml:space="preserve"> </w:t>
      </w:r>
      <w:r>
        <w:rPr>
          <w:rFonts w:ascii="Times New Roman" w:hAnsi="Times New Roman"/>
          <w:b/>
          <w:i/>
          <w:sz w:val="20"/>
        </w:rPr>
        <w:t>Lease Term</w:t>
      </w:r>
      <w:r>
        <w:rPr>
          <w:rFonts w:ascii="Times New Roman" w:hAnsi="Times New Roman"/>
          <w:sz w:val="20"/>
        </w:rPr>
        <w:t xml:space="preserve">. The Lease Term is extended through January 31, 2027. </w:t>
      </w:r>
    </w:p>
    <w:p>
      <w:pPr>
        <w:pStyle w:val="TextBody"/>
        <w:bidi w:val="0"/>
        <w:spacing w:before="240" w:after="0"/>
        <w:jc w:val="left"/>
        <w:rPr>
          <w:rFonts w:ascii="Times New Roman" w:hAnsi="Times New Roman"/>
          <w:sz w:val="20"/>
        </w:rPr>
      </w:pPr>
      <w:r>
        <w:rPr>
          <w:rFonts w:ascii="Times New Roman" w:hAnsi="Times New Roman"/>
          <w:b/>
          <w:i/>
          <w:sz w:val="20"/>
        </w:rPr>
        <w:t>2.2</w:t>
      </w:r>
      <w:r>
        <w:rPr>
          <w:rFonts w:ascii="Times New Roman" w:hAnsi="Times New Roman"/>
          <w:sz w:val="20"/>
        </w:rPr>
        <w:t xml:space="preserve"> </w:t>
      </w:r>
      <w:r>
        <w:rPr>
          <w:rFonts w:ascii="Times New Roman" w:hAnsi="Times New Roman"/>
          <w:b/>
          <w:i/>
          <w:sz w:val="20"/>
        </w:rPr>
        <w:t>Base Rent</w:t>
      </w:r>
      <w:r>
        <w:rPr>
          <w:rFonts w:ascii="Times New Roman" w:hAnsi="Times New Roman"/>
          <w:i/>
          <w:sz w:val="20"/>
        </w:rPr>
        <w:t xml:space="preserve">. </w:t>
      </w:r>
      <w:r>
        <w:rPr>
          <w:rFonts w:ascii="Times New Roman" w:hAnsi="Times New Roman"/>
          <w:sz w:val="20"/>
        </w:rPr>
        <w:t xml:space="preserve">Effective on February I, 2024, Base Rent shall be equal to $123.50 per rentable square foot of the Premises per annum (i.e., $2,199,164.52 per annum), payable in equal monthly installments of $183,263.71. Effective on February I, 2025, and on each February 1 thereafter during the Lease Term, Base Rent shall be increased to an amount equal to the product of (a) the Base Rent amount in effect immediately prior to that increase, multiplied by (b) 1.03. </w:t>
      </w:r>
    </w:p>
    <w:p>
      <w:pPr>
        <w:pStyle w:val="TextBody"/>
        <w:bidi w:val="0"/>
        <w:spacing w:before="240" w:after="0"/>
        <w:jc w:val="left"/>
        <w:rPr>
          <w:rFonts w:ascii="Times New Roman" w:hAnsi="Times New Roman"/>
          <w:sz w:val="20"/>
        </w:rPr>
      </w:pPr>
      <w:r>
        <w:rPr>
          <w:rFonts w:ascii="Times New Roman" w:hAnsi="Times New Roman"/>
          <w:b/>
          <w:i/>
          <w:sz w:val="20"/>
        </w:rPr>
        <w:t>2.3</w:t>
      </w:r>
      <w:r>
        <w:rPr>
          <w:rFonts w:ascii="Times New Roman" w:hAnsi="Times New Roman"/>
          <w:sz w:val="20"/>
        </w:rPr>
        <w:t xml:space="preserve"> </w:t>
      </w:r>
      <w:r>
        <w:rPr>
          <w:rFonts w:ascii="Times New Roman" w:hAnsi="Times New Roman"/>
          <w:b/>
          <w:i/>
          <w:sz w:val="20"/>
        </w:rPr>
        <w:t>Option Right Void</w:t>
      </w:r>
      <w:r>
        <w:rPr>
          <w:rFonts w:ascii="Times New Roman" w:hAnsi="Times New Roman"/>
          <w:i/>
          <w:sz w:val="20"/>
        </w:rPr>
        <w:t xml:space="preserve">. </w:t>
      </w:r>
      <w:r>
        <w:rPr>
          <w:rFonts w:ascii="Times New Roman" w:hAnsi="Times New Roman"/>
          <w:sz w:val="20"/>
        </w:rPr>
        <w:t xml:space="preserve">Tenant’s option to extend the Lease Term under Section 2.2 of the Lease is hereby void and of no further force or effect, and Tenant shall no longer have any right or option to further extend the Lease Term. </w:t>
      </w:r>
    </w:p>
    <w:p>
      <w:pPr>
        <w:pStyle w:val="TextBody"/>
        <w:bidi w:val="0"/>
        <w:spacing w:before="240" w:after="0"/>
        <w:jc w:val="left"/>
        <w:rPr>
          <w:rFonts w:ascii="Times New Roman" w:hAnsi="Times New Roman"/>
          <w:sz w:val="20"/>
        </w:rPr>
      </w:pPr>
      <w:r>
        <w:rPr>
          <w:rFonts w:ascii="Times New Roman" w:hAnsi="Times New Roman"/>
          <w:b/>
          <w:i/>
          <w:sz w:val="20"/>
        </w:rPr>
        <w:t>2.4</w:t>
      </w:r>
      <w:r>
        <w:rPr>
          <w:rFonts w:ascii="Times New Roman" w:hAnsi="Times New Roman"/>
          <w:sz w:val="20"/>
        </w:rPr>
        <w:t xml:space="preserve"> </w:t>
      </w:r>
      <w:r>
        <w:rPr>
          <w:rFonts w:ascii="Times New Roman" w:hAnsi="Times New Roman"/>
          <w:b/>
          <w:i/>
          <w:sz w:val="20"/>
        </w:rPr>
        <w:t>Definition of Lease Commencement Date</w:t>
      </w:r>
      <w:r>
        <w:rPr>
          <w:rFonts w:ascii="Times New Roman" w:hAnsi="Times New Roman"/>
          <w:i/>
          <w:sz w:val="20"/>
        </w:rPr>
        <w:t xml:space="preserve">. </w:t>
      </w:r>
      <w:r>
        <w:rPr>
          <w:rFonts w:ascii="Times New Roman" w:hAnsi="Times New Roman"/>
          <w:sz w:val="20"/>
        </w:rPr>
        <w:t xml:space="preserve">The defined term “Lease Commencement Date” (which is defined in Section 2.1 of the Lease) is renamed to be the “Commencement Date” under the Lease. In addition, the reference to “Fourth Floor Premises Lease Commencement Date” in clause (xiii)(C) of Section 4.2.4 of the Lease is amended to be a reference to “Fourth Floor Premises Commencement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2.5</w:t>
      </w:r>
      <w:r>
        <w:rPr>
          <w:rFonts w:ascii="Times New Roman" w:hAnsi="Times New Roman"/>
          <w:sz w:val="20"/>
        </w:rPr>
        <w:t xml:space="preserve"> </w:t>
      </w:r>
      <w:r>
        <w:rPr>
          <w:rFonts w:ascii="Times New Roman" w:hAnsi="Times New Roman"/>
          <w:b/>
          <w:i/>
          <w:sz w:val="20"/>
        </w:rPr>
        <w:t>Lease of Storage Space</w:t>
      </w:r>
      <w:r>
        <w:rPr>
          <w:rFonts w:ascii="Times New Roman" w:hAnsi="Times New Roman"/>
          <w:i/>
          <w:sz w:val="20"/>
        </w:rPr>
        <w:t xml:space="preserve">. </w:t>
      </w:r>
      <w:r>
        <w:rPr>
          <w:rFonts w:ascii="Times New Roman" w:hAnsi="Times New Roman"/>
          <w:sz w:val="20"/>
        </w:rPr>
        <w:t xml:space="preserve">Landlord and Tenant acknowledge and agree that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Tenant may use the Storage Space solely for purposes of storing Tenant’s personal property and (b) Landlord shall not be obligated to provide any services to the Storage Space (such as janitorial services or water) other than electrical power and HVAC service sufficient for adequate lighting, heating and air conditioning to the Storage Space during ordinary business hours as may be reasonably required for the use of the Storage Space for storage purposes. </w:t>
      </w:r>
    </w:p>
    <w:p>
      <w:pPr>
        <w:pStyle w:val="TextBody"/>
        <w:bidi w:val="0"/>
        <w:spacing w:before="240" w:after="0"/>
        <w:jc w:val="left"/>
        <w:rPr>
          <w:rFonts w:ascii="Times New Roman" w:hAnsi="Times New Roman"/>
          <w:sz w:val="20"/>
        </w:rPr>
      </w:pPr>
      <w:r>
        <w:rPr>
          <w:rFonts w:ascii="Times New Roman" w:hAnsi="Times New Roman"/>
          <w:b/>
          <w:i/>
          <w:sz w:val="20"/>
        </w:rPr>
        <w:t>2.6</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4.2.4</w:t>
      </w:r>
      <w:r>
        <w:rPr>
          <w:rFonts w:ascii="Times New Roman" w:hAnsi="Times New Roman"/>
          <w:i/>
          <w:sz w:val="20"/>
        </w:rPr>
        <w:t xml:space="preserve">. </w:t>
      </w:r>
      <w:r>
        <w:rPr>
          <w:rFonts w:ascii="Times New Roman" w:hAnsi="Times New Roman"/>
          <w:sz w:val="20"/>
        </w:rPr>
        <w:t xml:space="preserve">Clause (i) of the first paragraph of Section 4.2.4 of the Lease is amended to read in its entirety as follows: </w:t>
      </w:r>
    </w:p>
    <w:p>
      <w:pPr>
        <w:pStyle w:val="TextBody"/>
        <w:bidi w:val="0"/>
        <w:spacing w:before="240" w:after="0"/>
        <w:jc w:val="left"/>
        <w:rPr/>
      </w:pPr>
      <w:r>
        <w:rPr/>
        <w:t>“</w:t>
      </w:r>
      <w:r>
        <w:rPr>
          <w:rFonts w:ascii="Times New Roman" w:hAnsi="Times New Roman"/>
          <w:sz w:val="20"/>
        </w:rPr>
        <w:t xml:space="preserve">(i) the cost of supplying all utilities (other than separately metered utilities to the premises of other tenants), the cost of operating, repairing, maintaining, and renovating the utility, telephone, mechanical, sanitary, storm drainage, and elevator systems, and the cost of maintenance and service contracts in connection therewith;” </w:t>
      </w:r>
    </w:p>
    <w:p>
      <w:pPr>
        <w:pStyle w:val="TextBody"/>
        <w:bidi w:val="0"/>
        <w:spacing w:before="240" w:after="0"/>
        <w:jc w:val="left"/>
        <w:rPr>
          <w:rFonts w:ascii="Times New Roman" w:hAnsi="Times New Roman"/>
          <w:sz w:val="20"/>
        </w:rPr>
      </w:pPr>
      <w:r>
        <w:rPr>
          <w:rFonts w:ascii="Times New Roman" w:hAnsi="Times New Roman"/>
          <w:b/>
          <w:i/>
          <w:sz w:val="20"/>
        </w:rPr>
        <w:t>2.7</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6.1.1</w:t>
      </w:r>
      <w:r>
        <w:rPr>
          <w:rFonts w:ascii="Times New Roman" w:hAnsi="Times New Roman"/>
          <w:i/>
          <w:sz w:val="20"/>
        </w:rPr>
        <w:t xml:space="preserve">. </w:t>
      </w:r>
      <w:r>
        <w:rPr>
          <w:rFonts w:ascii="Times New Roman" w:hAnsi="Times New Roman"/>
          <w:sz w:val="20"/>
        </w:rPr>
        <w:t>Section 6.1.1 of the Lease is amended by replacing the reference to “</w:t>
      </w:r>
      <w:r>
        <w:rPr>
          <w:rFonts w:ascii="Times New Roman" w:hAnsi="Times New Roman"/>
          <w:sz w:val="20"/>
          <w:u w:val="single"/>
        </w:rPr>
        <w:t>Exhibit 6.1</w:t>
      </w:r>
      <w:r>
        <w:rPr>
          <w:rFonts w:ascii="Times New Roman" w:hAnsi="Times New Roman"/>
          <w:sz w:val="20"/>
        </w:rPr>
        <w:t>” therein with a reference to “</w:t>
      </w:r>
      <w:r>
        <w:rPr>
          <w:rFonts w:ascii="Times New Roman" w:hAnsi="Times New Roman"/>
          <w:sz w:val="20"/>
          <w:u w:val="single"/>
        </w:rPr>
        <w:t>Exhibit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2.8</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10</w:t>
      </w:r>
      <w:r>
        <w:rPr>
          <w:rFonts w:ascii="Times New Roman" w:hAnsi="Times New Roman"/>
          <w:i/>
          <w:sz w:val="20"/>
        </w:rPr>
        <w:t xml:space="preserve">. </w:t>
      </w:r>
      <w:r>
        <w:rPr>
          <w:rFonts w:ascii="Times New Roman" w:hAnsi="Times New Roman"/>
          <w:sz w:val="20"/>
        </w:rPr>
        <w:t xml:space="preserve">7. Section 10.7 of the Lease is amended to permit Landlord to satisfy its obligation to carry general liability insurance through a combination of primary and excess/umbrella liability insurance. </w:t>
      </w:r>
    </w:p>
    <w:p>
      <w:pPr>
        <w:pStyle w:val="TextBody"/>
        <w:bidi w:val="0"/>
        <w:spacing w:before="240" w:after="0"/>
        <w:jc w:val="left"/>
        <w:rPr>
          <w:rFonts w:ascii="Times New Roman" w:hAnsi="Times New Roman"/>
          <w:sz w:val="20"/>
        </w:rPr>
      </w:pPr>
      <w:r>
        <w:rPr>
          <w:rFonts w:ascii="Times New Roman" w:hAnsi="Times New Roman"/>
          <w:b/>
          <w:i/>
          <w:sz w:val="20"/>
        </w:rPr>
        <w:t>2.9</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15.2</w:t>
      </w:r>
      <w:r>
        <w:rPr>
          <w:rFonts w:ascii="Times New Roman" w:hAnsi="Times New Roman"/>
          <w:i/>
          <w:sz w:val="20"/>
        </w:rPr>
        <w:t xml:space="preserve">. </w:t>
      </w:r>
      <w:r>
        <w:rPr>
          <w:rFonts w:ascii="Times New Roman" w:hAnsi="Times New Roman"/>
          <w:sz w:val="20"/>
        </w:rPr>
        <w:t>Section 15.2 of the Lease is amended by (a) replacing the reference to “</w:t>
      </w:r>
      <w:r>
        <w:rPr>
          <w:rFonts w:ascii="Times New Roman" w:hAnsi="Times New Roman"/>
          <w:sz w:val="20"/>
          <w:u w:val="single"/>
        </w:rPr>
        <w:t>Section 8.3</w:t>
      </w:r>
      <w:r>
        <w:rPr>
          <w:rFonts w:ascii="Times New Roman" w:hAnsi="Times New Roman"/>
          <w:sz w:val="20"/>
        </w:rPr>
        <w:t>” therein with a reference to “</w:t>
      </w:r>
      <w:r>
        <w:rPr>
          <w:rFonts w:ascii="Times New Roman" w:hAnsi="Times New Roman"/>
          <w:sz w:val="20"/>
          <w:u w:val="single"/>
        </w:rPr>
        <w:t>Section 8.5</w:t>
      </w:r>
      <w:r>
        <w:rPr>
          <w:rFonts w:ascii="Times New Roman" w:hAnsi="Times New Roman"/>
          <w:sz w:val="20"/>
        </w:rPr>
        <w:t xml:space="preserve">” and (b) replacing the reference to “Allowance” in the final sentence thereof with a reference to “Tenant Improvement Allowance.” </w:t>
      </w:r>
    </w:p>
    <w:p>
      <w:pPr>
        <w:pStyle w:val="TextBody"/>
        <w:bidi w:val="0"/>
        <w:spacing w:before="240" w:after="0"/>
        <w:jc w:val="left"/>
        <w:rPr>
          <w:rFonts w:ascii="Times New Roman" w:hAnsi="Times New Roman"/>
          <w:sz w:val="20"/>
        </w:rPr>
      </w:pPr>
      <w:r>
        <w:rPr>
          <w:rFonts w:ascii="Times New Roman" w:hAnsi="Times New Roman"/>
          <w:b/>
          <w:i/>
          <w:sz w:val="20"/>
        </w:rPr>
        <w:t>2.10</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15.3</w:t>
      </w:r>
      <w:r>
        <w:rPr>
          <w:rFonts w:ascii="Times New Roman" w:hAnsi="Times New Roman"/>
          <w:i/>
          <w:sz w:val="20"/>
        </w:rPr>
        <w:t xml:space="preserve">. </w:t>
      </w:r>
      <w:r>
        <w:rPr>
          <w:rFonts w:ascii="Times New Roman" w:hAnsi="Times New Roman"/>
          <w:sz w:val="20"/>
        </w:rPr>
        <w:t xml:space="preserve">Section 15.3 of the Lease is amended by replacing the reference to “this </w:t>
      </w:r>
      <w:r>
        <w:rPr>
          <w:rFonts w:ascii="Times New Roman" w:hAnsi="Times New Roman"/>
          <w:sz w:val="20"/>
          <w:u w:val="single"/>
        </w:rPr>
        <w:t>Section 15.2</w:t>
      </w:r>
      <w:r>
        <w:rPr>
          <w:rFonts w:ascii="Times New Roman" w:hAnsi="Times New Roman"/>
          <w:sz w:val="20"/>
        </w:rPr>
        <w:t xml:space="preserve">” in the second paragraph thereof with a reference to “this </w:t>
      </w:r>
      <w:r>
        <w:rPr>
          <w:rFonts w:ascii="Times New Roman" w:hAnsi="Times New Roman"/>
          <w:sz w:val="20"/>
          <w:u w:val="single"/>
        </w:rPr>
        <w:t>Section 15.3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2.11</w:t>
      </w:r>
      <w:r>
        <w:rPr>
          <w:rFonts w:ascii="Times New Roman" w:hAnsi="Times New Roman"/>
          <w:sz w:val="20"/>
        </w:rPr>
        <w:t xml:space="preserve"> </w:t>
      </w:r>
      <w:r>
        <w:rPr>
          <w:rFonts w:ascii="Times New Roman" w:hAnsi="Times New Roman"/>
          <w:b/>
          <w:i/>
          <w:sz w:val="20"/>
        </w:rPr>
        <w:t>Amendment to Section</w:t>
      </w:r>
      <w:r>
        <w:rPr>
          <w:rFonts w:ascii="Times New Roman" w:hAnsi="Times New Roman"/>
          <w:sz w:val="20"/>
        </w:rPr>
        <w:t> </w:t>
      </w:r>
      <w:r>
        <w:rPr>
          <w:rFonts w:ascii="Times New Roman" w:hAnsi="Times New Roman"/>
          <w:b/>
          <w:i/>
          <w:sz w:val="20"/>
        </w:rPr>
        <w:t>29.33</w:t>
      </w:r>
      <w:r>
        <w:rPr>
          <w:rFonts w:ascii="Times New Roman" w:hAnsi="Times New Roman"/>
          <w:i/>
          <w:sz w:val="20"/>
        </w:rPr>
        <w:t xml:space="preserve">. </w:t>
      </w:r>
      <w:r>
        <w:rPr>
          <w:rFonts w:ascii="Times New Roman" w:hAnsi="Times New Roman"/>
          <w:sz w:val="20"/>
        </w:rPr>
        <w:t xml:space="preserve">Section 29.33 of the Lease is amended by replacing the reference to “pH neutralization system” in subsection (2) thereof with a reference to “Special Systems.” </w:t>
      </w:r>
    </w:p>
    <w:p>
      <w:pPr>
        <w:pStyle w:val="TextBody"/>
        <w:bidi w:val="0"/>
        <w:spacing w:before="240" w:after="0"/>
        <w:jc w:val="left"/>
        <w:rPr>
          <w:rFonts w:ascii="Times New Roman" w:hAnsi="Times New Roman"/>
          <w:sz w:val="20"/>
        </w:rPr>
      </w:pPr>
      <w:r>
        <w:rPr>
          <w:rFonts w:ascii="Times New Roman" w:hAnsi="Times New Roman"/>
          <w:b/>
          <w:i/>
          <w:sz w:val="20"/>
        </w:rPr>
        <w:t>2.12</w:t>
      </w:r>
      <w:r>
        <w:rPr>
          <w:rFonts w:ascii="Times New Roman" w:hAnsi="Times New Roman"/>
          <w:sz w:val="20"/>
        </w:rPr>
        <w:t xml:space="preserve"> </w:t>
      </w:r>
      <w:r>
        <w:rPr>
          <w:rFonts w:ascii="Times New Roman" w:hAnsi="Times New Roman"/>
          <w:b/>
          <w:i/>
          <w:sz w:val="20"/>
        </w:rPr>
        <w:t>References to Term</w:t>
      </w:r>
      <w:r>
        <w:rPr>
          <w:rFonts w:ascii="Times New Roman" w:hAnsi="Times New Roman"/>
          <w:i/>
          <w:sz w:val="20"/>
        </w:rPr>
        <w:t xml:space="preserve">. </w:t>
      </w:r>
      <w:r>
        <w:rPr>
          <w:rFonts w:ascii="Times New Roman" w:hAnsi="Times New Roman"/>
          <w:sz w:val="20"/>
        </w:rPr>
        <w:t xml:space="preserve">The parties acknowledge and agree that references in the Lease to “the Term” are intended to be (and shall be construed as) references to “the Lease Term.” </w:t>
      </w:r>
    </w:p>
    <w:p>
      <w:pPr>
        <w:pStyle w:val="TextBody"/>
        <w:bidi w:val="0"/>
        <w:spacing w:before="240" w:after="0"/>
        <w:jc w:val="left"/>
        <w:rPr>
          <w:rFonts w:ascii="Times New Roman" w:hAnsi="Times New Roman"/>
          <w:sz w:val="20"/>
        </w:rPr>
      </w:pPr>
      <w:r>
        <w:rPr>
          <w:rFonts w:ascii="Times New Roman" w:hAnsi="Times New Roman"/>
          <w:b/>
          <w:i/>
          <w:sz w:val="20"/>
        </w:rPr>
        <w:t>2.13</w:t>
      </w:r>
      <w:r>
        <w:rPr>
          <w:rFonts w:ascii="Times New Roman" w:hAnsi="Times New Roman"/>
          <w:sz w:val="20"/>
        </w:rPr>
        <w:t xml:space="preserve"> </w:t>
      </w:r>
      <w:r>
        <w:rPr>
          <w:rFonts w:ascii="Times New Roman" w:hAnsi="Times New Roman"/>
          <w:b/>
          <w:i/>
          <w:sz w:val="20"/>
        </w:rPr>
        <w:t>Landlord’s Notice Address</w:t>
      </w:r>
      <w:r>
        <w:rPr>
          <w:rFonts w:ascii="Times New Roman" w:hAnsi="Times New Roman"/>
          <w:i/>
          <w:sz w:val="20"/>
        </w:rPr>
        <w:t xml:space="preserve">. </w:t>
      </w:r>
      <w:r>
        <w:rPr>
          <w:rFonts w:ascii="Times New Roman" w:hAnsi="Times New Roman"/>
          <w:sz w:val="20"/>
        </w:rPr>
        <w:t xml:space="preserve">Landlord’s address for Notices under the Lease is amended to be: </w:t>
      </w:r>
    </w:p>
    <w:p>
      <w:pPr>
        <w:pStyle w:val="TextBody"/>
        <w:bidi w:val="0"/>
        <w:spacing w:before="120" w:after="0"/>
        <w:jc w:val="left"/>
        <w:rPr>
          <w:rFonts w:ascii="Times New Roman" w:hAnsi="Times New Roman"/>
          <w:sz w:val="20"/>
        </w:rPr>
      </w:pPr>
      <w:r>
        <w:rPr>
          <w:rFonts w:ascii="Times New Roman" w:hAnsi="Times New Roman"/>
          <w:sz w:val="20"/>
        </w:rPr>
        <w:t xml:space="preserve">VTR LS 1030 Mass Ave, LLC </w:t>
      </w:r>
    </w:p>
    <w:p>
      <w:pPr>
        <w:pStyle w:val="TextBody"/>
        <w:bidi w:val="0"/>
        <w:spacing w:before="0" w:after="0"/>
        <w:jc w:val="left"/>
        <w:rPr>
          <w:rFonts w:ascii="Times New Roman" w:hAnsi="Times New Roman"/>
          <w:sz w:val="20"/>
        </w:rPr>
      </w:pPr>
      <w:r>
        <w:rPr>
          <w:rFonts w:ascii="Times New Roman" w:hAnsi="Times New Roman"/>
          <w:sz w:val="20"/>
        </w:rPr>
        <w:t xml:space="preserve">c/o Ventas, Inc. </w:t>
      </w:r>
    </w:p>
    <w:p>
      <w:pPr>
        <w:pStyle w:val="TextBody"/>
        <w:bidi w:val="0"/>
        <w:spacing w:before="0" w:after="0"/>
        <w:jc w:val="left"/>
        <w:rPr>
          <w:rFonts w:ascii="Times New Roman" w:hAnsi="Times New Roman"/>
          <w:sz w:val="20"/>
        </w:rPr>
      </w:pPr>
      <w:r>
        <w:rPr>
          <w:rFonts w:ascii="Times New Roman" w:hAnsi="Times New Roman"/>
          <w:sz w:val="20"/>
        </w:rPr>
        <w:t xml:space="preserve">353 N. Clark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0" w:after="0"/>
        <w:jc w:val="left"/>
        <w:rPr>
          <w:rFonts w:ascii="Times New Roman" w:hAnsi="Times New Roman"/>
          <w:sz w:val="20"/>
        </w:rPr>
      </w:pPr>
      <w:r>
        <w:rPr>
          <w:rFonts w:ascii="Times New Roman" w:hAnsi="Times New Roman"/>
          <w:sz w:val="20"/>
        </w:rPr>
        <w:t xml:space="preserve">Attn: Asset Management—Life Sciences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c/o Ventas, Inc. </w:t>
      </w:r>
    </w:p>
    <w:p>
      <w:pPr>
        <w:pStyle w:val="TextBody"/>
        <w:bidi w:val="0"/>
        <w:spacing w:before="0" w:after="0"/>
        <w:jc w:val="left"/>
        <w:rPr>
          <w:rFonts w:ascii="Times New Roman" w:hAnsi="Times New Roman"/>
          <w:sz w:val="20"/>
        </w:rPr>
      </w:pPr>
      <w:r>
        <w:rPr>
          <w:rFonts w:ascii="Times New Roman" w:hAnsi="Times New Roman"/>
          <w:sz w:val="20"/>
        </w:rPr>
        <w:t xml:space="preserve">353 N. Clark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TENANT IMPROVEMENTS. </w:t>
      </w:r>
    </w:p>
    <w:p>
      <w:pPr>
        <w:pStyle w:val="TextBody"/>
        <w:bidi w:val="0"/>
        <w:spacing w:before="240" w:after="0"/>
        <w:jc w:val="left"/>
        <w:rPr>
          <w:rFonts w:ascii="Times New Roman" w:hAnsi="Times New Roman"/>
          <w:sz w:val="20"/>
        </w:rPr>
      </w:pPr>
      <w:r>
        <w:rPr>
          <w:rFonts w:ascii="Times New Roman" w:hAnsi="Times New Roman"/>
          <w:b/>
          <w:i/>
          <w:sz w:val="20"/>
        </w:rPr>
        <w:t>3.1</w:t>
      </w:r>
      <w:r>
        <w:rPr>
          <w:rFonts w:ascii="Times New Roman" w:hAnsi="Times New Roman"/>
          <w:sz w:val="20"/>
        </w:rPr>
        <w:t xml:space="preserve"> Tenant’s Work.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Tenant shall, in accordance with the terms and conditions of this Amendment and the Lease, construct or cause to be constructed, certain improvements and perform other work to be approved or reasonably required by Landlord and more completely described in the Tenant’s Plans (as defined below) (collectively, the “Tenant’s Work”). Tenant shall proceed diligently with Tenant’s Work in order to have it fully completed as soon as practicable, as reasonably determined by Landlord, subject to any delays resulting from events of Force Majeure. Tenant’s Work shall be staged at locations reasonably acceptable to Landlord. Subject to Landlord’s Contribution provided in </w:t>
      </w:r>
      <w:r>
        <w:rPr>
          <w:rFonts w:ascii="Times New Roman" w:hAnsi="Times New Roman"/>
          <w:sz w:val="20"/>
          <w:u w:val="single"/>
        </w:rPr>
        <w:t>Section 3.l(d)</w:t>
      </w:r>
      <w:r>
        <w:rPr>
          <w:rFonts w:ascii="Times New Roman" w:hAnsi="Times New Roman"/>
          <w:sz w:val="20"/>
        </w:rPr>
        <w:t xml:space="preserve">, all of Tenant’s Work shall be performed at Tenant’s sole cost and expense.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Tenant shall, as soon as reasonably practicable after mutual execution of this Amendment, submit plans and specifications (and, if requested by Landlord, a narrative description from Tenant’s architect) for Tenant’s Work as it relates to the Premises to Landlord for its approval, which approval shall not be unreasonably withheld or delayed unless such work (1) impacts the structural components of the Project, (2) impacts the utility or mechanical systems of the Project or (3) impacts any other tenant’s premises or is visible from outside the Premises, in which case Landlord’s approval may be withheld in its sole discretion (“Tenant’s Plans”). Landlord shall have a period of 10 business days after receipt of Tenant’s Plans within which to either approve such plans or to make comments and changes thereon. If Landlord does not object to such plans within such 10-business day period, Landlord shall be deemed to have approved the same. If Landlord objects by making reasonably detailed comments to Tenant’s Plans, Tenant shall revise Tenant’s Plans in accordance with Landlord’s comments and resubmit them to Landlord for approval within 15 business days after the date of receipt of written comments from Landlord. Landlord shall then have 10 business days after receipt of such revised Tenant’s Plans to approve such revised Tenant’s Plans. If Landlord fails to timely object to such revised Tenant’s Plans, Landlord shall be deemed to have approved the same. If Landlord objects by making reasonably detailed comments to the revised portions of Tenant’s Plans, the revision process described herein shall be repeated. Once approved, Tenant shall not make material changes or material revisions to any of Tenant’s Plans without submitting such changes and revisions to Landlord for its review and approval in accordance with the procedures of this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Promptly after Tenant’s Plans are finalized, Tenant shall commence and thereafter proceed diligently with the completion of all Tenant’s Work in accordance with the terms hereof and the installation of such fixtures, furniture and equipment as may be necessary to prepare the Premises for the operation of business. Upon completion of Tenant’s Work, Tenant shall deliver to Landlord a copy of all licenses and permits that are necessary for Tenant’s use and occupancy of the Premises, including, if required by applicable governmental authorities, a certificate of occupancy.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(d)</w:t>
      </w:r>
      <w:r>
        <w:rPr>
          <w:rFonts w:ascii="Times New Roman" w:hAnsi="Times New Roman"/>
          <w:sz w:val="20"/>
        </w:rPr>
        <w:t xml:space="preserve"> With respect to Tenant’s Work, Landlord shall pay to Tenant an amount (“Landlord’s Contribution”) equal to either (1) $267,105 or (2) the actual cost of Tenant’s Work, whichever is less, as a contribution towards Tenant’s Work (and in no event shall the Landlord’s Contribution be used to purchase furniture, equipment or other personal property). </w:t>
      </w:r>
    </w:p>
    <w:p>
      <w:pPr>
        <w:pStyle w:val="TextBody"/>
        <w:bidi w:val="0"/>
        <w:spacing w:before="24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So long as Tenant is not in default under the Lease and no event exists that with the giving of notice or passage of time would constitute a default under the Lease, Landlord shall pay to Tenant the Landlord’s Contribution after: (1) Tenant has completed all of Tenant’s Work and installed such fixtures, furniture and equipment as may be necessary to prepare the Premises for the operation of Tenant’s business, (2) Tenant is open for business and (3) Tenant has submitted in a form reasonably satisfactory to Landlord each of the following: (A) final owner’s and contractor’s sworn statements, (B) full and final lien waivers covering all labor and materials included in such Tenant’s Work, (C) copies of paid invoices or other evidence reasonably satisfactory to Landlord establishing Tenant’s full payment of the cost of Tenant’s Work, (D) copies of certificates of occupancy, if applicable, (E) copies of all other licenses and permits that are necessary for Tenant’s Work and, to the extent available to Tenant, necessary for Tenant’s use and occupancy of the Premises, (F) certification from Tenant’s architect, if an architect was used in connection with such plans, that Tenant’s Work was performed and completed in accordance with Tenant’s Plans, and (G) such other information that Landlord shall reasonably require. If the cost of Tenant’s Work exceeds Landlord’s Contribution, Tenant shall pay all excess costs. If the conditions to Landlord’s payment of the Landlord’s Contribution are not met on or before the first anniversary of the Amendment Effective Date, then Tenant shall forfeit its rights to the Landlord’s Contribution. </w:t>
      </w:r>
    </w:p>
    <w:p>
      <w:pPr>
        <w:pStyle w:val="TextBody"/>
        <w:bidi w:val="0"/>
        <w:spacing w:before="240" w:after="0"/>
        <w:jc w:val="left"/>
        <w:rPr>
          <w:rFonts w:ascii="Times New Roman" w:hAnsi="Times New Roman"/>
          <w:sz w:val="20"/>
        </w:rPr>
      </w:pPr>
      <w:r>
        <w:rPr>
          <w:rFonts w:ascii="Times New Roman" w:hAnsi="Times New Roman"/>
          <w:i/>
          <w:sz w:val="20"/>
        </w:rPr>
        <w:t>(f)</w:t>
      </w:r>
      <w:r>
        <w:rPr>
          <w:rFonts w:ascii="Times New Roman" w:hAnsi="Times New Roman"/>
          <w:sz w:val="20"/>
        </w:rPr>
        <w:t xml:space="preserve"> In connection with Tenant’s Work, Tenant waives any claims for, and shall protect, defend, indemnify and save harmless Landlord and the Landlord Parties from, all liabilities, costs, damages, fees and expenses arising out of the performance of Tenant’s Work by Tenant or its agents, Tenant’s general contractor, or Tenant’s other contractors, suppliers or workmen in the Premises or the Building.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ADDITIONAL PROVISIONS. </w:t>
      </w:r>
    </w:p>
    <w:p>
      <w:pPr>
        <w:pStyle w:val="TextBody"/>
        <w:bidi w:val="0"/>
        <w:spacing w:before="240" w:after="0"/>
        <w:jc w:val="left"/>
        <w:rPr>
          <w:rFonts w:ascii="Times New Roman" w:hAnsi="Times New Roman"/>
          <w:sz w:val="20"/>
        </w:rPr>
      </w:pPr>
      <w:r>
        <w:rPr>
          <w:rFonts w:ascii="Times New Roman" w:hAnsi="Times New Roman"/>
          <w:b/>
          <w:i/>
          <w:sz w:val="20"/>
        </w:rPr>
        <w:t>4.1</w:t>
      </w:r>
      <w:r>
        <w:rPr>
          <w:rFonts w:ascii="Times New Roman" w:hAnsi="Times New Roman"/>
          <w:sz w:val="20"/>
        </w:rPr>
        <w:t xml:space="preserve"> </w:t>
      </w:r>
      <w:r>
        <w:rPr>
          <w:rFonts w:ascii="Times New Roman" w:hAnsi="Times New Roman"/>
          <w:b/>
          <w:i/>
          <w:sz w:val="20"/>
        </w:rPr>
        <w:t>No Further Modifications</w:t>
      </w:r>
      <w:r>
        <w:rPr>
          <w:rFonts w:ascii="Times New Roman" w:hAnsi="Times New Roman"/>
          <w:i/>
          <w:sz w:val="20"/>
        </w:rPr>
        <w:t xml:space="preserve">. </w:t>
      </w:r>
      <w:r>
        <w:rPr>
          <w:rFonts w:ascii="Times New Roman" w:hAnsi="Times New Roman"/>
          <w:sz w:val="20"/>
        </w:rPr>
        <w:t xml:space="preserve">Except as expressly modified in this Amendment, the Lease shall remain in full force and effect and is expressly ratified and confirmed by the parties hereto. </w:t>
      </w:r>
    </w:p>
    <w:p>
      <w:pPr>
        <w:pStyle w:val="TextBody"/>
        <w:bidi w:val="0"/>
        <w:spacing w:before="240" w:after="0"/>
        <w:jc w:val="left"/>
        <w:rPr>
          <w:rFonts w:ascii="Times New Roman" w:hAnsi="Times New Roman"/>
          <w:sz w:val="20"/>
        </w:rPr>
      </w:pPr>
      <w:r>
        <w:rPr>
          <w:rFonts w:ascii="Times New Roman" w:hAnsi="Times New Roman"/>
          <w:b/>
          <w:i/>
          <w:sz w:val="20"/>
        </w:rPr>
        <w:t>4.2</w:t>
      </w:r>
      <w:r>
        <w:rPr>
          <w:rFonts w:ascii="Times New Roman" w:hAnsi="Times New Roman"/>
          <w:sz w:val="20"/>
        </w:rPr>
        <w:t xml:space="preserve"> </w:t>
      </w:r>
      <w:r>
        <w:rPr>
          <w:rFonts w:ascii="Times New Roman" w:hAnsi="Times New Roman"/>
          <w:b/>
          <w:i/>
          <w:sz w:val="20"/>
        </w:rPr>
        <w:t>Brokers</w:t>
      </w:r>
      <w:r>
        <w:rPr>
          <w:rFonts w:ascii="Times New Roman" w:hAnsi="Times New Roman"/>
          <w:i/>
          <w:sz w:val="20"/>
        </w:rPr>
        <w:t xml:space="preserve">. </w:t>
      </w:r>
      <w:r>
        <w:rPr>
          <w:rFonts w:ascii="Times New Roman" w:hAnsi="Times New Roman"/>
          <w:sz w:val="20"/>
        </w:rPr>
        <w:t xml:space="preserve">Tenant represents and warrants that it neither consulted nor negotiated with any broker or finder regarding the Premises other than CBRE, Inc., which represents Landlord, and Cushman &amp; Wakefield, which represents Tenant. Tenant shall indemnify, defend, and hold Landlord harmless from and against any claims for commissions from any other real estate broker.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4.3</w:t>
      </w:r>
      <w:r>
        <w:rPr>
          <w:rFonts w:ascii="Times New Roman" w:hAnsi="Times New Roman"/>
          <w:sz w:val="20"/>
        </w:rPr>
        <w:t xml:space="preserve"> </w:t>
      </w:r>
      <w:r>
        <w:rPr>
          <w:rFonts w:ascii="Times New Roman" w:hAnsi="Times New Roman"/>
          <w:b/>
          <w:i/>
          <w:sz w:val="20"/>
        </w:rPr>
        <w:t>Estoppel</w:t>
      </w:r>
      <w:r>
        <w:rPr>
          <w:rFonts w:ascii="Times New Roman" w:hAnsi="Times New Roman"/>
          <w:i/>
          <w:sz w:val="20"/>
        </w:rPr>
        <w:t xml:space="preserve">. </w:t>
      </w:r>
      <w:r>
        <w:rPr>
          <w:rFonts w:ascii="Times New Roman" w:hAnsi="Times New Roman"/>
          <w:sz w:val="20"/>
        </w:rPr>
        <w:t xml:space="preserve">Tenant hereby certifies that: (a) the Lease is in full force and effect and unmodified except as set forth in this Amendment; (b) all Rent has been paid in full through the month in which this Amendment is executed; (c) neither Tenant nor, to its knowledge, Landlord is in default in the performance of their respective obligations under the Lease; and (d) Tenant has no claims, counterclaims, defenses, or setoffs with respect to the Lease or this Amendment. </w:t>
      </w:r>
    </w:p>
    <w:p>
      <w:pPr>
        <w:pStyle w:val="TextBody"/>
        <w:bidi w:val="0"/>
        <w:spacing w:before="240" w:after="0"/>
        <w:jc w:val="left"/>
        <w:rPr>
          <w:rFonts w:ascii="Times New Roman" w:hAnsi="Times New Roman"/>
          <w:sz w:val="20"/>
        </w:rPr>
      </w:pPr>
      <w:r>
        <w:rPr>
          <w:rFonts w:ascii="Times New Roman" w:hAnsi="Times New Roman"/>
          <w:b/>
          <w:i/>
          <w:sz w:val="20"/>
        </w:rPr>
        <w:t>4.4</w:t>
      </w:r>
      <w:r>
        <w:rPr>
          <w:rFonts w:ascii="Times New Roman" w:hAnsi="Times New Roman"/>
          <w:sz w:val="20"/>
        </w:rPr>
        <w:t xml:space="preserve"> </w:t>
      </w:r>
      <w:r>
        <w:rPr>
          <w:rFonts w:ascii="Times New Roman" w:hAnsi="Times New Roman"/>
          <w:b/>
          <w:i/>
          <w:sz w:val="20"/>
        </w:rPr>
        <w:t>Breach of Amendment</w:t>
      </w:r>
      <w:r>
        <w:rPr>
          <w:rFonts w:ascii="Times New Roman" w:hAnsi="Times New Roman"/>
          <w:i/>
          <w:sz w:val="20"/>
        </w:rPr>
        <w:t xml:space="preserve">. </w:t>
      </w:r>
      <w:r>
        <w:rPr>
          <w:rFonts w:ascii="Times New Roman" w:hAnsi="Times New Roman"/>
          <w:sz w:val="20"/>
        </w:rPr>
        <w:t xml:space="preserve">Any breach by Tenant of any of its representations, warranties or covenants set forth in this Amendment also constitutes a breach of the Lease. </w:t>
      </w:r>
    </w:p>
    <w:p>
      <w:pPr>
        <w:pStyle w:val="TextBody"/>
        <w:bidi w:val="0"/>
        <w:spacing w:before="240" w:after="0"/>
        <w:jc w:val="left"/>
        <w:rPr>
          <w:rFonts w:ascii="Times New Roman" w:hAnsi="Times New Roman"/>
          <w:sz w:val="20"/>
        </w:rPr>
      </w:pPr>
      <w:r>
        <w:rPr>
          <w:rFonts w:ascii="Times New Roman" w:hAnsi="Times New Roman"/>
          <w:b/>
          <w:i/>
          <w:sz w:val="20"/>
        </w:rPr>
        <w:t>4.5</w:t>
      </w:r>
      <w:r>
        <w:rPr>
          <w:rFonts w:ascii="Times New Roman" w:hAnsi="Times New Roman"/>
          <w:sz w:val="20"/>
        </w:rPr>
        <w:t xml:space="preserve"> </w:t>
      </w:r>
      <w:r>
        <w:rPr>
          <w:rFonts w:ascii="Times New Roman" w:hAnsi="Times New Roman"/>
          <w:b/>
          <w:i/>
          <w:sz w:val="20"/>
        </w:rPr>
        <w:t>Successors and Assigns</w:t>
      </w:r>
      <w:r>
        <w:rPr>
          <w:rFonts w:ascii="Times New Roman" w:hAnsi="Times New Roman"/>
          <w:i/>
          <w:sz w:val="20"/>
        </w:rPr>
        <w:t xml:space="preserve">. </w:t>
      </w:r>
      <w:r>
        <w:rPr>
          <w:rFonts w:ascii="Times New Roman" w:hAnsi="Times New Roman"/>
          <w:sz w:val="20"/>
        </w:rPr>
        <w:t xml:space="preserve">Subject to the restrictions regarding assignment and subletting in the Lease, this Amendment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b/>
          <w:i/>
          <w:sz w:val="20"/>
        </w:rPr>
        <w:t>4.6</w:t>
      </w:r>
      <w:r>
        <w:rPr>
          <w:rFonts w:ascii="Times New Roman" w:hAnsi="Times New Roman"/>
          <w:sz w:val="20"/>
        </w:rPr>
        <w:t xml:space="preserve"> </w:t>
      </w:r>
      <w:r>
        <w:rPr>
          <w:rFonts w:ascii="Times New Roman" w:hAnsi="Times New Roman"/>
          <w:b/>
          <w:i/>
          <w:sz w:val="20"/>
        </w:rPr>
        <w:t>Counterparts</w:t>
      </w:r>
      <w:r>
        <w:rPr>
          <w:rFonts w:ascii="Times New Roman" w:hAnsi="Times New Roman"/>
          <w:i/>
          <w:sz w:val="20"/>
        </w:rPr>
        <w:t xml:space="preserve">. </w:t>
      </w:r>
      <w:r>
        <w:rPr>
          <w:rFonts w:ascii="Times New Roman" w:hAnsi="Times New Roman"/>
          <w:sz w:val="20"/>
        </w:rPr>
        <w:t xml:space="preserve">This Amendment may be executed in counterparts, each of which shall be an original and all of which counterparts taken together shall constitute one and the same agreement. Electronic copies of the executed copies of this Amendment may be delivered to the parties by facsimile transmission or email and, upon receipt, shall be deemed originals and binding upon the parties hereto. </w:t>
      </w:r>
    </w:p>
    <w:p>
      <w:pPr>
        <w:pStyle w:val="TextBody"/>
        <w:bidi w:val="0"/>
        <w:spacing w:before="240" w:after="0"/>
        <w:jc w:val="left"/>
        <w:rPr>
          <w:rFonts w:ascii="Times New Roman" w:hAnsi="Times New Roman"/>
          <w:sz w:val="20"/>
        </w:rPr>
      </w:pPr>
      <w:r>
        <w:rPr>
          <w:rFonts w:ascii="Times New Roman" w:hAnsi="Times New Roman"/>
          <w:b/>
          <w:i/>
          <w:sz w:val="20"/>
        </w:rPr>
        <w:t>4.7</w:t>
      </w:r>
      <w:r>
        <w:rPr>
          <w:rFonts w:ascii="Times New Roman" w:hAnsi="Times New Roman"/>
          <w:sz w:val="20"/>
        </w:rPr>
        <w:t xml:space="preserve"> </w:t>
      </w:r>
      <w:r>
        <w:rPr>
          <w:rFonts w:ascii="Times New Roman" w:hAnsi="Times New Roman"/>
          <w:b/>
          <w:i/>
          <w:sz w:val="20"/>
        </w:rPr>
        <w:t>Governing Law</w:t>
      </w:r>
      <w:r>
        <w:rPr>
          <w:rFonts w:ascii="Times New Roman" w:hAnsi="Times New Roman"/>
          <w:i/>
          <w:sz w:val="20"/>
        </w:rPr>
        <w:t xml:space="preserve">. </w:t>
      </w:r>
      <w:r>
        <w:rPr>
          <w:rFonts w:ascii="Times New Roman" w:hAnsi="Times New Roman"/>
          <w:sz w:val="20"/>
        </w:rPr>
        <w:t xml:space="preserve">This Amendment shall be governed by and construed m accordance with the laws of the State in which the Project is located. </w:t>
      </w:r>
    </w:p>
    <w:p>
      <w:pPr>
        <w:pStyle w:val="TextBody"/>
        <w:bidi w:val="0"/>
        <w:spacing w:before="240" w:after="0"/>
        <w:jc w:val="left"/>
        <w:rPr>
          <w:rFonts w:ascii="Times New Roman" w:hAnsi="Times New Roman"/>
          <w:sz w:val="20"/>
        </w:rPr>
      </w:pPr>
      <w:r>
        <w:rPr>
          <w:rFonts w:ascii="Times New Roman" w:hAnsi="Times New Roman"/>
          <w:b/>
          <w:i/>
          <w:sz w:val="20"/>
        </w:rPr>
        <w:t>4.8</w:t>
      </w:r>
      <w:r>
        <w:rPr>
          <w:rFonts w:ascii="Times New Roman" w:hAnsi="Times New Roman"/>
          <w:sz w:val="20"/>
        </w:rPr>
        <w:t xml:space="preserve"> </w:t>
      </w:r>
      <w:r>
        <w:rPr>
          <w:rFonts w:ascii="Times New Roman" w:hAnsi="Times New Roman"/>
          <w:b/>
          <w:i/>
          <w:sz w:val="20"/>
        </w:rPr>
        <w:t>Entire Agreement</w:t>
      </w:r>
      <w:r>
        <w:rPr>
          <w:rFonts w:ascii="Times New Roman" w:hAnsi="Times New Roman"/>
          <w:i/>
          <w:sz w:val="20"/>
        </w:rPr>
        <w:t xml:space="preserve">. </w:t>
      </w:r>
      <w:r>
        <w:rPr>
          <w:rFonts w:ascii="Times New Roman" w:hAnsi="Times New Roman"/>
          <w:sz w:val="20"/>
        </w:rPr>
        <w:t xml:space="preserve">This Amendment (and the Lease as amended by this Amendment) embodies the entire agreement and understanding of the parties related to its subject matter and supersedes all prior proposals, understandings, agreements, correspondence, arrangements and contemporaneous oral agreements relating to the subject matter of this Amendment. No representation, promise, inducement or statement of intention has been made by any party that has not been embodied in this Amendment (or the Lease as amended by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WITNESS, </w:t>
      </w:r>
      <w:r>
        <w:rPr>
          <w:rFonts w:ascii="Times New Roman" w:hAnsi="Times New Roman"/>
          <w:sz w:val="20"/>
        </w:rPr>
        <w:t xml:space="preserve">the duly authorized signatures of Landlord and Tenant,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pPr>
            <w:r>
              <w:rPr/>
              <w:t> </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Ryan Daws</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VTR LS 1030 MASS AVE,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pPr>
            <w:r>
              <w:rPr/>
              <w:t> </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Brian Newman</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Authorized Signatory</w:t>
            </w:r>
          </w:p>
        </w:tc>
      </w:tr>
    </w:tbl>
    <w:p>
      <w:pPr>
        <w:pStyle w:val="TextBody"/>
        <w:bidi w:val="0"/>
        <w:spacing w:before="0" w:after="0"/>
        <w:jc w:val="right"/>
        <w:rPr>
          <w:rFonts w:ascii="Times New Roman" w:hAnsi="Times New Roman"/>
          <w:b/>
          <w:sz w:val="20"/>
        </w:rPr>
      </w:pPr>
      <w:bookmarkStart w:id="38" w:name="d309963dex1015.htm"/>
      <w:bookmarkStart w:id="39" w:name="ksd309963dex1015"/>
      <w:bookmarkEnd w:id="38"/>
      <w:bookmarkEnd w:id="39"/>
      <w:r>
        <w:rPr>
          <w:rFonts w:ascii="Times New Roman" w:hAnsi="Times New Roman"/>
          <w:b/>
          <w:sz w:val="20"/>
        </w:rPr>
        <w:t xml:space="preserve">Exhibit 10.15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LEASE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PATRIOTS PARK OWNER, LLC </w:t>
      </w:r>
    </w:p>
    <w:p>
      <w:pPr>
        <w:pStyle w:val="TextBody"/>
        <w:bidi w:val="0"/>
        <w:spacing w:before="0" w:after="0"/>
        <w:jc w:val="center"/>
        <w:rPr>
          <w:rFonts w:ascii="Times New Roman" w:hAnsi="Times New Roman"/>
          <w:b/>
          <w:sz w:val="20"/>
        </w:rPr>
      </w:pPr>
      <w:r>
        <w:rPr>
          <w:rFonts w:ascii="Times New Roman" w:hAnsi="Times New Roman"/>
          <w:b/>
          <w:sz w:val="20"/>
        </w:rPr>
        <w:t xml:space="preserve">(“Landlord”)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(“Tenant”) </w:t>
      </w:r>
    </w:p>
    <w:p>
      <w:pPr>
        <w:pStyle w:val="TextBody"/>
        <w:bidi w:val="0"/>
        <w:spacing w:before="240" w:after="0"/>
        <w:jc w:val="center"/>
        <w:rPr>
          <w:rFonts w:ascii="Times New Roman" w:hAnsi="Times New Roman"/>
          <w:b/>
          <w:sz w:val="20"/>
        </w:rPr>
      </w:pPr>
      <w:r>
        <w:rPr>
          <w:rFonts w:ascii="Times New Roman" w:hAnsi="Times New Roman"/>
          <w:b/>
          <w:sz w:val="20"/>
        </w:rPr>
        <w:t xml:space="preserve">Address: One Patriots Park, Bedford, Massachusetts 01730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August 19, 2021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LEASE </w:t>
      </w:r>
    </w:p>
    <w:p>
      <w:pPr>
        <w:pStyle w:val="TextBody"/>
        <w:bidi w:val="0"/>
        <w:spacing w:before="240" w:after="0"/>
        <w:jc w:val="left"/>
        <w:rPr>
          <w:rFonts w:ascii="Times New Roman" w:hAnsi="Times New Roman"/>
          <w:sz w:val="20"/>
        </w:rPr>
      </w:pPr>
      <w:r>
        <w:rPr>
          <w:rFonts w:ascii="Times New Roman" w:hAnsi="Times New Roman"/>
          <w:sz w:val="20"/>
        </w:rPr>
        <w:t>This LEASE (this “</w:t>
      </w:r>
      <w:r>
        <w:rPr>
          <w:rFonts w:ascii="Times New Roman" w:hAnsi="Times New Roman"/>
          <w:sz w:val="20"/>
          <w:u w:val="single"/>
        </w:rPr>
        <w:t>LEASE</w:t>
      </w:r>
      <w:r>
        <w:rPr>
          <w:rFonts w:ascii="Times New Roman" w:hAnsi="Times New Roman"/>
          <w:sz w:val="20"/>
        </w:rPr>
        <w:t>”) is made as of the 19th day of August, 2021 by and between PATRIOTS PARK OWNER, LLC (“</w:t>
      </w:r>
      <w:r>
        <w:rPr>
          <w:rFonts w:ascii="Times New Roman" w:hAnsi="Times New Roman"/>
          <w:sz w:val="20"/>
          <w:u w:val="single"/>
        </w:rPr>
        <w:t>Landlord</w:t>
      </w:r>
      <w:r>
        <w:rPr>
          <w:rFonts w:ascii="Times New Roman" w:hAnsi="Times New Roman"/>
          <w:sz w:val="20"/>
        </w:rPr>
        <w:t>”), c/o Jumbo Capital Incorporated, 1900 Crown Colony Drive, 4th Floor, Quincy, Massachusetts 02169, and OBSIDIAN THERAPEUTICS, INC. (“</w:t>
      </w:r>
      <w:r>
        <w:rPr>
          <w:rFonts w:ascii="Times New Roman" w:hAnsi="Times New Roman"/>
          <w:sz w:val="20"/>
          <w:u w:val="single"/>
        </w:rPr>
        <w:t>Tenant</w:t>
      </w:r>
      <w:r>
        <w:rPr>
          <w:rFonts w:ascii="Times New Roman" w:hAnsi="Times New Roman"/>
          <w:sz w:val="20"/>
        </w:rPr>
        <w:t xml:space="preserve">”), having a mailing address of 1030 Massachusetts Avenue, Cambridge, Massachusetts 02138. </w:t>
      </w:r>
    </w:p>
    <w:p>
      <w:pPr>
        <w:pStyle w:val="TextBody"/>
        <w:bidi w:val="0"/>
        <w:spacing w:before="240" w:after="0"/>
        <w:jc w:val="center"/>
        <w:rPr>
          <w:rFonts w:ascii="Times New Roman" w:hAnsi="Times New Roman"/>
          <w:sz w:val="20"/>
        </w:rPr>
      </w:pP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Landlord, for and in consideration of the rents and all other charges and payments hereunder and of the covenants, agreements, terms, provisions, and conditions to be kept and performed hereunder by Tenant, grants and conveys to Tenant, and Tenant hereby hires and takes from Landlord, a leasehold interest in the Premises (as defined below), subject to all matters of record and subject to the covenants, agreements, terms, provisions and conditions of this Lease for the term hereinafter stated.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Landlord and Tenant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REFERENCE DATA </w:t>
      </w:r>
    </w:p>
    <w:p>
      <w:pPr>
        <w:pStyle w:val="TextBody"/>
        <w:bidi w:val="0"/>
        <w:spacing w:before="240" w:after="0"/>
        <w:jc w:val="left"/>
        <w:rPr>
          <w:rFonts w:ascii="Times New Roman" w:hAnsi="Times New Roman"/>
          <w:sz w:val="20"/>
        </w:rPr>
      </w:pPr>
      <w:r>
        <w:rPr>
          <w:rFonts w:ascii="Times New Roman" w:hAnsi="Times New Roman"/>
          <w:sz w:val="20"/>
        </w:rPr>
        <w:t xml:space="preserve">1.1 Subjects Referred To </w:t>
      </w:r>
    </w:p>
    <w:p>
      <w:pPr>
        <w:pStyle w:val="TextBody"/>
        <w:bidi w:val="0"/>
        <w:spacing w:before="240" w:after="0"/>
        <w:jc w:val="left"/>
        <w:rPr>
          <w:rFonts w:ascii="Times New Roman" w:hAnsi="Times New Roman"/>
          <w:sz w:val="20"/>
        </w:rPr>
      </w:pPr>
      <w:r>
        <w:rPr>
          <w:rFonts w:ascii="Times New Roman" w:hAnsi="Times New Roman"/>
          <w:sz w:val="20"/>
        </w:rPr>
        <w:t xml:space="preserve">Each reference in this Lease to any of the following subjects shall be construed to incorporate the data stated for that subject in this Article: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LANDLORD: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Patriots Park Owner,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LANDLORD’S ADDRESS: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c/o Jumbo Capital Incorporated</w:t>
            </w:r>
          </w:p>
          <w:p>
            <w:pPr>
              <w:pStyle w:val="TableContents"/>
              <w:bidi w:val="0"/>
              <w:spacing w:before="0" w:after="0"/>
              <w:jc w:val="left"/>
              <w:rPr>
                <w:rFonts w:ascii="Times New Roman" w:hAnsi="Times New Roman"/>
                <w:sz w:val="20"/>
              </w:rPr>
            </w:pPr>
            <w:r>
              <w:rPr>
                <w:rFonts w:ascii="Times New Roman" w:hAnsi="Times New Roman"/>
                <w:sz w:val="20"/>
              </w:rPr>
              <w:t>1900 Crown Colony Drive, 4th Floor</w:t>
            </w:r>
          </w:p>
          <w:p>
            <w:pPr>
              <w:pStyle w:val="TableContents"/>
              <w:bidi w:val="0"/>
              <w:spacing w:before="0" w:after="20"/>
              <w:jc w:val="left"/>
              <w:rPr>
                <w:rFonts w:ascii="Times New Roman" w:hAnsi="Times New Roman"/>
                <w:sz w:val="20"/>
              </w:rPr>
            </w:pPr>
            <w:r>
              <w:rPr>
                <w:rFonts w:ascii="Times New Roman" w:hAnsi="Times New Roman"/>
                <w:sz w:val="20"/>
              </w:rPr>
              <w:t>Quincy, Massachusetts 02169</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TENANT: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Obsidian Therapeutics,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TENANT’S ADDRESS:</w:t>
            </w:r>
          </w:p>
          <w:p>
            <w:pPr>
              <w:pStyle w:val="TableContents"/>
              <w:bidi w:val="0"/>
              <w:spacing w:before="0" w:after="0"/>
              <w:jc w:val="left"/>
              <w:rPr>
                <w:rFonts w:ascii="Times New Roman" w:hAnsi="Times New Roman"/>
                <w:sz w:val="20"/>
              </w:rPr>
            </w:pPr>
            <w:r>
              <w:rPr>
                <w:rFonts w:ascii="Times New Roman" w:hAnsi="Times New Roman"/>
                <w:sz w:val="20"/>
              </w:rPr>
              <w:t>(for Notice &amp; Billing)</w:t>
            </w:r>
          </w:p>
          <w:p>
            <w:pPr>
              <w:pStyle w:val="TableContents"/>
              <w:bidi w:val="0"/>
              <w:spacing w:before="0" w:after="20"/>
              <w:jc w:val="left"/>
              <w:rPr>
                <w:rFonts w:ascii="Times New Roman" w:hAnsi="Times New Roman"/>
                <w:sz w:val="20"/>
              </w:rPr>
            </w:pPr>
            <w:r>
              <w:rPr>
                <w:rFonts w:ascii="Times New Roman" w:hAnsi="Times New Roman"/>
                <w:sz w:val="20"/>
              </w:rPr>
              <w:t>(Prior to Commencement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1030 Massachusetts Avenue</w:t>
            </w:r>
          </w:p>
          <w:p>
            <w:pPr>
              <w:pStyle w:val="TableContents"/>
              <w:bidi w:val="0"/>
              <w:spacing w:before="0" w:after="20"/>
              <w:jc w:val="left"/>
              <w:rPr>
                <w:rFonts w:ascii="Times New Roman" w:hAnsi="Times New Roman"/>
                <w:sz w:val="20"/>
              </w:rPr>
            </w:pPr>
            <w:r>
              <w:rPr>
                <w:rFonts w:ascii="Times New Roman" w:hAnsi="Times New Roman"/>
                <w:sz w:val="20"/>
              </w:rPr>
              <w:t>Cambridge, Massachusetts 02138</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(As of Commencement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One Patriots Park, 2nd Floor</w:t>
            </w:r>
          </w:p>
          <w:p>
            <w:pPr>
              <w:pStyle w:val="TableContents"/>
              <w:bidi w:val="0"/>
              <w:spacing w:before="0" w:after="20"/>
              <w:jc w:val="left"/>
              <w:rPr>
                <w:rFonts w:ascii="Times New Roman" w:hAnsi="Times New Roman"/>
                <w:sz w:val="20"/>
              </w:rPr>
            </w:pPr>
            <w:r>
              <w:rPr>
                <w:rFonts w:ascii="Times New Roman" w:hAnsi="Times New Roman"/>
                <w:sz w:val="20"/>
              </w:rPr>
              <w:t>Bedford, Massachusetts 01730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BUILDING ADDRESS: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One Patriots Park</w:t>
            </w:r>
          </w:p>
          <w:p>
            <w:pPr>
              <w:pStyle w:val="TableContents"/>
              <w:bidi w:val="0"/>
              <w:spacing w:before="0" w:after="20"/>
              <w:jc w:val="left"/>
              <w:rPr>
                <w:rFonts w:ascii="Times New Roman" w:hAnsi="Times New Roman"/>
                <w:sz w:val="20"/>
              </w:rPr>
            </w:pPr>
            <w:r>
              <w:rPr>
                <w:rFonts w:ascii="Times New Roman" w:hAnsi="Times New Roman"/>
                <w:sz w:val="20"/>
              </w:rPr>
              <w:t>Bedford, Massachusetts 01730</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COMMENCEMENT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The date of the Substantial Completion of the Landlord’s Work (per Section 3.2, Exhibit C, </w:t>
            </w:r>
            <w:r>
              <w:rPr>
                <w:u w:val="single"/>
              </w:rPr>
              <w:t>Exhibit C-1</w:t>
            </w:r>
            <w:r>
              <w:rPr/>
              <w:t xml:space="preserve">, and </w:t>
            </w:r>
            <w:r>
              <w:rPr>
                <w:u w:val="single"/>
              </w:rPr>
              <w:t>Exhibit C-2</w:t>
            </w:r>
            <w:r>
              <w:rPr/>
              <w: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ANTICIPATED COMMENCEMENT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November 1, 2021, provided, however, that Landlord shall use commercially reasonable efforts to substantially complete the Landlord’s Work by October 2021.</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TERM:</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Eighty-Six (86) Months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ANTICIPATED EXPIRATION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December 31, 2028</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PREMISES: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Tenant shall occupy approximately 9,896 rentable square feet being comprised of (i) approximately 9,828 rentable square feet of space located on the second (2nd) floor of the Building (as hereinafter defined), and (ii) approximately 68 rentable square feet of space located on the first (1st) floor of the Building, as shown on the floor plan attached hereto as </w:t>
            </w:r>
            <w:r>
              <w:rPr>
                <w:u w:val="single"/>
              </w:rPr>
              <w:t>Exhibit B</w:t>
            </w:r>
            <w:r>
              <w:rPr/>
              <w:t xml:space="preserve"> and further described in Section 2.1 herein.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FLOOR AREA OF THE PREMISES: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Approximately 9,896 rentable square feet.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TOTAL FLOOR AREA OF THE BUILDING:</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Approximately 143,616 rentable square feet.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TENANT’S PROPORTIONATE SHARE OF OPERATING COSTS AND REAL ESTATE TAXES WITH RESPECT TO THE BUILDING:</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6.89%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20"/>
        <w:gridCol w:w="2329"/>
        <w:gridCol w:w="120"/>
        <w:gridCol w:w="2086"/>
        <w:gridCol w:w="120"/>
        <w:gridCol w:w="2118"/>
      </w:tblGrid>
      <w:tr>
        <w:trPr/>
        <w:tc>
          <w:tcPr>
            <w:tcW w:w="33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rPr/>
        <w:tc>
          <w:tcPr>
            <w:tcW w:w="3312" w:type="dxa"/>
            <w:vMerge w:val="restart"/>
            <w:tcBorders/>
          </w:tcPr>
          <w:p>
            <w:pPr>
              <w:pStyle w:val="TableContents"/>
              <w:bidi w:val="0"/>
              <w:spacing w:before="0" w:after="283"/>
              <w:jc w:val="left"/>
              <w:rPr>
                <w:sz w:val="20"/>
              </w:rPr>
            </w:pPr>
            <w:r>
              <w:rPr>
                <w:sz w:val="20"/>
              </w:rPr>
              <w:t>BASE RENT:</w:t>
            </w:r>
          </w:p>
        </w:tc>
        <w:tc>
          <w:tcPr>
            <w:tcW w:w="120" w:type="dxa"/>
            <w:tcBorders/>
            <w:vAlign w:val="bottom"/>
          </w:tcPr>
          <w:p>
            <w:pPr>
              <w:pStyle w:val="TableContents"/>
              <w:bidi w:val="0"/>
              <w:spacing w:before="0" w:after="283"/>
              <w:jc w:val="left"/>
              <w:rPr/>
            </w:pPr>
            <w:r>
              <w:rPr/>
              <w:t>  </w:t>
            </w:r>
          </w:p>
        </w:tc>
        <w:tc>
          <w:tcPr>
            <w:tcW w:w="23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Period</w:t>
            </w:r>
          </w:p>
          <w:p>
            <w:pPr>
              <w:pStyle w:val="TableContents"/>
              <w:bidi w:val="0"/>
              <w:spacing w:before="0" w:after="20"/>
              <w:jc w:val="center"/>
              <w:rPr>
                <w:rFonts w:ascii="Times New Roman" w:hAnsi="Times New Roman"/>
                <w:sz w:val="16"/>
              </w:rPr>
            </w:pPr>
            <w:r>
              <w:rPr>
                <w:rFonts w:ascii="Times New Roman" w:hAnsi="Times New Roman"/>
                <w:sz w:val="16"/>
              </w:rPr>
              <w:t>(Months)</w:t>
            </w:r>
          </w:p>
        </w:tc>
        <w:tc>
          <w:tcPr>
            <w:tcW w:w="120" w:type="dxa"/>
            <w:tcBorders/>
            <w:vAlign w:val="bottom"/>
          </w:tcPr>
          <w:p>
            <w:pPr>
              <w:pStyle w:val="TableContents"/>
              <w:bidi w:val="0"/>
              <w:spacing w:before="0" w:after="283"/>
              <w:jc w:val="left"/>
              <w:rPr/>
            </w:pPr>
            <w:r>
              <w:rPr/>
              <w:t>  </w:t>
            </w:r>
          </w:p>
        </w:tc>
        <w:tc>
          <w:tcPr>
            <w:tcW w:w="20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Monthly Base</w:t>
            </w:r>
          </w:p>
          <w:p>
            <w:pPr>
              <w:pStyle w:val="TableContents"/>
              <w:bidi w:val="0"/>
              <w:spacing w:before="0" w:after="20"/>
              <w:jc w:val="center"/>
              <w:rPr>
                <w:rFonts w:ascii="Times New Roman" w:hAnsi="Times New Roman"/>
                <w:sz w:val="16"/>
              </w:rPr>
            </w:pPr>
            <w:r>
              <w:rPr>
                <w:rFonts w:ascii="Times New Roman" w:hAnsi="Times New Roman"/>
                <w:sz w:val="16"/>
              </w:rPr>
              <w:t>Rent</w:t>
            </w:r>
          </w:p>
        </w:tc>
        <w:tc>
          <w:tcPr>
            <w:tcW w:w="120" w:type="dxa"/>
            <w:tcBorders/>
            <w:vAlign w:val="bottom"/>
          </w:tcPr>
          <w:p>
            <w:pPr>
              <w:pStyle w:val="TableContents"/>
              <w:bidi w:val="0"/>
              <w:spacing w:before="0" w:after="283"/>
              <w:jc w:val="left"/>
              <w:rPr/>
            </w:pPr>
            <w:r>
              <w:rPr/>
              <w:t>  </w:t>
            </w:r>
          </w:p>
        </w:tc>
        <w:tc>
          <w:tcPr>
            <w:tcW w:w="211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Annual Base</w:t>
            </w:r>
          </w:p>
          <w:p>
            <w:pPr>
              <w:pStyle w:val="TableContents"/>
              <w:bidi w:val="0"/>
              <w:spacing w:before="0" w:after="20"/>
              <w:jc w:val="center"/>
              <w:rPr>
                <w:rFonts w:ascii="Times New Roman" w:hAnsi="Times New Roman"/>
                <w:sz w:val="16"/>
              </w:rPr>
            </w:pPr>
            <w:r>
              <w:rPr>
                <w:rFonts w:ascii="Times New Roman" w:hAnsi="Times New Roman"/>
                <w:sz w:val="16"/>
              </w:rPr>
              <w:t>Rent</w:t>
            </w:r>
          </w:p>
        </w:tc>
      </w:tr>
      <w:tr>
        <w:trPr/>
        <w:tc>
          <w:tcPr>
            <w:tcW w:w="3312"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2329" w:type="dxa"/>
            <w:tcBorders/>
            <w:shd w:fill="CCEEFF" w:val="clear"/>
            <w:vAlign w:val="bottom"/>
          </w:tcPr>
          <w:p>
            <w:pPr>
              <w:pStyle w:val="TableContents"/>
              <w:bidi w:val="0"/>
              <w:spacing w:before="0" w:after="283"/>
              <w:jc w:val="left"/>
              <w:rPr/>
            </w:pPr>
            <w:r>
              <w:rPr/>
              <w:t>Months 1-2</w:t>
            </w:r>
          </w:p>
        </w:tc>
        <w:tc>
          <w:tcPr>
            <w:tcW w:w="120"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bidi w:val="0"/>
              <w:spacing w:before="0" w:after="283"/>
              <w:jc w:val="left"/>
              <w:rPr/>
            </w:pPr>
            <w:r>
              <w:rPr/>
              <w:t>$0.00*</w:t>
            </w:r>
          </w:p>
        </w:tc>
        <w:tc>
          <w:tcPr>
            <w:tcW w:w="120"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left"/>
              <w:rPr/>
            </w:pPr>
            <w:r>
              <w:rPr/>
              <w:t>$0.00*</w:t>
            </w:r>
          </w:p>
        </w:tc>
      </w:tr>
      <w:tr>
        <w:trPr/>
        <w:tc>
          <w:tcPr>
            <w:tcW w:w="3312"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29" w:type="dxa"/>
            <w:tcBorders/>
            <w:vAlign w:val="bottom"/>
          </w:tcPr>
          <w:p>
            <w:pPr>
              <w:pStyle w:val="TableContents"/>
              <w:bidi w:val="0"/>
              <w:spacing w:before="0" w:after="283"/>
              <w:jc w:val="left"/>
              <w:rPr/>
            </w:pPr>
            <w:r>
              <w:rPr/>
              <w:t>Months 3-14</w:t>
            </w:r>
          </w:p>
        </w:tc>
        <w:tc>
          <w:tcPr>
            <w:tcW w:w="120" w:type="dxa"/>
            <w:tcBorders/>
            <w:vAlign w:val="bottom"/>
          </w:tcPr>
          <w:p>
            <w:pPr>
              <w:pStyle w:val="TableContents"/>
              <w:bidi w:val="0"/>
              <w:spacing w:before="0" w:after="283"/>
              <w:jc w:val="left"/>
              <w:rPr/>
            </w:pPr>
            <w:r>
              <w:rPr/>
              <w:t>  </w:t>
            </w:r>
          </w:p>
        </w:tc>
        <w:tc>
          <w:tcPr>
            <w:tcW w:w="2086" w:type="dxa"/>
            <w:tcBorders/>
            <w:vAlign w:val="bottom"/>
          </w:tcPr>
          <w:p>
            <w:pPr>
              <w:pStyle w:val="TableContents"/>
              <w:bidi w:val="0"/>
              <w:spacing w:before="0" w:after="283"/>
              <w:jc w:val="left"/>
              <w:rPr/>
            </w:pPr>
            <w:r>
              <w:rPr/>
              <w:t>$50,189.21</w:t>
            </w:r>
          </w:p>
        </w:tc>
        <w:tc>
          <w:tcPr>
            <w:tcW w:w="120"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left"/>
              <w:rPr/>
            </w:pPr>
            <w:r>
              <w:rPr/>
              <w:t>$602,270.56</w:t>
            </w:r>
          </w:p>
        </w:tc>
      </w:tr>
      <w:tr>
        <w:trPr/>
        <w:tc>
          <w:tcPr>
            <w:tcW w:w="3312"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2329" w:type="dxa"/>
            <w:tcBorders/>
            <w:shd w:fill="CCEEFF" w:val="clear"/>
            <w:vAlign w:val="bottom"/>
          </w:tcPr>
          <w:p>
            <w:pPr>
              <w:pStyle w:val="TableContents"/>
              <w:bidi w:val="0"/>
              <w:spacing w:before="0" w:after="283"/>
              <w:jc w:val="left"/>
              <w:rPr/>
            </w:pPr>
            <w:r>
              <w:rPr/>
              <w:t>Months 15-26</w:t>
            </w:r>
          </w:p>
        </w:tc>
        <w:tc>
          <w:tcPr>
            <w:tcW w:w="120"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bidi w:val="0"/>
              <w:spacing w:before="0" w:after="283"/>
              <w:jc w:val="left"/>
              <w:rPr/>
            </w:pPr>
            <w:r>
              <w:rPr/>
              <w:t>$51,129.33</w:t>
            </w:r>
          </w:p>
        </w:tc>
        <w:tc>
          <w:tcPr>
            <w:tcW w:w="120"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left"/>
              <w:rPr/>
            </w:pPr>
            <w:r>
              <w:rPr/>
              <w:t>$613,552.00</w:t>
            </w:r>
          </w:p>
        </w:tc>
      </w:tr>
      <w:tr>
        <w:trPr/>
        <w:tc>
          <w:tcPr>
            <w:tcW w:w="3312"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29" w:type="dxa"/>
            <w:tcBorders/>
            <w:vAlign w:val="bottom"/>
          </w:tcPr>
          <w:p>
            <w:pPr>
              <w:pStyle w:val="TableContents"/>
              <w:bidi w:val="0"/>
              <w:spacing w:before="0" w:after="283"/>
              <w:jc w:val="left"/>
              <w:rPr/>
            </w:pPr>
            <w:r>
              <w:rPr/>
              <w:t>Months 27-38</w:t>
            </w:r>
          </w:p>
        </w:tc>
        <w:tc>
          <w:tcPr>
            <w:tcW w:w="120" w:type="dxa"/>
            <w:tcBorders/>
            <w:vAlign w:val="bottom"/>
          </w:tcPr>
          <w:p>
            <w:pPr>
              <w:pStyle w:val="TableContents"/>
              <w:bidi w:val="0"/>
              <w:spacing w:before="0" w:after="283"/>
              <w:jc w:val="left"/>
              <w:rPr/>
            </w:pPr>
            <w:r>
              <w:rPr/>
              <w:t>  </w:t>
            </w:r>
          </w:p>
        </w:tc>
        <w:tc>
          <w:tcPr>
            <w:tcW w:w="2086" w:type="dxa"/>
            <w:tcBorders/>
            <w:vAlign w:val="bottom"/>
          </w:tcPr>
          <w:p>
            <w:pPr>
              <w:pStyle w:val="TableContents"/>
              <w:bidi w:val="0"/>
              <w:spacing w:before="0" w:after="283"/>
              <w:jc w:val="left"/>
              <w:rPr/>
            </w:pPr>
            <w:r>
              <w:rPr/>
              <w:t>$52,088.26</w:t>
            </w:r>
          </w:p>
        </w:tc>
        <w:tc>
          <w:tcPr>
            <w:tcW w:w="120"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left"/>
              <w:rPr/>
            </w:pPr>
            <w:r>
              <w:rPr/>
              <w:t>$625,059.07</w:t>
            </w:r>
          </w:p>
        </w:tc>
      </w:tr>
      <w:tr>
        <w:trPr/>
        <w:tc>
          <w:tcPr>
            <w:tcW w:w="3312"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2329" w:type="dxa"/>
            <w:tcBorders/>
            <w:shd w:fill="CCEEFF" w:val="clear"/>
            <w:vAlign w:val="bottom"/>
          </w:tcPr>
          <w:p>
            <w:pPr>
              <w:pStyle w:val="TableContents"/>
              <w:bidi w:val="0"/>
              <w:spacing w:before="0" w:after="283"/>
              <w:jc w:val="left"/>
              <w:rPr/>
            </w:pPr>
            <w:r>
              <w:rPr/>
              <w:t>Months 39-50</w:t>
            </w:r>
          </w:p>
        </w:tc>
        <w:tc>
          <w:tcPr>
            <w:tcW w:w="120"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bidi w:val="0"/>
              <w:spacing w:before="0" w:after="283"/>
              <w:jc w:val="left"/>
              <w:rPr/>
            </w:pPr>
            <w:r>
              <w:rPr/>
              <w:t>$53,066.36</w:t>
            </w:r>
          </w:p>
        </w:tc>
        <w:tc>
          <w:tcPr>
            <w:tcW w:w="120"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left"/>
              <w:rPr/>
            </w:pPr>
            <w:r>
              <w:rPr/>
              <w:t>$636,796.28</w:t>
            </w:r>
          </w:p>
        </w:tc>
      </w:tr>
      <w:tr>
        <w:trPr/>
        <w:tc>
          <w:tcPr>
            <w:tcW w:w="3312"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29" w:type="dxa"/>
            <w:tcBorders/>
            <w:vAlign w:val="bottom"/>
          </w:tcPr>
          <w:p>
            <w:pPr>
              <w:pStyle w:val="TableContents"/>
              <w:bidi w:val="0"/>
              <w:spacing w:before="0" w:after="283"/>
              <w:jc w:val="left"/>
              <w:rPr/>
            </w:pPr>
            <w:r>
              <w:rPr/>
              <w:t>Months 51-62</w:t>
            </w:r>
          </w:p>
        </w:tc>
        <w:tc>
          <w:tcPr>
            <w:tcW w:w="120" w:type="dxa"/>
            <w:tcBorders/>
            <w:vAlign w:val="bottom"/>
          </w:tcPr>
          <w:p>
            <w:pPr>
              <w:pStyle w:val="TableContents"/>
              <w:bidi w:val="0"/>
              <w:spacing w:before="0" w:after="283"/>
              <w:jc w:val="left"/>
              <w:rPr/>
            </w:pPr>
            <w:r>
              <w:rPr/>
              <w:t>  </w:t>
            </w:r>
          </w:p>
        </w:tc>
        <w:tc>
          <w:tcPr>
            <w:tcW w:w="2086" w:type="dxa"/>
            <w:tcBorders/>
            <w:vAlign w:val="bottom"/>
          </w:tcPr>
          <w:p>
            <w:pPr>
              <w:pStyle w:val="TableContents"/>
              <w:bidi w:val="0"/>
              <w:spacing w:before="0" w:after="283"/>
              <w:jc w:val="left"/>
              <w:rPr/>
            </w:pPr>
            <w:r>
              <w:rPr/>
              <w:t>$54,064.02</w:t>
            </w:r>
          </w:p>
        </w:tc>
        <w:tc>
          <w:tcPr>
            <w:tcW w:w="120"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left"/>
              <w:rPr/>
            </w:pPr>
            <w:r>
              <w:rPr/>
              <w:t>$648,768.23</w:t>
            </w:r>
          </w:p>
        </w:tc>
      </w:tr>
      <w:tr>
        <w:trPr/>
        <w:tc>
          <w:tcPr>
            <w:tcW w:w="3312"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2329" w:type="dxa"/>
            <w:tcBorders/>
            <w:shd w:fill="CCEEFF" w:val="clear"/>
            <w:vAlign w:val="bottom"/>
          </w:tcPr>
          <w:p>
            <w:pPr>
              <w:pStyle w:val="TableContents"/>
              <w:bidi w:val="0"/>
              <w:spacing w:before="0" w:after="283"/>
              <w:jc w:val="left"/>
              <w:rPr/>
            </w:pPr>
            <w:r>
              <w:rPr/>
              <w:t>Months 63-74</w:t>
            </w:r>
          </w:p>
        </w:tc>
        <w:tc>
          <w:tcPr>
            <w:tcW w:w="120"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bidi w:val="0"/>
              <w:spacing w:before="0" w:after="283"/>
              <w:jc w:val="left"/>
              <w:rPr/>
            </w:pPr>
            <w:r>
              <w:rPr/>
              <w:t>$55,081.64</w:t>
            </w:r>
          </w:p>
        </w:tc>
        <w:tc>
          <w:tcPr>
            <w:tcW w:w="120" w:type="dxa"/>
            <w:tcBorders/>
            <w:shd w:fill="CCEEFF" w:val="clear"/>
            <w:vAlign w:val="bottom"/>
          </w:tcPr>
          <w:p>
            <w:pPr>
              <w:pStyle w:val="TableContents"/>
              <w:bidi w:val="0"/>
              <w:spacing w:before="0" w:after="283"/>
              <w:jc w:val="left"/>
              <w:rPr/>
            </w:pPr>
            <w:r>
              <w:rPr/>
              <w:t>  </w:t>
            </w:r>
          </w:p>
        </w:tc>
        <w:tc>
          <w:tcPr>
            <w:tcW w:w="2118" w:type="dxa"/>
            <w:tcBorders/>
            <w:shd w:fill="CCEEFF" w:val="clear"/>
            <w:vAlign w:val="bottom"/>
          </w:tcPr>
          <w:p>
            <w:pPr>
              <w:pStyle w:val="TableContents"/>
              <w:bidi w:val="0"/>
              <w:spacing w:before="0" w:after="283"/>
              <w:jc w:val="left"/>
              <w:rPr/>
            </w:pPr>
            <w:r>
              <w:rPr/>
              <w:t>$660,979.63</w:t>
            </w:r>
          </w:p>
        </w:tc>
      </w:tr>
      <w:tr>
        <w:trPr/>
        <w:tc>
          <w:tcPr>
            <w:tcW w:w="3312"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29" w:type="dxa"/>
            <w:tcBorders/>
            <w:vAlign w:val="bottom"/>
          </w:tcPr>
          <w:p>
            <w:pPr>
              <w:pStyle w:val="TableContents"/>
              <w:bidi w:val="0"/>
              <w:spacing w:before="0" w:after="283"/>
              <w:jc w:val="left"/>
              <w:rPr/>
            </w:pPr>
            <w:r>
              <w:rPr/>
              <w:t>Months 75-86</w:t>
            </w:r>
          </w:p>
        </w:tc>
        <w:tc>
          <w:tcPr>
            <w:tcW w:w="120" w:type="dxa"/>
            <w:tcBorders/>
            <w:vAlign w:val="bottom"/>
          </w:tcPr>
          <w:p>
            <w:pPr>
              <w:pStyle w:val="TableContents"/>
              <w:bidi w:val="0"/>
              <w:spacing w:before="0" w:after="283"/>
              <w:jc w:val="left"/>
              <w:rPr/>
            </w:pPr>
            <w:r>
              <w:rPr/>
              <w:t>  </w:t>
            </w:r>
          </w:p>
        </w:tc>
        <w:tc>
          <w:tcPr>
            <w:tcW w:w="2086" w:type="dxa"/>
            <w:tcBorders/>
            <w:vAlign w:val="bottom"/>
          </w:tcPr>
          <w:p>
            <w:pPr>
              <w:pStyle w:val="TableContents"/>
              <w:bidi w:val="0"/>
              <w:spacing w:before="0" w:after="283"/>
              <w:jc w:val="left"/>
              <w:rPr/>
            </w:pPr>
            <w:r>
              <w:rPr/>
              <w:t>$56,119.60</w:t>
            </w:r>
          </w:p>
        </w:tc>
        <w:tc>
          <w:tcPr>
            <w:tcW w:w="120" w:type="dxa"/>
            <w:tcBorders/>
            <w:vAlign w:val="bottom"/>
          </w:tcPr>
          <w:p>
            <w:pPr>
              <w:pStyle w:val="TableContents"/>
              <w:bidi w:val="0"/>
              <w:spacing w:before="0" w:after="283"/>
              <w:jc w:val="left"/>
              <w:rPr/>
            </w:pPr>
            <w:r>
              <w:rPr/>
              <w:t>  </w:t>
            </w:r>
          </w:p>
        </w:tc>
        <w:tc>
          <w:tcPr>
            <w:tcW w:w="2118" w:type="dxa"/>
            <w:tcBorders/>
            <w:vAlign w:val="bottom"/>
          </w:tcPr>
          <w:p>
            <w:pPr>
              <w:pStyle w:val="TableContents"/>
              <w:bidi w:val="0"/>
              <w:spacing w:before="0" w:after="283"/>
              <w:jc w:val="left"/>
              <w:rPr/>
            </w:pPr>
            <w:r>
              <w:rPr/>
              <w:t>$673,435.25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entire Term of the Lease, including any free Base Rent period, as applicable, Tenant shall be responsible for payment of any and all Additional Rent during this period of time, including, without limitation, charges for utilities as set forth in Section 2.7 herein. **Annualized figure.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202"/>
        <w:gridCol w:w="6635"/>
      </w:tblGrid>
      <w:tr>
        <w:trPr/>
        <w:tc>
          <w:tcPr>
            <w:tcW w:w="33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ADDITIONAL RENT: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Any monies (including utility charges and Tenant’s Proportionate Share of (i) Operating Costs and (ii) Real Estate Taxes with respect to the Building) which Landlord is authorized to collect from Tenant under this Lease which are not included in Base Rent. Triple Net (NNN) Lease (See Section 2.5).</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SECURITY DEPOSIT: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Six (6) Months’ Average Base Rent = $318,632.93</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OPTION TO EXTEND:</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In accordance with and subject to the provisions of Section 8.15 of this Lease, Tenant shall have the one (1) time right to extend this Lease for an additional five (5) year period by providing not less than twelve (12) months prior written notice to Landlord before the expiration date of this Lease. The annual Base Rent for the renewal period shall be the greater of (i) the Base Rent during the final year of the Lease and (ii) Fair Market Rent.</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OPTION TO TERMINATE: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In accordance with and subject to the provisions of Section 8.16 of this Lease, Tenant shall have the one-time right to terminate this Lease effective as of the first (1st) day of the sixty-first (61st) month of the Term by providing no less than fifteen (15) months prior written notice to Landlord before such Early Termination Date, and timely paying all amounts set forth in Section 8.16.</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RIGHT OF FIRST OFFER:</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In accordance with and subject to the provisions of Section 8.17 of this Lease, Tenant shall have the one-time right of first offer to expand the Premises by leasing space that becomes available on the second (2nd) floor of the Building.</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PARKING:</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For no additional charge, Tenant shall have the right to use on a first come, first served basis, three (3) unreserved parking spaces on site for every 1,000 rentable square feet of the Premises (thirty (30) spaces based on approximately 9,896 rentable square feet).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BUSINESS DAYS: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w:t>
            </w:r>
            <w:r>
              <w:rPr>
                <w:u w:val="single"/>
              </w:rPr>
              <w:t>Business Day</w:t>
            </w:r>
            <w:r>
              <w:rPr/>
              <w:t>” shall mean any day other than Saturday, Sunday, any Federal holiday, or any holiday observed by the Commonwealth of Massachusetts or any other Building holiday so designated by Landlord. If any period expires or action is to be taken on a day which is not a Business Day, the time frame for the same shall be extended until the next Business Day.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PERMITTED USE: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General office use, research and development and laboratory use and uses customarily ancillary thereto. Tenant shall not use or permit the Premises to be used for any other purpose or purposes whatsoever without the prior written consent of Landlord, which may be withheld in Landlord’s sole discretion.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GENERAL LIABILITY INSURANCE: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$5,000,000 per occurrence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BODILY INJURY &amp; PROPERTY DAMAGE: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$5,000,000 Aggregate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1.2 Exhibits. These are incorporated as a part of this Lease: </w:t>
      </w:r>
    </w:p>
    <w:p>
      <w:pPr>
        <w:pStyle w:val="TextBody"/>
        <w:bidi w:val="0"/>
        <w:spacing w:before="120" w:after="0"/>
        <w:jc w:val="left"/>
        <w:rPr>
          <w:rFonts w:ascii="Times New Roman" w:hAnsi="Times New Roman"/>
          <w:sz w:val="20"/>
        </w:rPr>
      </w:pPr>
      <w:r>
        <w:rPr>
          <w:rFonts w:ascii="Times New Roman" w:hAnsi="Times New Roman"/>
          <w:sz w:val="20"/>
        </w:rPr>
        <w:t xml:space="preserve">EXHIBIT A—Site Plan </w:t>
      </w:r>
    </w:p>
    <w:p>
      <w:pPr>
        <w:pStyle w:val="TextBody"/>
        <w:bidi w:val="0"/>
        <w:spacing w:before="0" w:after="0"/>
        <w:jc w:val="left"/>
        <w:rPr>
          <w:rFonts w:ascii="Times New Roman" w:hAnsi="Times New Roman"/>
          <w:sz w:val="20"/>
        </w:rPr>
      </w:pPr>
      <w:r>
        <w:rPr>
          <w:rFonts w:ascii="Times New Roman" w:hAnsi="Times New Roman"/>
          <w:sz w:val="20"/>
        </w:rPr>
        <w:t xml:space="preserve">EXHIBIT B—Floor Plan </w:t>
      </w:r>
    </w:p>
    <w:p>
      <w:pPr>
        <w:pStyle w:val="TextBody"/>
        <w:bidi w:val="0"/>
        <w:spacing w:before="0" w:after="0"/>
        <w:jc w:val="left"/>
        <w:rPr>
          <w:rFonts w:ascii="Times New Roman" w:hAnsi="Times New Roman"/>
          <w:sz w:val="20"/>
        </w:rPr>
      </w:pPr>
      <w:r>
        <w:rPr>
          <w:rFonts w:ascii="Times New Roman" w:hAnsi="Times New Roman"/>
          <w:sz w:val="20"/>
        </w:rPr>
        <w:t xml:space="preserve">EXHIBIT C—Work Letter </w:t>
      </w:r>
    </w:p>
    <w:p>
      <w:pPr>
        <w:pStyle w:val="TextBody"/>
        <w:bidi w:val="0"/>
        <w:spacing w:before="0" w:after="0"/>
        <w:jc w:val="left"/>
        <w:rPr>
          <w:rFonts w:ascii="Times New Roman" w:hAnsi="Times New Roman"/>
          <w:sz w:val="20"/>
        </w:rPr>
      </w:pPr>
      <w:r>
        <w:rPr>
          <w:rFonts w:ascii="Times New Roman" w:hAnsi="Times New Roman"/>
          <w:sz w:val="20"/>
        </w:rPr>
        <w:t xml:space="preserve">EXHIBIT C-1—Plans </w:t>
      </w:r>
    </w:p>
    <w:p>
      <w:pPr>
        <w:pStyle w:val="TextBody"/>
        <w:bidi w:val="0"/>
        <w:spacing w:before="0" w:after="0"/>
        <w:jc w:val="left"/>
        <w:rPr>
          <w:rFonts w:ascii="Times New Roman" w:hAnsi="Times New Roman"/>
          <w:sz w:val="20"/>
        </w:rPr>
      </w:pPr>
      <w:r>
        <w:rPr>
          <w:rFonts w:ascii="Times New Roman" w:hAnsi="Times New Roman"/>
          <w:sz w:val="20"/>
        </w:rPr>
        <w:t xml:space="preserve">EXHIBIT C-2—Landlord / Tenant Matrix </w:t>
      </w:r>
    </w:p>
    <w:p>
      <w:pPr>
        <w:pStyle w:val="TextBody"/>
        <w:bidi w:val="0"/>
        <w:spacing w:before="0" w:after="0"/>
        <w:jc w:val="left"/>
        <w:rPr>
          <w:rFonts w:ascii="Times New Roman" w:hAnsi="Times New Roman"/>
          <w:sz w:val="20"/>
        </w:rPr>
      </w:pPr>
      <w:r>
        <w:rPr>
          <w:rFonts w:ascii="Times New Roman" w:hAnsi="Times New Roman"/>
          <w:sz w:val="20"/>
        </w:rPr>
        <w:t xml:space="preserve">EXHIBIT C-3—Construction Schedule </w:t>
      </w:r>
    </w:p>
    <w:p>
      <w:pPr>
        <w:pStyle w:val="TextBody"/>
        <w:bidi w:val="0"/>
        <w:spacing w:before="0" w:after="0"/>
        <w:jc w:val="left"/>
        <w:rPr>
          <w:rFonts w:ascii="Times New Roman" w:hAnsi="Times New Roman"/>
          <w:sz w:val="20"/>
        </w:rPr>
      </w:pPr>
      <w:r>
        <w:rPr>
          <w:rFonts w:ascii="Times New Roman" w:hAnsi="Times New Roman"/>
          <w:sz w:val="20"/>
        </w:rPr>
        <w:t xml:space="preserve">EXHIBIT D—Intentionally Omitted </w:t>
      </w:r>
    </w:p>
    <w:p>
      <w:pPr>
        <w:pStyle w:val="TextBody"/>
        <w:bidi w:val="0"/>
        <w:spacing w:before="0" w:after="0"/>
        <w:jc w:val="left"/>
        <w:rPr>
          <w:rFonts w:ascii="Times New Roman" w:hAnsi="Times New Roman"/>
          <w:sz w:val="20"/>
        </w:rPr>
      </w:pPr>
      <w:r>
        <w:rPr>
          <w:rFonts w:ascii="Times New Roman" w:hAnsi="Times New Roman"/>
          <w:sz w:val="20"/>
        </w:rPr>
        <w:t xml:space="preserve">EXHIBIT E—Payment of Operating Costs and Real Estate Taxes </w:t>
      </w:r>
    </w:p>
    <w:p>
      <w:pPr>
        <w:pStyle w:val="TextBody"/>
        <w:bidi w:val="0"/>
        <w:spacing w:before="0" w:after="0"/>
        <w:jc w:val="left"/>
        <w:rPr>
          <w:rFonts w:ascii="Times New Roman" w:hAnsi="Times New Roman"/>
          <w:sz w:val="20"/>
        </w:rPr>
      </w:pPr>
      <w:r>
        <w:rPr>
          <w:rFonts w:ascii="Times New Roman" w:hAnsi="Times New Roman"/>
          <w:sz w:val="20"/>
        </w:rPr>
        <w:t xml:space="preserve">EXHIBIT F—Rules and Regulations </w:t>
      </w:r>
    </w:p>
    <w:p>
      <w:pPr>
        <w:pStyle w:val="TextBody"/>
        <w:bidi w:val="0"/>
        <w:spacing w:before="0" w:after="0"/>
        <w:jc w:val="left"/>
        <w:rPr>
          <w:rFonts w:ascii="Times New Roman" w:hAnsi="Times New Roman"/>
          <w:sz w:val="20"/>
        </w:rPr>
      </w:pPr>
      <w:r>
        <w:rPr>
          <w:rFonts w:ascii="Times New Roman" w:hAnsi="Times New Roman"/>
          <w:sz w:val="20"/>
        </w:rPr>
        <w:t xml:space="preserve">EXHIBIT G—Environmental Questionnaire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PREMISES, TERM AND RENT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Premises</w:t>
      </w:r>
      <w:r>
        <w:rPr>
          <w:rFonts w:ascii="Times New Roman" w:hAnsi="Times New Roman"/>
          <w:sz w:val="20"/>
        </w:rPr>
        <w:t xml:space="preserve">: Landlord hereby leases to Tenant, and Tenant hereby leases from Landlord, the Premises, as shown on the Tenant’s Floor Plan attached as </w:t>
      </w:r>
      <w:r>
        <w:rPr>
          <w:rFonts w:ascii="Times New Roman" w:hAnsi="Times New Roman"/>
          <w:sz w:val="20"/>
          <w:u w:val="single"/>
        </w:rPr>
        <w:t>Exhibit B</w:t>
      </w:r>
      <w:r>
        <w:rPr>
          <w:rFonts w:ascii="Times New Roman" w:hAnsi="Times New Roman"/>
          <w:sz w:val="20"/>
        </w:rPr>
        <w:t xml:space="preserve"> hereto, excluding, as applicable, exterior faces of exterior walls, the entry, vestibule and main lobby of the Building, the common stairways and stairwells, elevators and elevator wells, fan rooms, electric and telephone closets, janitor closets, elevator lobbies and common lavatories, boiler room, sprinkler rooms,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elevator rooms, mechanical rooms, loading and receiving areas, and pipe, ducts, conduits, wires and appurtenant fixtures serving exclusively or in common other parts of the Building, and if the Premises includes less than the entire rentable area of any floor, excluding the common corridors, elevator lobby and toilets located outside of the Premises on such floor. The term “</w:t>
      </w:r>
      <w:r>
        <w:rPr>
          <w:rFonts w:ascii="Times New Roman" w:hAnsi="Times New Roman"/>
          <w:sz w:val="20"/>
          <w:u w:val="single"/>
        </w:rPr>
        <w:t>Building</w:t>
      </w:r>
      <w:r>
        <w:rPr>
          <w:rFonts w:ascii="Times New Roman" w:hAnsi="Times New Roman"/>
          <w:sz w:val="20"/>
        </w:rPr>
        <w:t xml:space="preserve">” means the Building erected on the Lot as depicted on the site plan of the Property annexed hereto as </w:t>
      </w:r>
      <w:r>
        <w:rPr>
          <w:rFonts w:ascii="Times New Roman" w:hAnsi="Times New Roman"/>
          <w:sz w:val="20"/>
          <w:u w:val="single"/>
        </w:rPr>
        <w:t>Exhibit A</w:t>
      </w:r>
      <w:r>
        <w:rPr>
          <w:rFonts w:ascii="Times New Roman" w:hAnsi="Times New Roman"/>
          <w:sz w:val="20"/>
        </w:rPr>
        <w:t>, and the term “</w:t>
      </w:r>
      <w:r>
        <w:rPr>
          <w:rFonts w:ascii="Times New Roman" w:hAnsi="Times New Roman"/>
          <w:sz w:val="20"/>
          <w:u w:val="single"/>
        </w:rPr>
        <w:t>Lot</w:t>
      </w:r>
      <w:r>
        <w:rPr>
          <w:rFonts w:ascii="Times New Roman" w:hAnsi="Times New Roman"/>
          <w:sz w:val="20"/>
        </w:rPr>
        <w:t>” means all, and also any part of, the lands owned by the Landlord on which the Building is located plus any additions thereto resulting from the change of any abutting street line. “</w:t>
      </w:r>
      <w:r>
        <w:rPr>
          <w:rFonts w:ascii="Times New Roman" w:hAnsi="Times New Roman"/>
          <w:sz w:val="20"/>
          <w:u w:val="single"/>
        </w:rPr>
        <w:t>Property</w:t>
      </w:r>
      <w:r>
        <w:rPr>
          <w:rFonts w:ascii="Times New Roman" w:hAnsi="Times New Roman"/>
          <w:sz w:val="20"/>
        </w:rPr>
        <w:t xml:space="preserve">” means the Building and Lot.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Rights to Use Common Facilities</w:t>
      </w:r>
      <w:r>
        <w:rPr>
          <w:rFonts w:ascii="Times New Roman" w:hAnsi="Times New Roman"/>
          <w:sz w:val="20"/>
        </w:rPr>
        <w:t xml:space="preserve">: Subject to the Building’s rules and regulations set forth on </w:t>
      </w:r>
      <w:r>
        <w:rPr>
          <w:rFonts w:ascii="Times New Roman" w:hAnsi="Times New Roman"/>
          <w:sz w:val="20"/>
          <w:u w:val="single"/>
        </w:rPr>
        <w:t>Exhibit F</w:t>
      </w:r>
      <w:r>
        <w:rPr>
          <w:rFonts w:ascii="Times New Roman" w:hAnsi="Times New Roman"/>
          <w:sz w:val="20"/>
        </w:rPr>
        <w:t xml:space="preserve"> hereto, and all other applicable provisions herein, Tenant shall have the non-exclusive right to use in common with other tenants on the Property, those portions of the Property which are provided, from time to time, for use in common by Landlord, Tenant and any other tenants of the Property (such areas, together with such other portions of the Property designated by Landlord, in its discretion, including certain areas designated for the exclusive use of certain tenants, including Tenant, or to be shared by Landlord and certain tenants, including Tenant, are collectively referred to herein as the “</w:t>
      </w:r>
      <w:r>
        <w:rPr>
          <w:rFonts w:ascii="Times New Roman" w:hAnsi="Times New Roman"/>
          <w:sz w:val="20"/>
          <w:u w:val="single"/>
        </w:rPr>
        <w:t>Common Areas</w:t>
      </w:r>
      <w:r>
        <w:rPr>
          <w:rFonts w:ascii="Times New Roman" w:hAnsi="Times New Roman"/>
          <w:sz w:val="20"/>
        </w:rPr>
        <w:t xml:space="preserve">”). The Common Areas shall consist of the “Property Common Areas” and the “Building Common Areas”. The term “Property Common Areas,” as used in this Lease, shall mean the portion of the Property designated as such by Landlord. The term “Building Common Areas,” as used in this Lease, shall mean the portions of the Common Areas located within the Building designated as such by Landlord. The manner in which the Common Areas are maintained and operated shall be at the sole discretion of Landlord and the use thereof shall be subject to such rules, regulations and restrictions as Landlord may make from time to time, but such Common Areas shall at all times be maintained by Landlord in accordance with all terms and conditions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Landlord’s Reservations</w:t>
      </w:r>
      <w:r>
        <w:rPr>
          <w:rFonts w:ascii="Times New Roman" w:hAnsi="Times New Roman"/>
          <w:sz w:val="20"/>
        </w:rPr>
        <w:t xml:space="preserve">: Landlord reserves the right from time to time, upon twenty-four (24) hour prior notice to the Tenant, which notice may be made via email, to close temporarily, make alterations or additions to, repair, alter, maintain, and/or replace, or change the location of elements of the Property and the Common Areas, provided that, in connection therewith, Landlord shall perform such acts contemplated in this Section in a commercially reasonable manner and, in connection therewith, shall use commercially reasonable efforts to minimize any material interference with Tenant’s use of and access to the Premises. Notwithstanding the foregoing, Landlord reserves the right to enter the Premises at any time in case of emergency.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Term</w:t>
      </w:r>
      <w:r>
        <w:rPr>
          <w:rFonts w:ascii="Times New Roman" w:hAnsi="Times New Roman"/>
          <w:sz w:val="20"/>
        </w:rPr>
        <w:t>. Subject to delays caused by Force Majeure and Tenant Delays (as hereinafter defined), Tenant shall have and hold the Premises for a period commencing on the Substantial Completion of the Landlord’s Work (as both terms are hereinafter defined) (the “</w:t>
      </w:r>
      <w:r>
        <w:rPr>
          <w:rFonts w:ascii="Times New Roman" w:hAnsi="Times New Roman"/>
          <w:sz w:val="20"/>
          <w:u w:val="single"/>
        </w:rPr>
        <w:t>Commencement Date</w:t>
      </w:r>
      <w:r>
        <w:rPr>
          <w:rFonts w:ascii="Times New Roman" w:hAnsi="Times New Roman"/>
          <w:sz w:val="20"/>
        </w:rPr>
        <w:t>”), and ending on the last day of the eighty-sixth (86th) calendar month following the Commencement Date, unless (y) sooner terminated as provided in Section 6.1, Section 8.16, or Article VII herein or (z) extended in accordance with Section 8.15 herein (the “</w:t>
      </w:r>
      <w:r>
        <w:rPr>
          <w:rFonts w:ascii="Times New Roman" w:hAnsi="Times New Roman"/>
          <w:sz w:val="20"/>
          <w:u w:val="single"/>
        </w:rPr>
        <w:t>Expiration Date</w:t>
      </w:r>
      <w:r>
        <w:rPr>
          <w:rFonts w:ascii="Times New Roman" w:hAnsi="Times New Roman"/>
          <w:sz w:val="20"/>
        </w:rPr>
        <w:t xml:space="preserve">”). If the Commencement Date occurs on the first (1st) day of a calendar month, then Tenant shall not be liable for the payment of Base Rent during the first (1st) two (2) full calendar months of the Term, and, for the avoidance of doubt, if the Commencement Date occurs on a date other than the first (1st) day of a calendar month, then Tenant shall not be liable for the payment of Base Rent during the period of time beginning on the Commencement Date and ending on the date that is sixty (60) days following the Commencement Date (such two (2) full calendar months or sixty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(60) day period, as applicable, is referred to herein as the “</w:t>
      </w:r>
      <w:r>
        <w:rPr>
          <w:rFonts w:ascii="Times New Roman" w:hAnsi="Times New Roman"/>
          <w:sz w:val="20"/>
          <w:u w:val="single"/>
        </w:rPr>
        <w:t>Free Base Rent Period</w:t>
      </w:r>
      <w:r>
        <w:rPr>
          <w:rFonts w:ascii="Times New Roman" w:hAnsi="Times New Roman"/>
          <w:sz w:val="20"/>
        </w:rPr>
        <w:t>”). Thereafter, Base Rent for such partial calendar month shall be pro-rated through the final day of such calendar month and for subsequent months Base Rent shall commence on the first day of each calendar month, all in accordance with the Base Rent table set forth in Section 1.1 of this Lease. Notwithstanding anything contained herein to the contrary, if the Commencement Date occurs on a date that is later than November 1, 2021, then Landlord shall not be liable to compensate Tenant for any direct, indirect, special, punitive, or consequential damages resulting therefrom, whether in the form of abated rent or otherwise; provided, however, that, subject to delays caused by Force Majeure and Tenant Delays, if the Substantial Completion of the Landlord’s Work occurs on a date that is later than December 1, 2021, then Landlord shall credit to Tenant, on a day-for-day basis, Base Rent hereunder payable for each day that the Substantial Completion is delayed beyond December 1, 2021. In addition, subject to delays due to Force Majeure and Tenant Delays, if Landlord fails to Substantially Complete the Landlord’s Work by March 1, 2022 (the “</w:t>
      </w:r>
      <w:r>
        <w:rPr>
          <w:rFonts w:ascii="Times New Roman" w:hAnsi="Times New Roman"/>
          <w:sz w:val="20"/>
          <w:u w:val="single"/>
        </w:rPr>
        <w:t>Outside Date</w:t>
      </w:r>
      <w:r>
        <w:rPr>
          <w:rFonts w:ascii="Times New Roman" w:hAnsi="Times New Roman"/>
          <w:sz w:val="20"/>
        </w:rPr>
        <w:t>”), Tenant may terminate this Lease in its entirety by written notice delivered to Landlord no later than March 3, 2022 (the “</w:t>
      </w:r>
      <w:r>
        <w:rPr>
          <w:rFonts w:ascii="Times New Roman" w:hAnsi="Times New Roman"/>
          <w:sz w:val="20"/>
          <w:u w:val="single"/>
        </w:rPr>
        <w:t>Section 2.4 Termination Notice</w:t>
      </w:r>
      <w:r>
        <w:rPr>
          <w:rFonts w:ascii="Times New Roman" w:hAnsi="Times New Roman"/>
          <w:sz w:val="20"/>
        </w:rPr>
        <w:t xml:space="preserve">”). However, if the Substantial Completion of the Landlord’s Work occurs within thirty (30) days of delivery by Tenant to Landlord of Tenant’s Section 2.4 Termination Notice, this Lease shall continue in full force and effect, and any such termination contemplated in this Section 2.4 shall be null and void. If the Substantial Completion of the Landlord’s Work has not occurred within thirty (30) days after the date of Tenant’s timely delivery of Tenant’s Section 2.4 Termination Notice, then this Lease shall terminate as of said thirtieth (30th) day with the same effect as if such date were the expiration date of this Lease, and Landlord shall return to Tenant any prepaid Rent and/or the Security Deposit, as applicable, delivered to Landlord within thirty (30) days after Tenant’s written request to Landlord thereof. </w:t>
      </w:r>
    </w:p>
    <w:p>
      <w:pPr>
        <w:pStyle w:val="TextBody"/>
        <w:bidi w:val="0"/>
        <w:spacing w:before="240" w:after="0"/>
        <w:jc w:val="left"/>
        <w:rPr>
          <w:rFonts w:ascii="Times New Roman" w:hAnsi="Times New Roman"/>
          <w:sz w:val="20"/>
        </w:rPr>
      </w:pPr>
      <w:r>
        <w:rPr>
          <w:rFonts w:ascii="Times New Roman" w:hAnsi="Times New Roman"/>
          <w:sz w:val="20"/>
        </w:rPr>
        <w:t xml:space="preserve">2.4.1 </w:t>
      </w:r>
      <w:r>
        <w:rPr>
          <w:rFonts w:ascii="Times New Roman" w:hAnsi="Times New Roman"/>
          <w:sz w:val="20"/>
          <w:u w:val="single"/>
        </w:rPr>
        <w:t>Tenant Delays</w:t>
      </w:r>
      <w:r>
        <w:rPr>
          <w:rFonts w:ascii="Times New Roman" w:hAnsi="Times New Roman"/>
          <w:sz w:val="20"/>
        </w:rPr>
        <w:t>. For the purposes of this Lease, “</w:t>
      </w:r>
      <w:r>
        <w:rPr>
          <w:rFonts w:ascii="Times New Roman" w:hAnsi="Times New Roman"/>
          <w:sz w:val="20"/>
          <w:u w:val="single"/>
        </w:rPr>
        <w:t>Tenant Delays</w:t>
      </w:r>
      <w:r>
        <w:rPr>
          <w:rFonts w:ascii="Times New Roman" w:hAnsi="Times New Roman"/>
          <w:sz w:val="20"/>
        </w:rPr>
        <w:t xml:space="preserve">” shall mean any delay in the Substantial Completion which occurs as a result of (a) delay by Tenant or any person employed by Tenant in delivery to Landlord of any plans, design work, detailed drawings or a request for approval, (b) Tenant’s request for special work not part of the work described in the Plans (as hereinafter defined) listed in </w:t>
      </w:r>
      <w:r>
        <w:rPr>
          <w:rFonts w:ascii="Times New Roman" w:hAnsi="Times New Roman"/>
          <w:sz w:val="20"/>
          <w:u w:val="single"/>
        </w:rPr>
        <w:t>Exhibit C-1</w:t>
      </w:r>
      <w:r>
        <w:rPr>
          <w:rFonts w:ascii="Times New Roman" w:hAnsi="Times New Roman"/>
          <w:sz w:val="20"/>
        </w:rPr>
        <w:t xml:space="preserve"> or the Landlord / Tenant Matrix listed in </w:t>
      </w:r>
      <w:r>
        <w:rPr>
          <w:rFonts w:ascii="Times New Roman" w:hAnsi="Times New Roman"/>
          <w:sz w:val="20"/>
          <w:u w:val="single"/>
        </w:rPr>
        <w:t>Exhibit C-2</w:t>
      </w:r>
      <w:r>
        <w:rPr>
          <w:rFonts w:ascii="Times New Roman" w:hAnsi="Times New Roman"/>
          <w:sz w:val="20"/>
        </w:rPr>
        <w:t xml:space="preserve">, or for changes initiated by Tenant to the Plans or the Landlord / Tenant Matrix after approval by Tenant (notwithstanding Landlord’s approval of such changes), (c) delays in performance by Tenant or any person employed or engaged by Tenant, which cause delays in the completion of any work to be done by Landlord or which otherwise delay the Substantial Completion of the Premises, (d) any fault, negligence, omission or failure to act on the part of Tenant or its agents, contractors, workmen, mechanics, suppliers or invitees, (e) any delay in the performance of Landlord’s Work caused by Tenant’s interference therewith in performing the Landlord’s Work, or (f) any delay in the performance of Landlord’s Work resulting from Tenant’s request that Landlord delay the performance of such work. A “Tenant Delay” shall not occur unless Landlord notifies Tenant within a reasonable time of any action or circumstance that constitutes a Tenant Delay. Tenant shall have three (3) Business Days from receipt of such notice to cure, cease or mitigate the effects of such Tenant Delays. </w:t>
      </w:r>
    </w:p>
    <w:p>
      <w:pPr>
        <w:pStyle w:val="TextBody"/>
        <w:bidi w:val="0"/>
        <w:spacing w:before="240" w:after="0"/>
        <w:jc w:val="left"/>
        <w:rPr>
          <w:rFonts w:ascii="Times New Roman" w:hAnsi="Times New Roman"/>
          <w:sz w:val="20"/>
        </w:rPr>
      </w:pPr>
      <w:r>
        <w:rPr>
          <w:rFonts w:ascii="Times New Roman" w:hAnsi="Times New Roman"/>
          <w:sz w:val="20"/>
        </w:rPr>
        <w:t xml:space="preserve">2.4.2 In the event of Tenant Delays, then the date of Substantial Completion will be deemed to be that date determined by Landlord, in the reasonable exercise of its judgment, on which the Substantial Completion of the Landlord’s Work would have occurred but for the Tenant Delays herein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2.4.3 </w:t>
      </w:r>
      <w:r>
        <w:rPr>
          <w:rFonts w:ascii="Times New Roman" w:hAnsi="Times New Roman"/>
          <w:sz w:val="20"/>
          <w:u w:val="single"/>
        </w:rPr>
        <w:t>Force Majeure</w:t>
      </w:r>
      <w:r>
        <w:rPr>
          <w:rFonts w:ascii="Times New Roman" w:hAnsi="Times New Roman"/>
          <w:sz w:val="20"/>
        </w:rPr>
        <w:t>. For purposes of this Lease, “</w:t>
      </w:r>
      <w:r>
        <w:rPr>
          <w:rFonts w:ascii="Times New Roman" w:hAnsi="Times New Roman"/>
          <w:sz w:val="20"/>
          <w:u w:val="single"/>
        </w:rPr>
        <w:t>Force Majeure</w:t>
      </w:r>
      <w:r>
        <w:rPr>
          <w:rFonts w:ascii="Times New Roman" w:hAnsi="Times New Roman"/>
          <w:sz w:val="20"/>
        </w:rPr>
        <w:t xml:space="preserve">” shall mean any prevention, delay or stoppage due to lockouts, labor disputes, strikes, acts of God, shortages of labor, or materials or reasonable substitutes therefore, war, terrorist acts, terrorism, inability to obtain services, governmental actions, civil disturbances, fire, flood, earthquake or other casualty, declared state of emergency or public health emergency, pandemic, government mandated quarantine and other causes beyond the reasonable control of the performing party. Notwithstanding anything to contrary contained in this Lease, any Force Majeure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however (i) in no event shall financial inability be deemed to be or be a cause of a Force Majeure, and (ii) in no event shall any Force Majeure in any way affect, reduce or abate the obligation of Tenant timely to pay all Rent and other charges payable by Tenant pursuant to the terms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2.4.4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Rent</w:t>
      </w:r>
      <w:r>
        <w:rPr>
          <w:rFonts w:ascii="Times New Roman" w:hAnsi="Times New Roman"/>
          <w:sz w:val="20"/>
        </w:rPr>
        <w:t xml:space="preserve">: Landlord and Tenant acknowledge that, except as otherwise provided to the contrary in this Lease, it is their intent and agreement that this Lease be a “TRIPLE NET” lease and that as such, the provisions contained in this Lease are intended to pass on to Tenant or reimburse Landlord for Tenant’s share of the costs and expenses reasonably associated with this Lease, the Building and the Property, and Tenant’s operation therefrom except as expressly described herein. To the extent such costs and expenses payable by Tenant cannot be charged directly to, and paid by, Tenant, such costs and expenses shall be paid by Landlord but reimbursed by Tenant as Additional Rent. </w:t>
      </w:r>
    </w:p>
    <w:p>
      <w:pPr>
        <w:pStyle w:val="TextBody"/>
        <w:bidi w:val="0"/>
        <w:spacing w:before="240" w:after="0"/>
        <w:jc w:val="left"/>
        <w:rPr>
          <w:rFonts w:ascii="Times New Roman" w:hAnsi="Times New Roman"/>
          <w:sz w:val="20"/>
        </w:rPr>
      </w:pPr>
      <w:r>
        <w:rPr>
          <w:rFonts w:ascii="Times New Roman" w:hAnsi="Times New Roman"/>
          <w:sz w:val="20"/>
        </w:rPr>
        <w:t xml:space="preserve">2.5.1 Commencing on the Commencement Date (but subject to the Free Base Rent Period), Tenant shall pay Landlord, without any setoff or deduction, unless expressly set forth in this Lease, all Base Rent due for the Term in accordance with Section 1.1 herein. In addition to the Base Rent, Tenant shall pay to Landlord, unless expressly set forth in this Lease, Additional Rent (defined below) due for the Term, including Tenant’s Proportionate Share of the Operating Costs and Real Estate Taxes with respect to the Building listed in </w:t>
      </w:r>
      <w:r>
        <w:rPr>
          <w:rFonts w:ascii="Times New Roman" w:hAnsi="Times New Roman"/>
          <w:sz w:val="20"/>
          <w:u w:val="single"/>
        </w:rPr>
        <w:t>Exhibit E</w:t>
      </w:r>
      <w:r>
        <w:rPr>
          <w:rFonts w:ascii="Times New Roman" w:hAnsi="Times New Roman"/>
          <w:sz w:val="20"/>
        </w:rPr>
        <w:t xml:space="preserve"> attached hereto (collectively referred to as “</w:t>
      </w:r>
      <w:r>
        <w:rPr>
          <w:rFonts w:ascii="Times New Roman" w:hAnsi="Times New Roman"/>
          <w:sz w:val="20"/>
          <w:u w:val="single"/>
        </w:rPr>
        <w:t>Rent</w:t>
      </w:r>
      <w:r>
        <w:rPr>
          <w:rFonts w:ascii="Times New Roman" w:hAnsi="Times New Roman"/>
          <w:sz w:val="20"/>
        </w:rPr>
        <w:t>”). “Additional Rent” means all sums (exclusive of Base Rent) that Tenant is required to pay Landlord under this Lease. Tenant shall pay and be liable for all rental, sales and use taxes (but excluding income taxes, inheritance taxes, franchise taxes, capital levy, transfer taxes), if any, imposed upon or measured by Rent. Subject to the Free Base Rent Period, Base Rent and recurring monthly charges of Additional Rent shall be due and payable in advance on the first (1st) day of each calendar month without notice or demand. Notwithstanding anything to the contrary contained herein, unless otherwise expressly authorized by written notice from Landlord to Tenant, any and all payments for Base Rent, Additional Rent, and other charges, sums, fees, costs and/or expenses to be paid by Tenant shall be paid to Landlord through the electronic payment or electronic funds transfer system reasonably selected by Landlord (the “</w:t>
      </w:r>
      <w:r>
        <w:rPr>
          <w:rFonts w:ascii="Times New Roman" w:hAnsi="Times New Roman"/>
          <w:sz w:val="20"/>
          <w:u w:val="single"/>
        </w:rPr>
        <w:t>Electronic Payment System</w:t>
      </w:r>
      <w:r>
        <w:rPr>
          <w:rFonts w:ascii="Times New Roman" w:hAnsi="Times New Roman"/>
          <w:sz w:val="20"/>
        </w:rPr>
        <w:t xml:space="preserve">”). Landlord may, at any time and from time to time, reasonably change any such Electronic Payment System upon sixty (60) days prior written notice to Tenant. For the purposes of clarity and notwithstanding any such Landlord notice requirement in connection with the previous sentence, Tenant hereby agrees to timely pay to Landlord all Base Rent, Additional Rent, and other charges, sums, fees, costs and/or expenses in accordance with the terms and conditions of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2.5.2 Tenant waives all rights (i) to any abatement, suspension, deferment or reduction of or from Rent, and (ii) to quit, terminate or surrender this Lease or the Premises or any part thereof, except, in either case,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or abated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Times New Roman" w:hAnsi="Times New Roman"/>
          <w:sz w:val="20"/>
          <w:u w:val="single"/>
        </w:rPr>
        <w:t>Wesson v. Leone Enterprises, Inc.</w:t>
      </w:r>
      <w:r>
        <w:rPr>
          <w:rFonts w:ascii="Times New Roman" w:hAnsi="Times New Roman"/>
          <w:sz w:val="20"/>
        </w:rPr>
        <w:t xml:space="preserve">, 437 Mass. 708 (2002). Such acknowledgements, agreements and waivers by Tenant are a material inducement to Landlord entering into this Lease.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Operating Costs and Real Estate Taxes</w:t>
      </w:r>
      <w:r>
        <w:rPr>
          <w:rFonts w:ascii="Times New Roman" w:hAnsi="Times New Roman"/>
          <w:sz w:val="20"/>
        </w:rPr>
        <w:t xml:space="preserve">. In addition to Base Rent, Tenant shall pay Tenant’s Proportionate Share of Real Estate Taxes and Operating Costs with respect to the Building in accordance with </w:t>
      </w:r>
      <w:r>
        <w:rPr>
          <w:rFonts w:ascii="Times New Roman" w:hAnsi="Times New Roman"/>
          <w:sz w:val="20"/>
          <w:u w:val="single"/>
        </w:rPr>
        <w:t>Exhibit E</w:t>
      </w:r>
      <w:r>
        <w:rPr>
          <w:rFonts w:ascii="Times New Roman" w:hAnsi="Times New Roman"/>
          <w:sz w:val="20"/>
        </w:rPr>
        <w:t xml:space="preserve"> of this Lease. All of such charges, costs and expenses shall constitute Rent, and upon the failure of Tenant to pay any such costs, charges or expenses, Landlord shall have the same rights and remedies as otherwise provided in this Lease for the failure of Tenant to pay Rent.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Services and Utilities</w:t>
      </w:r>
      <w:r>
        <w:rPr>
          <w:rFonts w:ascii="Times New Roman" w:hAnsi="Times New Roman"/>
          <w:sz w:val="20"/>
        </w:rPr>
        <w:t xml:space="preserve">: Except as otherwise expressly set forth herein, Tenant will be responsible, at Tenant’s sole cost and expense, for the costs of all utilities provided to the Premises, including without limitation electricity, water, telephone, janitorial and Tenant’s Premises security services. Tenant shall be solely responsible for performing all janitorial and trash services and other cleaning of the Premises, all in compliance with Laws. In the event such service is provided by a third party janitorial service, and not by employees of Tenant, such service shall be provided by a janitorial service approved in advance by Landlord and Tenant (Landlord and Tenant shall mutually agree upon a list of approved vendors). The janitorial and cleaning of the Premises shall be adequate to maintain the Premises in a manner consistent with comparable buildings. Tenant shall cooperate fully with Landlord at all times and abide by all written regulations and requirements that Landlord may reasonably prescribe for the proper functioning and protection of the HVAC, electrical, mechanical and plumbing systems. Tenant shall pay for all water, gas, heat, light, power, telephone, internet service, cable television, other telecommunications and other utilities supplied to the Premises, together with any fees, surcharges and taxes thereon, whether part of Operating Costs or as provided under this Section. Landlord shall install direct meters for all utility services serving the Premises (except for water and sewer, which shall be or sub- or “check” metered based on water use, and Tenant’s cable, telephone, and internet service) for measuring Tenant’s consumption of such utility services, other than the HVAC system of the Building, and the cost of such installation shall be included in and deducted from the Maximum Amount (as hereinafter defined). Tenant shall pay all costs and expenses for any separately metered utilities provided exclusively to the Premises directly to the applicable service provider.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Utility charges for power, gas and water serving the HVAC system of the Building (which are measured by the control management system of the Building based on air volume provided to each tenant space) shall be check or sub-metered by Landlord and paid as part of Operating Costs (it being agreed that HVAC services shall be available 24 hours per day, 7 days per week). Landlord may install devices to separately, check or sub-meter any utility use within the Premises (or use other reasonable industry standard methods to reasonably estimate such use, where applicable) that is not metered in such a manner on the Commencement Date and in such event Tenant shall thereafter pay the cost directly to the applicable service provider, if separately metered, or to Landlord, if check or sub-metered. Additional Rent for any utilities that are not separately metered may be reasonably estimated monthly by Landlord, based on actual readings of sub- and “check” meters where applicable, and shall be paid monthly by Tenant within thirty (30) days after being billed, with a final accounting based upon actual bills received from the utility providers following the conclusion of each fiscal year of the Building. If Tenant uses water, electricity, heat or air conditioning in excess of that supplied by Landlord pursuant to this Section, Tenant shall pay to Landlord, within thirty (30) days after Tenant’s receipt of an invoice therefor, the actual cost of such excess consumption; and if Tenant does not cease such excessive usage promptly following written notice from Landlord, Landlord may install devices to separately meter any utility use (or use other reasonable industry standard methods to reasonably estimate such use) and in such event Tenant shall pay the cost directly to Landlord, within thirty (30) days after Tenant’s receipt of an invoice therefor, at the rates charged by the public utility company furnishing the same, including the cost of installing, testing and maintaining of such additional metering devices. Tenant’s use of electricity and any other utility serving the Premises shall never exceed the capacity of the feeders to the Property or the risers or otherwise in accordance with Law, it being hereby acknowledged and agreed by and between Landlord and Tenant that Tenant shall have a 225 amp 480V/3Phase circuit breaker for Tenant’s use with respect to electrical services for the Premises. For avoidance of doubt, and subject to all terms and conditions contained herein, all services and utilities described in this Section 2.7 shall be provided by Landlord to the Premises at all times during the Term. It is understood and agreed that Landlord shall not be liable for any interruption or failure in the supply of electricity or other utilities to the Premises, except as expressly set forth in Section 4.2 of this Lease.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Accounting Periods</w:t>
      </w:r>
      <w:r>
        <w:rPr>
          <w:rFonts w:ascii="Times New Roman" w:hAnsi="Times New Roman"/>
          <w:sz w:val="20"/>
        </w:rPr>
        <w:t xml:space="preserve">: Landlord shall have the right from time to time to change the periods of accounting under this Lease to any annual period other than a calendar or fiscal year, and upon any such change all items referred to in this Section 2.8 shall be appropriately apportioned (in no event shall this increase Tenant’s financial liability or decrease Tenant’s rights hereunder). In all Landlord’s statements rendered under this Section 2.8, amounts for periods partially within and partially without the accounting periods shall be appropriately apportioned, any items which are not determinable at the time of a Landlord’s Statement shall be included therein on the basis of Landlord’s estimate, and with respect thereto Landlord shall render promptly after determination of a supplemental Landlord’s statement, and appropriate adjustment shall be made according thereto.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Interest on Late Payments</w:t>
      </w:r>
      <w:r>
        <w:rPr>
          <w:rFonts w:ascii="Times New Roman" w:hAnsi="Times New Roman"/>
          <w:sz w:val="20"/>
        </w:rPr>
        <w:t xml:space="preserve">: Except as otherwise provided herein, all payments of Base Rent and Additional Rent shall be made payable to Landlord, at Landlord’s address, or to such other person as Landlord may from time to time designate. If any installment of Base Rent or Additional Rent is paid more than five (5) days after the due date thereof, the same, at Landlord’s election, shall bear interest at a rate equal to the United States prime commercial rate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established by Bank of America, N.A., or if such prime rate is unavailable, a major national bank, plus four percent (4%) per annum from such due date, not to exceed a total of twelve percent (12%) per annum, which interest shall be immediately due and payable as further Additional Rent. An administrative fee of Two Hundred and 00/100 Dollars ($200) shall also be paid by Tenant to Landlord for each monthly payment of Base Rent paid more than five (5) days after the same is due and payable.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CONDITION OF PREMISES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Condition of Premises</w:t>
      </w:r>
      <w:r>
        <w:rPr>
          <w:rFonts w:ascii="Times New Roman" w:hAnsi="Times New Roman"/>
          <w:sz w:val="20"/>
        </w:rPr>
        <w:t xml:space="preserve">. EXCEPT FOR THE LANDLORD’S WORK, THE PREMISES SHALL BE DELIVERED TO, AND ACCEPTED BY, TENANT IN ITS EXISTING “AS-IS” CONDITION AND LANDLORD SHALL HAVE NO OBLIGATION TO MAKE ANY IMPROVEMENTS THERETO. LANDLORD HEREBY DISCLAIMS ANY EXPRESS OR IMPLIED REPRESENTATION OR WARRANTY THAT THE PREMISES ARE SUITABLE FOR TENANT’S INTENDED PURPOSE OR USE, WHICH DISCLAIMER IS HEREBY ACKNOWLEDGED BY TENANT. THE TAKING OF POSSESSION BY TENANT SHALL BE CONCLUSIVE EVIDENCE THAT TENANT (A) ACCEPTS THE PREMISES, THE BUILDING AND LEASEHOLD IMPROVEMENTS AND THE PROPERTY AS SUITABLE FOR THE PURPOSES FOR WHICH THE PREMISES WERE LEASED, (B) ACCEPTS THE PREMISES, BUILDING AND PROPERTY AS BEING IN GOOD AND SATISFACTORY CONDITION, (C) WAIVES ANY DEFECTS IN THE PREMISES AND ITS APPURTENANCES EXISTING NOW OR IN THE FUTURE, EXCEPT THAT TENANT’S TAKING OF POSSESSION SHALL NOT BE DEEMED TO WAIVE LANDLORD’S OBLIGATION TO COMPLETE MINOR FINISH WORK ITEMS THAT DO NOT INTERFERE WITH TENANT’S OCCUPANCY OF THE PREMISES, AND (D) WAIVES ALL CLAIMS BASED ON ANY IMPLIED WARRANTY OF SUITABILITY OR HABITABILITY.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Tenant notifies Landlord in writing, with reasonable specificity and detail, of any latent defects in the Landlord’s Work, within one (1) year after the Substantial Completion of the Landlord’s Work, Landlord shall repair such defects within a commercially reasonable time period.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Landlord’s Work</w:t>
      </w:r>
      <w:r>
        <w:rPr>
          <w:rFonts w:ascii="Times New Roman" w:hAnsi="Times New Roman"/>
          <w:sz w:val="20"/>
        </w:rPr>
        <w:t>. Subject to delays due to Force Majeure and Tenant Delays, Landlord shall perform at Landlord’s sole cost and expense all of the work to the Premises described pursuant to a separate agreement (the “</w:t>
      </w:r>
      <w:r>
        <w:rPr>
          <w:rFonts w:ascii="Times New Roman" w:hAnsi="Times New Roman"/>
          <w:sz w:val="20"/>
          <w:u w:val="single"/>
        </w:rPr>
        <w:t>Work Letter</w:t>
      </w:r>
      <w:r>
        <w:rPr>
          <w:rFonts w:ascii="Times New Roman" w:hAnsi="Times New Roman"/>
          <w:sz w:val="20"/>
        </w:rPr>
        <w:t xml:space="preserve">”) attached hereto as </w:t>
      </w:r>
      <w:r>
        <w:rPr>
          <w:rFonts w:ascii="Times New Roman" w:hAnsi="Times New Roman"/>
          <w:sz w:val="20"/>
          <w:u w:val="single"/>
        </w:rPr>
        <w:t>Exhibit C</w:t>
      </w:r>
      <w:r>
        <w:rPr>
          <w:rFonts w:ascii="Times New Roman" w:hAnsi="Times New Roman"/>
          <w:sz w:val="20"/>
        </w:rPr>
        <w:t xml:space="preserve">, </w:t>
      </w:r>
      <w:r>
        <w:rPr>
          <w:rFonts w:ascii="Times New Roman" w:hAnsi="Times New Roman"/>
          <w:sz w:val="20"/>
          <w:u w:val="single"/>
        </w:rPr>
        <w:t>Exhibit C-1</w:t>
      </w:r>
      <w:r>
        <w:rPr>
          <w:rFonts w:ascii="Times New Roman" w:hAnsi="Times New Roman"/>
          <w:sz w:val="20"/>
        </w:rPr>
        <w:t xml:space="preserve">, and </w:t>
      </w:r>
      <w:r>
        <w:rPr>
          <w:rFonts w:ascii="Times New Roman" w:hAnsi="Times New Roman"/>
          <w:sz w:val="20"/>
          <w:u w:val="single"/>
        </w:rPr>
        <w:t>Exhibit C-2</w:t>
      </w:r>
      <w:r>
        <w:rPr>
          <w:rFonts w:ascii="Times New Roman" w:hAnsi="Times New Roman"/>
          <w:sz w:val="20"/>
        </w:rPr>
        <w:t xml:space="preserve"> (“</w:t>
      </w:r>
      <w:r>
        <w:rPr>
          <w:rFonts w:ascii="Times New Roman" w:hAnsi="Times New Roman"/>
          <w:sz w:val="20"/>
          <w:u w:val="single"/>
        </w:rPr>
        <w:t>Landlord’s Work</w:t>
      </w:r>
      <w:r>
        <w:rPr>
          <w:rFonts w:ascii="Times New Roman" w:hAnsi="Times New Roman"/>
          <w:sz w:val="20"/>
        </w:rPr>
        <w:t xml:space="preserve">”). The Landlord’s Work shall be deemed to be “Substantially Complete” on the date that all Landlord’s Work has been completed, other than any details of construction, mechanical adjustment or any other similar matter, the non-completion of which does not materially interfere with Tenant’s use of the Premises and which can be completed or remedied after Tenant takes possession of the Premises without causing material interference to Tenant’s use and occupancy of the Premises. Any increase in costs and expenses caused by changes to the description of Landlord’s Work as a result of any request by Tenant, subject to Landlord’s approval in Landlord’s reasonable discretion, shall be borne solely by Tenant, provided Landlord has advised Tenant of the increased cost and Tenant has approved such costs in writing in connection with Tenant’s request for such change order. Landlord shall advise Tenant of such costs within 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days after Tenant’s request for any such changes. Any such cost increase shall be due and payable by Tenant, as Additional Rent, within ten (10) days of Tenant’s receipt of Landlord’s invoice therefor. Tenant acknowledges and agrees that, with the exception of Landlord’s Work to the Premises, Tenant is accepting the Building and the Premises in their “as is” condition and Landlord shall not be obligated to construct any improvements on behalf of Tenant (though the parties acknowledge Landlord’s ongoing maintenance and repair obligations as expressly set forth in this Lease). It is specifically understood and agreed that, with the exception of Landlord’s Work, Landlord has no obligation and has made no promises to alter, remodel, improve, renovate, repair or decorate the Premises, the Building, or any part thereof, or to provide any allowance for such purposes, and that no representations respecting the condition of the Premises or the Building have been made by Landlord to Tenant, except as expressly set forth herein. Tenant acknowledges that neither Landlord nor any representative of Landlord has made any representation as to the condition or the suitability of the Property or Premises for Tenant’s intended use. Tenant represents and warrants that Tenant has made its own inspection of the Premises. All telephone and data wiring shall not be part of Landlord’s Work and shall be paid for and installed by Tenant.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Access</w:t>
      </w:r>
      <w:r>
        <w:rPr>
          <w:rFonts w:ascii="Times New Roman" w:hAnsi="Times New Roman"/>
          <w:sz w:val="20"/>
        </w:rPr>
        <w:t xml:space="preserve">. Subject to Laws, Landlord’s reasonable security measures, and the other provisions of this Lease (including, without limitation, the Rules and Regulations), and except in the event of an emergency, Tenant shall have access to the Building, the Premises and the Common Areas of the Building, twenty-four (24) hours per day, seven (7) days per week, every day of the year; provided, however, that Tenant shall only be permitted to have access to and use of the limited-access areas of the Building during the normal operating hours of such portions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Early Access</w:t>
      </w:r>
      <w:r>
        <w:rPr>
          <w:rFonts w:ascii="Times New Roman" w:hAnsi="Times New Roman"/>
          <w:sz w:val="20"/>
        </w:rPr>
        <w:t xml:space="preserve">: Thirty (30) days prior to the Commencement Date and with twenty-four (24) hours prior notice to Landlord, Tenant may enter the Premises under Landlord’s supervision during normal business hours for the purpose of installing tele-data, security and furniture systems. Such entry shall not interfere with the Landlord’s Work and Landlord reserves the right to restrict such access to avoid such interference, which interference may be deemed a Tenant Delay. Prior to any such entry in connection with such early access right, Tenant shall deliver to Landlord certificates of insurance in the amounts set forth herein, subject further to all such insurance provisions as contained herein. Tenant shall defend, indemnify and save harmless, Landlord and its agents and employees against and from all liabilities, obligations, damages, penalties, claims, costs, charges and expenses, including reasonable attorneys’ fees, which may be imposed upon or incurred by or asserted against Landlord and/or its agents by reason of Tenant’s early access to the Premises described in this Section 3.3.1.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Alterations and Additions</w:t>
      </w:r>
      <w:r>
        <w:rPr>
          <w:rFonts w:ascii="Times New Roman" w:hAnsi="Times New Roman"/>
          <w:sz w:val="20"/>
        </w:rPr>
        <w:t xml:space="preserve">: This Section 3.4 shall apply during the Term. Excepting the Landlord’s Work, Tenant shall not make any alterations or additions to the Premises or any Building systems except in accordance with plans and specifications first approved by Landlord in writing, which approval may be given or withheld for any reason, or for no reason. All alterations and additions shall be part of the Building unless and until Landlord shall specify the same for removal pursuant to Sections 5.2 and 8.19. All of Tenant’s alterations and additions and installation of furnishings shall be coordinated with any work being performed by or for Landlord and in such manner as to maintain harmonious labor relations and not to damage the Building or Lot or interfere with Building operation and, except for installation of furnishings, shall be performed by contractors or workmen first approved by Landlord, such approval not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unreasonably conditioned, withheld or delayed. Tenant, before its work is started shall: secure all licenses and permits necessary, deliver to Landlord a statement of the names of all its contractors and subcontractors; and cause each contractor to carry workmen’s compensation insurance in statutory amounts covering all the contractor’s and subcontractor’s employees (such insurance to include a waiver of subrogation in favor of Landlord and the Landlord Indemnitees) and comprehensive public liability insurance with such limits no less than as stated in Section 1.1 hereof (all such insurance to be written in companies in good standing and insuring Landlord and Tenant as well as the contractors) and to deliver to Landlord certificates of all such insurance. Tenant agrees to pay promptly when due the entire cost of any work done on the Premises by Tenant, its agents, employees, or independent contractors, and not to cause or permit mechanics’ or other liens to be placed upon the Property, Premises or Tenant’s leasehold interest in connection with any work or service done or purportedly done by or for the benefit of Tenant or its subtenants or transferees. Tenant shall give Landlord notice at least ten (10) days prior to the commencement of any work in the Premises to afford Landlord the opportunity, where applicable, to post and record notices of non-responsibility. Tenant, within ten (10) days of notice from Landlord, shall fully discharge any lien by settlement, by bonding or by insuring over the lien in the manner prescribed by the applicable lien Law and, if Tenant fails to do so, Tenant shall be deemed in Default under this Lease and, in addition to any other remedies available to Landlord as a result of such Default by Tenant, Landlord, at its option, may bond, insure over or otherwise discharge the lien. Tenant shall reimburse Landlord for any reasonable amount paid by Landlord, including, without limitation, reasonable attorneys’ fees. Tenant acknowledges and agrees that all such work or service is being performed for the sole benefit of Tenant and not for the benefit of Landlord. Tenant shall pay, as Additional Rent, 100% of any increases in Real Estate Taxes, on the Building, which shall, at any time after the commencement of the Term, result directly and proximately from any alteration, addition or improvement to the Premises made by Tenant (specifically excluding the Landlord’s Work); provided, however, that Tenant shall only be responsible for such payment in the event that any such project alterations, additions and/or improvements exceed Five Hundred Thousand and 00/100 Dollars ($500,000.00) in cost. Tenant shall reimburse Landlord for any reasonable sums paid by Landlord for third party examination of Tenant’s plans and specifications. In addition, Tenant shall pay Landlord a fee for Landlord’s oversight and coordination of any alterations or additions (excluding the Landlord’s Work, which fee with respect to the Landlord’s Work shall be paid by Tenant to Landlord pursuant to and in accordance with the terms and conditions set forth in </w:t>
      </w:r>
      <w:r>
        <w:rPr>
          <w:rFonts w:ascii="Times New Roman" w:hAnsi="Times New Roman"/>
          <w:sz w:val="20"/>
          <w:u w:val="single"/>
        </w:rPr>
        <w:t>Exhibit C</w:t>
      </w:r>
      <w:r>
        <w:rPr>
          <w:rFonts w:ascii="Times New Roman" w:hAnsi="Times New Roman"/>
          <w:sz w:val="20"/>
        </w:rPr>
        <w:t xml:space="preserve">) that equal or exceed Fifty Thousand and 00/100 Dollars in cost ($50,000.00) equal to (i) three percent (3%) of the cost of such alterations and additions in the event that Tenant manages such project, or (ii) five percent (5%) of the cost of such alterations and additions in the event that Landlord manages such project. Upon completion, Tenant shall furnish “as-built” plans for the alterations and additions, completion affidavits and full and final waivers of lien. Landlord’s approval of an alteration or addition shall not be deemed a representation by Landlord that the alteration or addition complies with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General Provisions Applicable to Construction</w:t>
      </w:r>
      <w:r>
        <w:rPr>
          <w:rFonts w:ascii="Times New Roman" w:hAnsi="Times New Roman"/>
          <w:sz w:val="20"/>
        </w:rPr>
        <w:t xml:space="preserve">: All construction work required or permitted by this Lease shall be done in a good and workmanlike manner, with materials comparable to the Building standard materials, and in compliance with all applicable laws and all lawful ordinances, regulations and orders of governmental authority and insurers of the Building. Each party may inspect the work of the other at reasonable times and shall promptly give notice of observed defects.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LANDLORD’S COVENANTS; INTERRUPTIONS AND DELAYS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Landlord’s Covenants</w:t>
      </w:r>
      <w:r>
        <w:rPr>
          <w:rFonts w:ascii="Times New Roman" w:hAnsi="Times New Roman"/>
          <w:sz w:val="20"/>
        </w:rPr>
        <w:t xml:space="preserve">: Landlord covenants: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Roof, Exterior Wall, Floor Slab and Common Facility Repairs</w:t>
      </w:r>
      <w:r>
        <w:rPr>
          <w:rFonts w:ascii="Times New Roman" w:hAnsi="Times New Roman"/>
          <w:sz w:val="20"/>
        </w:rPr>
        <w:t xml:space="preserve">: Except as otherwise provided in Article VI or otherwise herein, that Landlord shall be responsible to repair, maintain and replace in good order, repair and in first class office and laboratory condition the exterior walls, foundation and roof (including roof membrane) of the Building, the structural portions of the floors of the Building and the Common Areas, and the base building systems and equipment of the Building and Common Areas (to the extent not serving Tenant exclusively), except to the extent that such repairs are required due to the acts and/or omissions of Tenant; provided, however, that if such repairs are due to the acts and/or omissions of Tenant, Landlord shall nevertheless make such repairs at Tenant’s expense, or, if covered by Landlord’s insurance, Tenant shall only be obligated to pay any deductible in connection therewith up to $100,000.00. Subject to all terms and conditions contained herein, Landlord may, but shall not be required to, enter the Premises at all reasonable times and upon reasonable prior notice (i.e., upon twenty-four (24) hours prior notice, which notice may be made by Landlord via email) to make such repairs, alterations, improvements or additions to the Premises or to the Property or to any equipment located in the Property as Landlord shall desire or deem necessary or as Landlord may be required to do by governmental or quasi-governmental authority or court order or decree; provided, however, that Landlord shall use commercially reasonable efforts to not materially interfere with the conduct of Tenant’s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Quiet Enjoyment</w:t>
      </w:r>
      <w:r>
        <w:rPr>
          <w:rFonts w:ascii="Times New Roman" w:hAnsi="Times New Roman"/>
          <w:sz w:val="20"/>
        </w:rPr>
        <w:t xml:space="preserve">: That Tenant, on paying the rent and performing the Tenant’s obligations in this Lease, shall peacefully and quietly have, hold and enjoy the Premises, subject to all the terms and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Interruptions and Delays in Services and Repairs, Etc.</w:t>
      </w:r>
      <w:r>
        <w:rPr>
          <w:rFonts w:ascii="Times New Roman" w:hAnsi="Times New Roman"/>
          <w:sz w:val="20"/>
        </w:rPr>
        <w:t xml:space="preserve">: Except as otherwise contained in this Lease, Landlord shall not be liable to Tenant for any compensation or reduction of rent by reason of inconvenience or annoyance or for loss of business arising from the necessity of Landlord or its agents entering the Premises for any of the purposes in this Lease authorized, or for repairing the Premises or any portion of the Building however the necessity may occur. Except as otherwise contained herein, in case Landlord is prevented or delayed from making any repairs, alterations or improvements, or furnishing any services or performing any other covenant or duty to be performed on Landlord’s part, by reason of any cause reasonably beyond Landlord’s control, Landlord shall not be liable to Tenant therefor, nor, except as expressly otherwise provided in this Lease, shall Tenant be entitled to any abatement or reduction of rent by reason thereof, nor shall the same give rise to a claim in Tenant’s favor that such failure constitutes actual or constructive, total or partial, eviction from the Premises. </w:t>
      </w:r>
    </w:p>
    <w:p>
      <w:pPr>
        <w:pStyle w:val="TextBody"/>
        <w:bidi w:val="0"/>
        <w:spacing w:before="240" w:after="0"/>
        <w:jc w:val="left"/>
        <w:rPr>
          <w:rFonts w:ascii="Times New Roman" w:hAnsi="Times New Roman"/>
          <w:sz w:val="20"/>
        </w:rPr>
      </w:pPr>
      <w:r>
        <w:rPr>
          <w:rFonts w:ascii="Times New Roman" w:hAnsi="Times New Roman"/>
          <w:sz w:val="20"/>
        </w:rPr>
        <w:t xml:space="preserve">Landlord reserves the right to stop any service or utility system, when necessary by reason of accident or emergency, or until necessary repairs have been completed; provided, however, that in each instance of stoppage, Landlord shall exercise reasonable diligence to eliminate the cause thereof. Except in case of emergency repairs Landlord will give Tenant reasonably advance notice of any contemplated stoppage and will use reasonable efforts to avoid unnecessary inconvenience to Tenant by reason thereof. Landlord also reserves the right to institute such policies, programs and measures as may be reasonably necessary or required to comply with applicable codes, rules,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Lease, if the Premises, or a material portion of the Premises, are made unusable for the Permitted Use for a period in excess of five (5) consecutive days as a result of a service failure that is within the control of Landlord to correct and such interruption was caused by Landlord’s negligence or willful misconduct, and Tenant is unable to use the Premises or such material portion thereof for Tenant’s Permitted Use as a result of such interruption, then Tenant, as its sole remedy, shall be entitled to receive a day-for-day abatement of Base Rent payable hereunder for the period commencing on the sixth (6th) consecutive day of such untenantability and ending on the date on which such condition is remedied. In addition, and notwithstanding anything to the contrary contained in this Lease, if the Premises, or a material portion of the Premises, are made unusable for the Permitted Use for a period in excess of ten (10) consecutive days as a result of a service failure that is not within the control of Landlord to correct and such interruption was caused by Landlord’s negligence or willful misconduct, and Tenant is unable to use the Premises or such material portion thereof for Tenant’s Permitted Use as a result of such interruption, then Tenant, as its sole remedy, shall be entitled to receive a day-for-day abatement of Base Rent payable hereunder for the period commencing on the eleventh (11th) consecutive day of such untenantability and ending on the date on which such condition is remedied. If the entire Premises have not been rendered untenantable by the service failure, the amount of abatement shall be equitably pro-rated.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Landlord Provided Services</w:t>
      </w:r>
      <w:r>
        <w:rPr>
          <w:rFonts w:ascii="Times New Roman" w:hAnsi="Times New Roman"/>
          <w:sz w:val="20"/>
        </w:rPr>
        <w:t xml:space="preserve">. To provide the following services on all days (unless otherwise state below) during the Lease Term: </w:t>
      </w:r>
    </w:p>
    <w:p>
      <w:pPr>
        <w:pStyle w:val="TextBody"/>
        <w:bidi w:val="0"/>
        <w:spacing w:before="240" w:after="0"/>
        <w:jc w:val="left"/>
        <w:rPr>
          <w:rFonts w:ascii="Times New Roman" w:hAnsi="Times New Roman"/>
          <w:sz w:val="20"/>
        </w:rPr>
      </w:pPr>
      <w:r>
        <w:rPr>
          <w:rFonts w:ascii="Times New Roman" w:hAnsi="Times New Roman"/>
          <w:sz w:val="20"/>
        </w:rPr>
        <w:t>4.3.1 Subject to limitations imposed by all governmental rules, regulations and guidelines applicable thereto, Landlord shall provide heating, ventilation (including exhaust) and air conditioning (“</w:t>
      </w:r>
      <w:r>
        <w:rPr>
          <w:rFonts w:ascii="Times New Roman" w:hAnsi="Times New Roman"/>
          <w:sz w:val="20"/>
          <w:u w:val="single"/>
        </w:rPr>
        <w:t>HVAC</w:t>
      </w:r>
      <w:r>
        <w:rPr>
          <w:rFonts w:ascii="Times New Roman" w:hAnsi="Times New Roman"/>
          <w:sz w:val="20"/>
        </w:rPr>
        <w:t xml:space="preserve">”) to the Common Areas 24 hours per day sufficient for normal comfort in the Building Common Areas, and Landlord shall repair and maintain such HVAC at all times, subject to all terms and conditions contained in this Lease. </w:t>
      </w:r>
    </w:p>
    <w:p>
      <w:pPr>
        <w:pStyle w:val="TextBody"/>
        <w:bidi w:val="0"/>
        <w:spacing w:before="240" w:after="0"/>
        <w:jc w:val="left"/>
        <w:rPr>
          <w:rFonts w:ascii="Times New Roman" w:hAnsi="Times New Roman"/>
          <w:sz w:val="20"/>
        </w:rPr>
      </w:pPr>
      <w:r>
        <w:rPr>
          <w:rFonts w:ascii="Times New Roman" w:hAnsi="Times New Roman"/>
          <w:sz w:val="20"/>
        </w:rPr>
        <w:t xml:space="preserve">4.3.2 Subject to all terms and conditions contained in this Lease, and except as otherwise due to the acts or omissions of Tenant, Landlord shall provide, repair and maintain in good condition adequate electrical wiring and facilities for connection to Tenant’s office and laboratory lighting and equipment, provided that the connected electrical load of the equipment and the connected electrical load of Tenant’s lighting fixtures does not exceed Tenant’s Proportionate Share of the Building limits as of the date of the execution of this Lease. Tenant shall bear the cost of replacement of lamps, starters and ballasts for non-Building standard lighting fixtures within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4.3.3 Landlord shall provide city water from the regular Building outlets for drinking, lavatory and toilet purposes in the Premises and Building Common Areas. </w:t>
      </w:r>
    </w:p>
    <w:p>
      <w:pPr>
        <w:pStyle w:val="TextBody"/>
        <w:bidi w:val="0"/>
        <w:spacing w:before="240" w:after="0"/>
        <w:jc w:val="left"/>
        <w:rPr>
          <w:rFonts w:ascii="Times New Roman" w:hAnsi="Times New Roman"/>
          <w:sz w:val="20"/>
        </w:rPr>
      </w:pPr>
      <w:r>
        <w:rPr>
          <w:rFonts w:ascii="Times New Roman" w:hAnsi="Times New Roman"/>
          <w:sz w:val="20"/>
        </w:rPr>
        <w:t xml:space="preserve">4.3.4 Landlord shall provide a dumpster and/or trash compactor at the Building for use by Tenant and other tenants for ordinary office waste (and not for Materials) and janitorial, trash services and cleaning to Building Common Areas consistent with comparable buildings.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4.3.5 Landlord shall provide 24/7 passenger elevator service to all floors of the Building, and shall provide shared use of one (1) common loading dock, which shall be used by Tenant in accordance with Section 8.2.3 herein. </w:t>
      </w:r>
    </w:p>
    <w:p>
      <w:pPr>
        <w:pStyle w:val="TextBody"/>
        <w:bidi w:val="0"/>
        <w:spacing w:before="240" w:after="0"/>
        <w:jc w:val="left"/>
        <w:rPr>
          <w:rFonts w:ascii="Times New Roman" w:hAnsi="Times New Roman"/>
          <w:sz w:val="20"/>
        </w:rPr>
      </w:pPr>
      <w:r>
        <w:rPr>
          <w:rFonts w:ascii="Times New Roman" w:hAnsi="Times New Roman"/>
          <w:sz w:val="20"/>
        </w:rPr>
        <w:t xml:space="preserve">4.3.6 Landlord agrees to provide, repair and maintain utility connections to the Building and, where applicable, Common Areas, for electricity, water and sewer and gas.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TENANT’S COVENANTS </w:t>
      </w:r>
    </w:p>
    <w:p>
      <w:pPr>
        <w:pStyle w:val="TextBody"/>
        <w:bidi w:val="0"/>
        <w:spacing w:before="240" w:after="0"/>
        <w:jc w:val="left"/>
        <w:rPr>
          <w:rFonts w:ascii="Times New Roman" w:hAnsi="Times New Roman"/>
          <w:sz w:val="20"/>
        </w:rPr>
      </w:pPr>
      <w:r>
        <w:rPr>
          <w:rFonts w:ascii="Times New Roman" w:hAnsi="Times New Roman"/>
          <w:sz w:val="20"/>
        </w:rPr>
        <w:t xml:space="preserve">Tenant covenants during the Term and such further time as Tenant occupies any part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Payments</w:t>
      </w:r>
      <w:r>
        <w:rPr>
          <w:rFonts w:ascii="Times New Roman" w:hAnsi="Times New Roman"/>
          <w:sz w:val="20"/>
        </w:rPr>
        <w:t xml:space="preserve">: To pay when due all Base Rent and Additional Rent.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Repair and Yield Up</w:t>
      </w:r>
      <w:r>
        <w:rPr>
          <w:rFonts w:ascii="Times New Roman" w:hAnsi="Times New Roman"/>
          <w:sz w:val="20"/>
        </w:rPr>
        <w:t>: Except as otherwise expressly provided in Article VI and Section 4.1.1, and subject to the provisions of Sections 5.7.1 and 8.10 herein, to keep the Premises and all Building systems to the extent within the Premises in good order, repair and condition, reasonable wear and tear and damage by casualty only excepted, and all glass in windows (except glass in exterior walls unless the damage thereto is attributable to Tenant’s negligence or misuse and not otherwise covered by Landlord’s property insurance pursuant to Section 5.7 below) and doors of the Premises whole and in good condition with glass of the same quality as that injured or broken, damage by fire only excepted, and at the expiration or termination of this Lease peaceably yield up the Premises and all alterations and additions thereto in good order, repair and condition, reasonable wear and tear and damage by casualty excepted, unless removal of any such alterations and additions (including partitions) is previously agreed in writing by Landlord and Tenant, in which case all such alterations and additions shall be removed by Tenant, at Tenant’s sole cost and expense, and Tenant shall repair any damage caused by such removal and restore the Premises to the condition existing prior to installation of such alteration or addition, and leave the Premises clean and neat. Tenant further covenants to periodically inspect the Premises to identify any conditions that are dangerous or in need of maintenance or repair. Tenant shall promptly provide Landlord with notice of any such conditions. Except as otherwise expressly provided in Article VI and Section 4.1.1, and subject to the provisions of Sections 5.7.1 and 8.10 herein, Tenant, at its sole cost and expense, shall perform all maintenance and repairs to the Premises that are not Landlord’s express responsibility under this Lease, and keep the Premises in good condition and repair, reasonable wear and tear and damage by casualty excepted. If Tenant fails to make any repairs to the Premises for more than fifteen (15) days after written notice from Landlord (although notice shall not be required in an emergency), Landlord may make the repairs, and, within thirty (30) days after demand, Tenant shall pay the reasonable cost of the repairs, together with an administrative charge in an amount equal to five percent (5%) of the cost of the repairs. Without limitation, Tenant shall be responsible for electrical, plumbing, heating, ventilating and air-conditioning systems (“</w:t>
      </w:r>
      <w:r>
        <w:rPr>
          <w:rFonts w:ascii="Times New Roman" w:hAnsi="Times New Roman"/>
          <w:sz w:val="20"/>
          <w:u w:val="single"/>
        </w:rPr>
        <w:t>Tenant’s HVAC Equipment</w:t>
      </w:r>
      <w:r>
        <w:rPr>
          <w:rFonts w:ascii="Times New Roman" w:hAnsi="Times New Roman"/>
          <w:sz w:val="20"/>
        </w:rPr>
        <w:t xml:space="preserve">”) and other utility services serving the Premises from the Building connection point to the Premises (to the extent serving Tenant exclusively). Tenant shall maintain such systems in a commercially reasonable first-class condition and in accordance with any applicable manufacturer specifications relating to any particular component of such systems. Tenant shall secure, pay for, and keep in force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Service Contracts</w:t>
      </w:r>
      <w:r>
        <w:rPr>
          <w:rFonts w:ascii="Times New Roman" w:hAnsi="Times New Roman"/>
          <w:sz w:val="20"/>
        </w:rPr>
        <w:t>”) with qualified, experienced and reputable service companies reasonably approved by Landlord providing for the regular maintenance of such systems. Tenant shall maintain preventive maintenance records relating to the foregoing systems (“</w:t>
      </w:r>
      <w:r>
        <w:rPr>
          <w:rFonts w:ascii="Times New Roman" w:hAnsi="Times New Roman"/>
          <w:sz w:val="20"/>
          <w:u w:val="single"/>
        </w:rPr>
        <w:t>Preventative Maintenance Records</w:t>
      </w:r>
      <w:r>
        <w:rPr>
          <w:rFonts w:ascii="Times New Roman" w:hAnsi="Times New Roman"/>
          <w:sz w:val="20"/>
        </w:rPr>
        <w:t xml:space="preserve">”) in accordance with standards for first class office and research and development buildings. Tenant shall deliver a copy of all current Service Contracts to Landlord within ten (10) days after each such Service Contract is executed and shall deliver to Landlord a copy of the Preventative Maintenance Records no less often than quarterly or, if requested by Landlord, monthly.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Use</w:t>
      </w:r>
      <w:r>
        <w:rPr>
          <w:rFonts w:ascii="Times New Roman" w:hAnsi="Times New Roman"/>
          <w:sz w:val="20"/>
        </w:rPr>
        <w:t>: To use and occupy the Premises for the Permitted Use only, and not to injure or deface the Premises, Building or Lot, nor to permit in the Premises any auction sale, or inflammable fluids or chemicals, except as expressly authorized or permitted hereunder or by Landlord’s prior written consent with respect thereto, or nuisance, or the emission from the Premises of any objectionable noise or odor, nor to use or devote the Premises or any part thereof for any purpose other than the Permitted Use, nor any use thereof which is inconsistent with the maintenance of the Building as a first class mixed-use office and research and development and laboratory building, and otherwise in accordance with the Permitted Use, in the quality of its maintenance, use and occupancy, or which is improper, offensive, contrary to law or ordinance or liable to invalidate or increase the premiums for any insurance on the Building or its contents or liable to render necessary any alteration or addition to the Building. In addition to all other remedies of Landlord, Landlord may require Tenant, promptly upon demand, to reimburse Landlord for the full amount of any additional premiums charged for such policy or policies by reason of Tenant’s failure to comply with the provisions of this Lease, including, but not limited to, this Section 5.3. Tenant shall comply, at its sole cost and expense, with all statutes, codes, ordinances, orders, rules and regulations of any municipal or governmental entity whether in effect now or later (“</w:t>
      </w:r>
      <w:r>
        <w:rPr>
          <w:rFonts w:ascii="Times New Roman" w:hAnsi="Times New Roman"/>
          <w:sz w:val="20"/>
          <w:u w:val="single"/>
        </w:rPr>
        <w:t>Law(s)</w:t>
      </w:r>
      <w:r>
        <w:rPr>
          <w:rFonts w:ascii="Times New Roman" w:hAnsi="Times New Roman"/>
          <w:sz w:val="20"/>
        </w:rPr>
        <w:t>”) regarding the operation of Tenant’s business, the use, condition, configuration and occupancy of the Premises and the Building systems located in or exclusively serving the Premises, and any alterations, additions or improvements made by Tenant. In addition, Tenant shall, at its sole cost and expense, promptly comply with any Laws that relate to the “Base Building” (defined below), but only to the extent such obligations are triggered by Tenant’s particular use of the Premises, other than for the Permitted Use. Notwithstanding the foregoing or any other provision of this Lease, and for the purposes of clarity, Tenant shall not be responsible for compliance with any such Laws, regulations, or the like requiring structural repairs or modifications to the Building unless such repairs or modifications to the Building shall be due to (i) Tenant’s particular manner of use of the Premises and/or (ii) any alterations, additions or improvements made by Tenant. “</w:t>
      </w:r>
      <w:r>
        <w:rPr>
          <w:rFonts w:ascii="Times New Roman" w:hAnsi="Times New Roman"/>
          <w:sz w:val="20"/>
          <w:u w:val="single"/>
        </w:rPr>
        <w:t>Base Building</w:t>
      </w:r>
      <w:r>
        <w:rPr>
          <w:rFonts w:ascii="Times New Roman" w:hAnsi="Times New Roman"/>
          <w:sz w:val="20"/>
        </w:rPr>
        <w:t xml:space="preserve">” shall include the structural portions of the Building, the public restrooms and the Building mechanical, electrical and plumbing systems and equipment located in the internal core of the Building. Tenant shall promptly provide Landlord with copies of any notices it receives regarding an alleged violation of Law. Tenant shall not exceed the standard density limit for the Building. Tenant shall comply with the rules and regulations of the Building attached as </w:t>
      </w:r>
      <w:r>
        <w:rPr>
          <w:rFonts w:ascii="Times New Roman" w:hAnsi="Times New Roman"/>
          <w:sz w:val="20"/>
          <w:u w:val="single"/>
        </w:rPr>
        <w:t>Exhibit F</w:t>
      </w:r>
      <w:r>
        <w:rPr>
          <w:rFonts w:ascii="Times New Roman" w:hAnsi="Times New Roman"/>
          <w:sz w:val="20"/>
        </w:rPr>
        <w:t xml:space="preserve"> and such other reasonable rules and regulations adopted by Landlord from time to time, including rules and regulations for the performance of alterations and the rules and regulations for the Building.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Obstructions; Items Visible From Exterior; Rules and Regulations</w:t>
      </w:r>
      <w:r>
        <w:rPr>
          <w:rFonts w:ascii="Times New Roman" w:hAnsi="Times New Roman"/>
          <w:sz w:val="20"/>
        </w:rPr>
        <w:t xml:space="preserve">: Not to obstruct in any manner any portion of the Building not hereby leased or any portion thereof or of the Lot used by Tenant in common with others; not, without written prior consent of Landlord which consent may be withheld or delayed for any reason, or for no reason, to permit the painting or placing of any signs on doors or any signs, curtains, blinds, shades, awnings, aerials or flagpoles, or the like, visible from outside the Premises; and to comply with all reasonable Rules and Regulations now or hereafter made by Landlord, of which Tenant has been given advance written notice, in all instances for the care and use of the Building and Lot and their facilities and approaches, including without limitation the Rules and Regulations set forth in </w:t>
      </w:r>
      <w:r>
        <w:rPr>
          <w:rFonts w:ascii="Times New Roman" w:hAnsi="Times New Roman"/>
          <w:sz w:val="20"/>
          <w:u w:val="single"/>
        </w:rPr>
        <w:t>Exhibit F</w:t>
      </w:r>
      <w:r>
        <w:rPr>
          <w:rFonts w:ascii="Times New Roman" w:hAnsi="Times New Roman"/>
          <w:sz w:val="20"/>
        </w:rPr>
        <w:t xml:space="preserve"> hereto; Landlord shall not be liable to Tenant for the failure of other occupants of the Building to conform to such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Safety Appliances; Licenses</w:t>
      </w:r>
      <w:r>
        <w:rPr>
          <w:rFonts w:ascii="Times New Roman" w:hAnsi="Times New Roman"/>
          <w:sz w:val="20"/>
        </w:rPr>
        <w:t xml:space="preserve">: To keep the Premises equipped with all safety appliances required by law or ordinance or any other regulation of any public authority, and to procure all licenses and permits so required, it being understood that the foregoing provisions shall not be construed to broaden in any way Tenant’s Permitted Use.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Assignment; Sublease</w:t>
      </w:r>
      <w:r>
        <w:rPr>
          <w:rFonts w:ascii="Times New Roman" w:hAnsi="Times New Roman"/>
          <w:sz w:val="20"/>
        </w:rPr>
        <w:t>: Except in connection with a Permitted Transfer (defined below), Tenant covenants and agrees that it shall not assign, mortgage, pledge, hypothecate or otherwise transfer this Lease and/or Tenant’s interest in this Lease or sublet (which term, without limitation, shall include granting of concessions, licenses or the like) the whole or any part of the Premises (a “</w:t>
      </w:r>
      <w:r>
        <w:rPr>
          <w:rFonts w:ascii="Times New Roman" w:hAnsi="Times New Roman"/>
          <w:sz w:val="20"/>
          <w:u w:val="single"/>
        </w:rPr>
        <w:t>Proposed Transfer</w:t>
      </w:r>
      <w:r>
        <w:rPr>
          <w:rFonts w:ascii="Times New Roman" w:hAnsi="Times New Roman"/>
          <w:sz w:val="20"/>
        </w:rPr>
        <w:t xml:space="preserve">”) without Landlord’s prior written consent, which consent shall not be unreasonably withheld, conditioned or delayed, subject to the following provisions. Without limitation, it is agreed that Landlord’s consent shall not be considered unreasonably withheld, conditioned or delayed if the proposed transferee is a governmental entity or if the proposed transferee (i) is then actively negotiating with Landlord for space in any building owned by Landlord, or any person or entity which is affiliated with Landlord, in the Greater Boston area, or (ii) has negotiated with Landlord for space in the Building during the six (6) months period immediately preceding the date Landlord receives a Proposed Transfer Notice (as hereinafter defined). Any assignment, mortgage, pledge, hypothecation, transfer or subletting not expressly permitted in or consented to by Landlord by a signed writing shall be void, ab initio, shall be of no force and effect, and shall confer no rights on or in favor of third parties. In addition, Landlord shall be entitled to seek specific performance of or other equitable relief with respect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5.6.1 Any request for Landlord’s consent hereunder shall be accompanied by such information regarding any proposed assignee, subtenant or occupant (the “</w:t>
      </w:r>
      <w:r>
        <w:rPr>
          <w:rFonts w:ascii="Times New Roman" w:hAnsi="Times New Roman"/>
          <w:sz w:val="20"/>
          <w:u w:val="single"/>
        </w:rPr>
        <w:t>Transferee</w:t>
      </w:r>
      <w:r>
        <w:rPr>
          <w:rFonts w:ascii="Times New Roman" w:hAnsi="Times New Roman"/>
          <w:sz w:val="20"/>
        </w:rPr>
        <w:t>”) as Landlord shall reasonably require within thirty (30) days after notice of a Proposed Transfer. In the event Tenant desires to assign this Lease or sublet the whole or part of the Premises, Tenant shall give Landlord a notice (a “</w:t>
      </w:r>
      <w:r>
        <w:rPr>
          <w:rFonts w:ascii="Times New Roman" w:hAnsi="Times New Roman"/>
          <w:sz w:val="20"/>
          <w:u w:val="single"/>
        </w:rPr>
        <w:t>Proposed Transfer Notice</w:t>
      </w:r>
      <w:r>
        <w:rPr>
          <w:rFonts w:ascii="Times New Roman" w:hAnsi="Times New Roman"/>
          <w:sz w:val="20"/>
        </w:rPr>
        <w:t xml:space="preserve">”) of any Proposed Transfer, and said notice shall specify the provisions of the Proposed Transfer, including (a) the name and address of the proposed assignee or subtenant, (b) such information as to the proposed assignee’s or proposed subtenant’s net worth and financial capability and standing as may be reasonably required for Landlord to make a determination (provided, however, that Landlord shall hold such information confidential having the right to release same to its officers, accountants, attorneys and mortgage lenders on a confidential basis), (c) all the terms and provisions upon which the Proposed Transfer is to be made, including, without limitation, the proposed rent, and (d) such other information as may be reasonably required by Landlord to determine that such proposed assignment or subletting complies with the requirements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5.6.2 Within twenty (20) days after receipt of the required information and documentation, Landlord shall either by written notice to Tenant: (i) consent to the Transfer by execution of a consent agreement in a form designated by Landlord; (ii) refuse to consent to the Proposed Transfer in writing in the exercise of Landlord’s reasonable discretion; or (iii) recapture that portion of the Premises that Tenant is proposing to transfer if such transfer is (x) an assignment or (y) a sublease of fifty percent (50%) or more of the Premises. If Landlord exercises its right to recapture (or terminate if the entire Premises is being assigned or sublet), then (w) unless Tenant withdraws its request by written notice to Landlord within seven (7) days after Tenant’s receipt of Landlord’s written notice of the recapture (in which case Landlord’s recapture shall be null and void and the Lease shall continue in full force and effect), this Lease shall end and expire with respect to all or a portion of the Premises, as the case may be, on the date that such assignment or sublease was to commence, (x) Rent shall be apportioned, paid or refunded as of such date, (y) upon Landlord’s request, Tenant shall enter into an amendment of this Lease ratifying and confirming such total or partial termination, and setting forth any appropriate modifications to the terms and conditions of this Lease as a result thereof, and (z) Landlord may elect, in its discretion, to lease the Premises (or any part thereof) to Tenant’s prospective assignee or subtenant. </w:t>
      </w:r>
    </w:p>
    <w:p>
      <w:pPr>
        <w:pStyle w:val="TextBody"/>
        <w:bidi w:val="0"/>
        <w:spacing w:before="240" w:after="0"/>
        <w:jc w:val="left"/>
        <w:rPr>
          <w:rFonts w:ascii="Times New Roman" w:hAnsi="Times New Roman"/>
          <w:sz w:val="20"/>
        </w:rPr>
      </w:pPr>
      <w:r>
        <w:rPr>
          <w:rFonts w:ascii="Times New Roman" w:hAnsi="Times New Roman"/>
          <w:sz w:val="20"/>
        </w:rPr>
        <w:t>(a) If Landlord shall consent in writing to the Proposed Transfer, as the case may be, then, in such event, Tenant may thereafter sublease or assign pursuant to Tenant’s Proposed Transfer Notice, as given hereunder; provided, however, that if such assignment or sublease shall not be executed and delivered to Landlord within sixty (60) days after the date of Landlord’s consent, the consent shall be deemed null and void. Tenant may assign this Lease to a successor to Tenant by purchase, merger, consolidation or reorganization (an “</w:t>
      </w:r>
      <w:r>
        <w:rPr>
          <w:rFonts w:ascii="Times New Roman" w:hAnsi="Times New Roman"/>
          <w:sz w:val="20"/>
          <w:u w:val="single"/>
        </w:rPr>
        <w:t>Ownership Change</w:t>
      </w:r>
      <w:r>
        <w:rPr>
          <w:rFonts w:ascii="Times New Roman" w:hAnsi="Times New Roman"/>
          <w:sz w:val="20"/>
        </w:rPr>
        <w:t>”) or assign this Lease or sublet all (and only all) of the Premises to an Affiliate without the consent of Landlord, provided that all of the following conditions are satisfied (a “</w:t>
      </w:r>
      <w:r>
        <w:rPr>
          <w:rFonts w:ascii="Times New Roman" w:hAnsi="Times New Roman"/>
          <w:sz w:val="20"/>
          <w:u w:val="single"/>
        </w:rPr>
        <w:t>Permitted Transfer</w:t>
      </w:r>
      <w:r>
        <w:rPr>
          <w:rFonts w:ascii="Times New Roman" w:hAnsi="Times New Roman"/>
          <w:sz w:val="20"/>
        </w:rPr>
        <w:t>”): (a) there is no Event of Default, or event which with the giving of notice or the passage of time, or both, would constitute an Event of Default, at the time of the Permitted Transfer; (b) in the event of an Ownership Change, Tenant’s successor shall own substantially all of the assets of Tenant and have a net worth which is at least equal to Tenant’s net worth as of the day prior to the proposed Ownership Change; (c) the use is only for the Permitted Use; (d) all amounts received by Tenant for such assignment or subletting of the Premises qualify as “rents from real property” for purposes of Section 512(b)(3) and 856(d) of the Code, and (e) Tenant shall give Landlord written notice at least thirty (30) Business Days prior to the effective date of the Permitted Transfer. Tenant’s notice to Landlord shall include information and documentation evidencing the Permitted Transfer and showing that each of the above conditions has been satisfied. “</w:t>
      </w:r>
      <w:r>
        <w:rPr>
          <w:rFonts w:ascii="Times New Roman" w:hAnsi="Times New Roman"/>
          <w:sz w:val="20"/>
          <w:u w:val="single"/>
        </w:rPr>
        <w:t>Affiliate</w:t>
      </w:r>
      <w:r>
        <w:rPr>
          <w:rFonts w:ascii="Times New Roman" w:hAnsi="Times New Roman"/>
          <w:sz w:val="20"/>
        </w:rPr>
        <w:t xml:space="preserve">” shall mean an entity controlled by, controlling or under common control with Tenant (for such period of time as such entity continues to be controlled by, controlling or under common control with Tenant, it being agreed that the subsequent sale or transfer of stock resulting in a change in voting control, or any other transaction(s) having the overall effect that such entity ceases to be controlled by, controlling or under common control with Tenant, shall be treated as if such sale or transfer or transaction(s) were, for all purposes, an assignment of this Lease governed by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If for any assignment or sublease of the Premises Tenant shall receive rent or other consideration either initially or over the term of the assignment or sublease, in excess of the Base Rent and Additional Rent called for hereunder, Tenant shall pay to Landlord as Additional Rent, fifty percent (50%) of such excess of such payment of Rent or other consideration received by Tenant promptly after its receipt after Tenant’s deduction of all reasonable costs and expenses incurred in connection with such assignment or sublease; provided, however, that Tenant shall provide Landlord with copies of receipts or such other commercially reasonable documentation evidencing such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Tenant shall not sublease the Premises for an amount less than the lesser of (i) ninety percent (90%) of the Fair Market Rent and (ii) Tenant’s Base Rent for the period during which the proposed sublease would take place, unless there is no vacant space in the Building, or space coming available in the Building within one year, capable of delivering premises comparable in size and quality to the portion of the Premises proposed for sublease by the Tenant. </w:t>
      </w:r>
    </w:p>
    <w:p>
      <w:pPr>
        <w:pStyle w:val="TextBody"/>
        <w:bidi w:val="0"/>
        <w:spacing w:before="240" w:after="0"/>
        <w:jc w:val="left"/>
        <w:rPr>
          <w:rFonts w:ascii="Times New Roman" w:hAnsi="Times New Roman"/>
          <w:sz w:val="20"/>
        </w:rPr>
      </w:pPr>
      <w:r>
        <w:rPr>
          <w:rFonts w:ascii="Times New Roman" w:hAnsi="Times New Roman"/>
          <w:sz w:val="20"/>
        </w:rPr>
        <w:t xml:space="preserve">5.6.3 It shall be a condition precedent to the validity of any assignment that both Tenant and the assignee enter into a separate written instrument directly with Landlord in a form and containing terms and provisions reasonably required by Landlord, including, without limitation, the agreement of the assignee to be bound directly to Landlord for all the obligations of the Tenant hereunder, including, without limitation, the obligation to pay the rent and other amounts provided for under this Lease from and after the assignment. Such assignment or subletting shall not relieve the Tenant named herein of any of the obligations of the Tenant hereunder. Furthermore, it shall be a condition precedent to the validity of any sublease that both Tenant and the sub-lessee enter into a separate written instrument directly with Landlord in a form and containing terms and provisions reasonably required by Landlord, including without limitation, the obligation of any sub-lessee to adhere to any and all rules, regulations or other non-monetary covenants of Tenant exclusive of Tenant’s rent obligations which may differ from those set forth in the sublease. </w:t>
      </w:r>
    </w:p>
    <w:p>
      <w:pPr>
        <w:pStyle w:val="TextBody"/>
        <w:bidi w:val="0"/>
        <w:spacing w:before="240" w:after="0"/>
        <w:jc w:val="left"/>
        <w:rPr>
          <w:rFonts w:ascii="Times New Roman" w:hAnsi="Times New Roman"/>
          <w:sz w:val="20"/>
        </w:rPr>
      </w:pPr>
      <w:r>
        <w:rPr>
          <w:rFonts w:ascii="Times New Roman" w:hAnsi="Times New Roman"/>
          <w:sz w:val="20"/>
        </w:rPr>
        <w:t xml:space="preserve">5.6.4 As Additional Rent Tenant shall pay to Landlord as a fee for Landlord’s review of any proposed assignment or sublease requested by Tenant and the preparation of any associated documentation in connection therewith, within thirty (30) days after receipt of an invoice from Landlord, an amount equal to the sum of such reasonable out of pocket legal fees or other expenses incurred by Landlord in connection with such request, up to a maximum of Two Thousand and 00/100 Dollars ($2,000.00) per any such request. </w:t>
      </w:r>
    </w:p>
    <w:p>
      <w:pPr>
        <w:pStyle w:val="TextBody"/>
        <w:bidi w:val="0"/>
        <w:spacing w:before="240" w:after="0"/>
        <w:jc w:val="left"/>
        <w:rPr>
          <w:rFonts w:ascii="Times New Roman" w:hAnsi="Times New Roman"/>
          <w:sz w:val="20"/>
        </w:rPr>
      </w:pPr>
      <w:r>
        <w:rPr>
          <w:rFonts w:ascii="Times New Roman" w:hAnsi="Times New Roman"/>
          <w:sz w:val="20"/>
        </w:rPr>
        <w:t xml:space="preserve">5.6.5 If this Lease be assigned, or if the Premises or any part thereof be sublet or occupied by anyone other than Tenant, without the aforesaid Landlord approval, Landlord may after such default by Tenant and upon prior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this covenant, or a waiver of the provisions hereof, or the acceptance of the assignee, sublessee or occupant as a tenant or a release of Tenant from the further performance by Tenant of covenants on the part of Tenant herein contained, the Tenant herein named to remain primarily liable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5.6.6 The consent by Landlord to a Proposed Transfer under any of the provisions hereof shall in no way be construed to relieve Tenant from obtaining the express consent in writing of Landlord to any further assignment or subletting. </w:t>
      </w:r>
    </w:p>
    <w:p>
      <w:pPr>
        <w:pStyle w:val="TextBody"/>
        <w:bidi w:val="0"/>
        <w:spacing w:before="240" w:after="0"/>
        <w:jc w:val="left"/>
        <w:rPr>
          <w:rFonts w:ascii="Times New Roman" w:hAnsi="Times New Roman"/>
          <w:sz w:val="20"/>
        </w:rPr>
      </w:pPr>
      <w:r>
        <w:rPr>
          <w:rFonts w:ascii="Times New Roman" w:hAnsi="Times New Roman"/>
          <w:sz w:val="20"/>
        </w:rPr>
        <w:t xml:space="preserve">5.6.7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5.6.8 If this Lease terminates prior to the Expiration Date, then such sublease shall terminate and expire concurrent therewith; provided, however, if Landlord elects, in its sole and unfettered discretion, by express written notice to such Tenant or subsequent transferor, to recognize said sublease, then notwithstanding the termination of this Lease, the sublease shall remain in effect as a direct lease between Landlord and Tenant or subsequent transferor, and such Transferee shall attorn to Landlord pursuant to the then executory provisions of such sublease, except that Landlord shall not be (A) liable for any previous act or omission of Tenant under such sublease, (B) subject to any counterclaim, offset or defense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 (E) obligated to make any payment to or on behalf of such Transferee, or to perform any alterations or improvements in the sublet space or the Building, or in any way to prepare the subleased space for occupancy, beyond Landlord’s obligations under this Lease. The provisions of this Section shall be self-operative, and no further instrument shall be required to give effect to this provision, provided that the Transferee shall execute and deliver to Landlord any instruments Landlord may reasonably request to evidence and confirm such subordination and attornment. </w:t>
      </w:r>
    </w:p>
    <w:p>
      <w:pPr>
        <w:pStyle w:val="TextBody"/>
        <w:bidi w:val="0"/>
        <w:spacing w:before="240" w:after="0"/>
        <w:jc w:val="left"/>
        <w:rPr>
          <w:rFonts w:ascii="Times New Roman" w:hAnsi="Times New Roman"/>
          <w:sz w:val="20"/>
        </w:rPr>
      </w:pPr>
      <w:r>
        <w:rPr>
          <w:rFonts w:ascii="Times New Roman" w:hAnsi="Times New Roman"/>
          <w:sz w:val="20"/>
        </w:rPr>
        <w:t xml:space="preserve">5.6.9 Notwithstanding anything to the contrary contained in this Section, neither Tenant nor any other person having a right to possess, use, or occupy (for convenience, collectively referred to in this subsection as “Use”) the Premises shall enter into any lease, sublease, license, concession or other 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the Use of all or any part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Insurance;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5.7.1 </w:t>
      </w:r>
      <w:r>
        <w:rPr>
          <w:rFonts w:ascii="Times New Roman" w:hAnsi="Times New Roman"/>
          <w:sz w:val="20"/>
          <w:u w:val="single"/>
        </w:rPr>
        <w:t>Insurance</w:t>
      </w:r>
      <w:r>
        <w:rPr>
          <w:rFonts w:ascii="Times New Roman" w:hAnsi="Times New Roman"/>
          <w:sz w:val="20"/>
        </w:rPr>
        <w:t xml:space="preserve">. Tenant shall at its sole cost and expense take out and keep in force and effect during the Term and any extensions thereof, the following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(a) Commercial General Liability Insurance covering claims of bodily injury, personal injury and property damage arising out of Tenant’s operations, owned, hired and non-owned automobile liability and contractual liabilities, including coverage formerly known as broad form, on an occurrence basis, with minimum primary limits of $5,000,000 each occurrence and $5,000,000 annual aggregate (and not more than $25,000 self-insured retention) or such other limits as Landlord may reasonably require and which can be satisfied through the use of primary and/or umbrella liability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“All Risk” Property insurance covering (i) all Tenant’s Property (as hereinafter defined), and (ii) any leasehold improvements installed by Tenant, whether pursuant to this Lease or pursuant to any prior lease or other agreement to which Tenant was a party (“</w:t>
      </w:r>
      <w:r>
        <w:rPr>
          <w:rFonts w:ascii="Times New Roman" w:hAnsi="Times New Roman"/>
          <w:sz w:val="20"/>
          <w:u w:val="single"/>
        </w:rPr>
        <w:t>Tenant-Insured Improvements</w:t>
      </w:r>
      <w:r>
        <w:rPr>
          <w:rFonts w:ascii="Times New Roman" w:hAnsi="Times New Roman"/>
          <w:sz w:val="20"/>
        </w:rPr>
        <w:t xml:space="preserve">”). Such insurance shall be written on a special cause of loss form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coverage for a period of one (1) year plus Extra Expense insurance in such amounts as will reimburse Tenant for actual direct or indirect loss of earnings and continuing expenses, including rent, attributable to the risks outlined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(c) Worker’s Compensation and Employer’s Liability or other similar insurance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(d) Cyber Liability Insurance in the amount of $1,000,000.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Form of Policies</w:t>
      </w:r>
      <w:r>
        <w:rPr>
          <w:rFonts w:ascii="Times New Roman" w:hAnsi="Times New Roman"/>
          <w:sz w:val="20"/>
        </w:rPr>
        <w:t>. The minimum limits of insurance required to be carried by Tenant shall not limit Tenant’s liability. Such insurance shall (i) be issued by an insurance company that has an A.M. Best rating of not less than A-VIII; (ii) be in form and content reasonably acceptable to Landlord; (iii) provide that it shall not be canceled or materially changed without thirty (30) days’ prior notice to Landlord, except that ten (10) days’ prior notice may be given in the case of nonpayment of premiums; (iv) contain a waiver by the insurer of any rights of subrogation or indemnity or any other claim to which the insurer might otherwise be entitled against Landlord or the other Landlord Indemnitees (defined below), and (v) contain a cross liability clause. Tenant’s Commercial General Liability Insurance shall (a) add Landlord, Landlord’s managing agent, the other Landlord Indemnitees, and any other party designated by Landlord (“</w:t>
      </w:r>
      <w:r>
        <w:rPr>
          <w:rFonts w:ascii="Times New Roman" w:hAnsi="Times New Roman"/>
          <w:sz w:val="20"/>
          <w:u w:val="single"/>
        </w:rPr>
        <w:t>Additional Insured Parties</w:t>
      </w:r>
      <w:r>
        <w:rPr>
          <w:rFonts w:ascii="Times New Roman" w:hAnsi="Times New Roman"/>
          <w:sz w:val="20"/>
        </w:rPr>
        <w:t xml:space="preserve">”) as additional insureds; and (b) be primary insurance as to all claims thereunder and provide that any insurance carried by Landlord is excess and noncontributing with Tenant’s insurance. Landlord shall be designated as a loss payee with respect to Tenant’s Property insurance on any Tenant Insured Improvements. Tenant shall deliver to Landlord, on or before the Commencement Date and at least ten (10) days before the expiration dates thereof, certificates from Tenant’s insurance company on the forms currently designated “ACORD 28” (Evidence of Commercial Property Insurance) and “ACORD 25-S” (Certificate of Liability Insurance) or the equivalent. Attached to the ACORD 25-S (or equivalent) there shall be an endorsement specifically adding the names of the Additional Insured Parties as additional insureds which shall be binding on Tenant’s insurance company and shall expressly require the insurance company to notify each Additional Insured Party in writing at least thirty (30) days before any termination or material change to the policies, except that ten (10) days’ prior notice may be given in the case of nonpayment of premiums. </w:t>
      </w:r>
    </w:p>
    <w:p>
      <w:pPr>
        <w:pStyle w:val="TextBody"/>
        <w:bidi w:val="0"/>
        <w:spacing w:before="240" w:after="0"/>
        <w:jc w:val="left"/>
        <w:rPr>
          <w:rFonts w:ascii="Times New Roman" w:hAnsi="Times New Roman"/>
          <w:sz w:val="20"/>
        </w:rPr>
      </w:pPr>
      <w:r>
        <w:rPr>
          <w:rFonts w:ascii="Times New Roman" w:hAnsi="Times New Roman"/>
          <w:sz w:val="20"/>
        </w:rPr>
        <w:t xml:space="preserve">(f) Tenant shall maintain such increased amounts of the insurance required to be carried by Tenant under this Section, and such other types and amounts of insurance covering the Premises and Tenant’s operations therein, as may be reasonably requested by Landlord, but not in excess of the amounts and types of insurance then being required by landlords of buildings comparable to and in the vicinity of the Building.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Landlord’s Insurance</w:t>
      </w:r>
      <w:r>
        <w:rPr>
          <w:rFonts w:ascii="Times New Roman" w:hAnsi="Times New Roman"/>
          <w:sz w:val="20"/>
        </w:rPr>
        <w:t xml:space="preserve">. During the Term, Landlord shall carry commercial general liability insurance in an amount Landlord deems reasonably appropriate covering the Property. Landlord agrees to carry Special Causes of Loss property insurance covering the full replacement value of the Building and Property (but not covering Tenant’s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5.7.2 </w:t>
      </w:r>
      <w:r>
        <w:rPr>
          <w:rFonts w:ascii="Times New Roman" w:hAnsi="Times New Roman"/>
          <w:sz w:val="20"/>
          <w:u w:val="single"/>
        </w:rPr>
        <w:t>Indemnification and Liability</w:t>
      </w:r>
      <w:r>
        <w:rPr>
          <w:rFonts w:ascii="Times New Roman" w:hAnsi="Times New Roman"/>
          <w:sz w:val="20"/>
        </w:rPr>
        <w:t>. To the maximum extent such agreement may be made effective according to law, Tenant shall defend, indemnify and save harmless, Landlord and its affiliates and its and their respective lenders, members managers, partners, officers, directors, successors, assigns, representatives, agents and employees (the “</w:t>
      </w:r>
      <w:r>
        <w:rPr>
          <w:rFonts w:ascii="Times New Roman" w:hAnsi="Times New Roman"/>
          <w:sz w:val="20"/>
          <w:u w:val="single"/>
        </w:rPr>
        <w:t>Landlord Indemnitees</w:t>
      </w:r>
      <w:r>
        <w:rPr>
          <w:rFonts w:ascii="Times New Roman" w:hAnsi="Times New Roman"/>
          <w:sz w:val="20"/>
        </w:rPr>
        <w:t xml:space="preserve">”) against and from all liabilities, obligations, damages, penalties, claims, costs, charges and expenses, including reasonable architects’ and attorneys’ fees, which may be imposed upon or incurred by or asserted against Landlord, its employees and/or its agents by reason of any of the following occurring during the Term, or during any period of time prior to the Commencement Date that Tenant may have been given access to or possession of all or any part of the Premises arising out of (i) any work, or thing being done in on or about the Premises or the Building or any part thereof by or at the instance of Tenant, its agents, contractors, subcontractors, servants, employees, licensees or invitees, excepting only (i) Landlord’s initial construction and performance of the Landlord’s Work and (ii) those actions which are a result of the negligence or willful misconduct of Landlord, its agents, contractors, servants or employees; (ii) any negligence or otherwise wrongful act or omission on the part of Tenant or any of its agents, contractors, subcontractors, servants, employees, subtenants, licensees or invitees; (iii) any accident, injury or damage to any person or property occurring in, on or about the Premises, the Building or any part thereof or the Common Areas, if such injury in the Common Areas is alleged or claimed to be due to any act or omission of Tenant, excepting only those accidents, injuries or damages which result from the negligence or willful misconduct of Landlord, its agents, contractors, servants or employees; (iv) Tenant’s use of, or the existence of any of Tenant’s video camera equipment or monitors on the Premises, Building or Lot; and (v) any failure on the part of Tenant to perform or comply with any of the covenants, agreements, terms, provisions, conditions or limitations contained in this Lease on its part to be performed or complied with. In case any action or proceeding is brought against Landlord by reason of any such claim, Tenant upon written notice from Landlord shall at Tenant’s expense resist or defend such action or proceeding by counsel reasonably acceptable to Landlord. In the event of failure by Tenant to fully perform such defense in accordance with this Section, Landlord, at its option, and without relieving Tenant of its obligations hereunder, may so perform such defense, but all reasonable costs and expenses so incurred by Landlord in that event shall be reimbursed by Tenant to Landlord, together with interest on the same from the date any such expense was paid by Landlord until reimbursed by Tenant, at the rate of interest contained in Section 2.9. Tenant further covenants and agrees to indemnify, defend and hold all Landlord Indemnitees harmless from any and all mechanic’s and materialmen’s liens and/or claims of any contractors, subcontractors or materialmen claiming by, through or under Tenant with respect to any work performed, or labor, materials or supplies provided, in connection with any work performed by or on behalf of Tenant, its employees, agents or contractors, on or with respect to Premises other than Landlord’s initial construction and performance of the Landlord’s Work. This Section shall survive the expiration or termination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Except for the negligence or willful misconduct of Landlord, Tenant hereby waives all claims against and releases Landlord and the Landlord Indemnitees from all claims for any injury to or death of persons, damage to property or business loss in any manner related to (a) Force Majeure, (b) acts of third parties, (c) the bursting or leaking of any tank, water closet, drain or other pipe, or (d) the inadequacy or failure of any security or protective services, personnel or equipment. </w:t>
      </w:r>
    </w:p>
    <w:p>
      <w:pPr>
        <w:pStyle w:val="TextBody"/>
        <w:bidi w:val="0"/>
        <w:spacing w:before="240" w:after="0"/>
        <w:jc w:val="left"/>
        <w:rPr>
          <w:rFonts w:ascii="Times New Roman" w:hAnsi="Times New Roman"/>
          <w:sz w:val="20"/>
        </w:rPr>
      </w:pPr>
      <w:r>
        <w:rPr>
          <w:rFonts w:ascii="Times New Roman" w:hAnsi="Times New Roman"/>
          <w:sz w:val="20"/>
        </w:rPr>
        <w:t>(b) Subject to the waiver of subrogation and such other applicable waivers set forth herein, and except to the extent caused by the negligence or willful misconduct of the Tenant Indemnified Parties (as hereinafter defined), Landlord shall indemnify, defend and hold harmless Tenant and its Affiliates and its and their directors, officers, employees, agents, licensees, successors and assigns (the “</w:t>
      </w:r>
      <w:r>
        <w:rPr>
          <w:rFonts w:ascii="Times New Roman" w:hAnsi="Times New Roman"/>
          <w:sz w:val="20"/>
          <w:u w:val="single"/>
        </w:rPr>
        <w:t>Tenant Indemnified Parties</w:t>
      </w:r>
      <w:r>
        <w:rPr>
          <w:rFonts w:ascii="Times New Roman" w:hAnsi="Times New Roman"/>
          <w:sz w:val="20"/>
        </w:rPr>
        <w:t xml:space="preserve">”) from and against, any and all Losses, which any of the Tenant Indemnified Parties may incur to the extent relating to or arising out of (i) the negligence or willful misconduct of Landlord or Landlord’s agents or contractors within the Premises, (ii) an incident that occurs at the Property other than within the Premises and that results in personal injury or property damage, or (iii) Landlord’s failure to comply with the terms of this Lease beyond any applicable notice and cure period. The foregoing indemnity shall survive the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Tenant’s Risk</w:t>
      </w:r>
      <w:r>
        <w:rPr>
          <w:rFonts w:ascii="Times New Roman" w:hAnsi="Times New Roman"/>
          <w:sz w:val="20"/>
        </w:rPr>
        <w:t xml:space="preserve">: That all of the furnishings, fixtures, equipment, effects and property of every kind, nature and description of Tenant and of all persons claiming by, through or under Tenant which, during the continuance of this Lease or any occupancy of the Premises by Tenant or anyone claiming under Tenant may be on the Premises or elsewhere in the Building or on the Lot, shall be at the sole risk and hazard of Tenant, except as provided below, and if the whole or any part thereof shall be destroyed or damaged by fire, water or otherwise, or by the leakage or bursting of water pipes, steam pipes, or other pipes, by theft or from any other cause, no part of said loss or damage is to be charged to or be borne by Landlord except and solely to the extent that such loss occurs due to the negligence of willful misconduct of the Landlord, its employees and/or agents, contractors, managers, principals, or members.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Right of Entry</w:t>
      </w:r>
      <w:r>
        <w:rPr>
          <w:rFonts w:ascii="Times New Roman" w:hAnsi="Times New Roman"/>
          <w:sz w:val="20"/>
        </w:rPr>
        <w:t xml:space="preserve">: To permit Landlord and its agents: to examine the Premises (i) immediately in the event of an emergency or (ii) upon twenty-four (24) hour prior written notice for a non-emergency and, if Landlord shall so elect, to make any repairs or replacements Landlord may deem necessary, to remove, at Tenant’s expense, any alterations, additions, signs, curtains, blinds, shades, awnings, aerials, flagpoles, or the like not consented to in writing; and to show the Premises to prospective tenants during the twelve (12) months preceding expiration of the Term and to prospective purchasers and mortgagees at all reasonable times upon reasonable notice. Entry by Landlord shall not constitute a constructive eviction or entitle Tenant to an abatement or reduction of Rent. If Tenant shall not be present when for any reason entry into the Premises shall be necessary or permissible, Landlord or Landlord’s agents, representatives, contractors or employees may enter the same without rendering Landlord or such agents liable therefor if during such entry Landlord or Landlord’s agents shall accord reasonable care under the circumstances to Tenant’s property, and without in any manner affecting this Lease; provided, however, that Tenant may elect to have a representative accompany Landlord during any such access. Landlord shall exercise its rights under this Section so as to minimize any interference with Tenant’s business. Tenant shall, at all times during the Term, be responsible for ensuring that Landlord has any and all keys, cards, codes or other means necessary to access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Security</w:t>
      </w:r>
      <w:r>
        <w:rPr>
          <w:rFonts w:ascii="Times New Roman" w:hAnsi="Times New Roman"/>
          <w:sz w:val="20"/>
        </w:rPr>
        <w:t>: To comply with all such measures as Landlord may deem advisable in its reasonable discretion for the security of the Building and its occupants, including, without limitation, the evacuation of the Building for cause, suspected cause, or for drill purposes, the temporary denial of access to the Building, and the closing of the Building after regular working hours, (i.e. 8:00 a.m. to 6:00 p.m. on business week days) weekends and legal holidays (the “</w:t>
      </w:r>
      <w:r>
        <w:rPr>
          <w:rFonts w:ascii="Times New Roman" w:hAnsi="Times New Roman"/>
          <w:sz w:val="20"/>
          <w:u w:val="single"/>
        </w:rPr>
        <w:t>Building Service Hours</w:t>
      </w:r>
      <w:r>
        <w:rPr>
          <w:rFonts w:ascii="Times New Roman" w:hAnsi="Times New Roman"/>
          <w:sz w:val="20"/>
        </w:rPr>
        <w:t xml:space="preserve">”), subject, however, to Tenant’s right to admittance when the Building is closed after regular working hours by use of a secure card access system which is automatically activated outside of such regular working hours, or under such other regulations as Landlord may prescribe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Landlord shall be the sole determinant of the type and amount of any access control or courtesy guard services to be provided to the Building, if any. IN ALL EVENTS, LANDLORD SHALL NOT BE LIABLE TO TENANT, AND TENANT HEREBY WAIVES ANY CLAIM AGAINST LANDLORD, FOR (I) ANY UNAUTHORIZED OR CRIMINAL ENTRY OF THIRD PARTIES INTO THE PREMISES OR THE BUILDING, OR (II) ANY DAMAGE TO PERSONS OR ANY LOSS OF PROPERTY IN AND ABOUT THE PREMISES OR THE BUILDING, BY OR FROM ANY UNAUTHORIZED OR CRIMINAL ACTS OF THIRD PARTIES, REGARDLESS OF ANY ACTION, INACTION, FAILURE, BREAKDOWN, MALFUNCTION AND/OR INSUFFICIENCY OF THE ACCESS CONTROL OR COURTESY GUARD SERVICES PROVIDED BY LANDLORD.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Tenant may install, at its own expense, a security system for the Premises, provided, however, that (i) Tenant shall obtain Landlord’s prior written consent prior to such installation and (ii) Tenant shall provide Landlord with all means necessary to immediately enter the Premises 24 hours per day, 7 days per week.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Personal Property Taxes</w:t>
      </w:r>
      <w:r>
        <w:rPr>
          <w:rFonts w:ascii="Times New Roman" w:hAnsi="Times New Roman"/>
          <w:sz w:val="20"/>
        </w:rPr>
        <w:t xml:space="preserve">: To pay promptly when due all taxes which may be imposed upon personal property installed by Tenant (including, without limitation, fixtures and equipment) in the Premises to whomever assessed.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Payment of Litigation Expenses</w:t>
      </w:r>
      <w:r>
        <w:rPr>
          <w:rFonts w:ascii="Times New Roman" w:hAnsi="Times New Roman"/>
          <w:sz w:val="20"/>
        </w:rPr>
        <w:t xml:space="preserve">: As Additional Rent, to pay all reasonable costs, counsel and other fees incurred by Landlord in connection with the successful enforcement by Landlord of any obligations of Tenant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Tenant Holdover</w:t>
      </w:r>
      <w:r>
        <w:rPr>
          <w:rFonts w:ascii="Times New Roman" w:hAnsi="Times New Roman"/>
          <w:sz w:val="20"/>
        </w:rPr>
        <w:t xml:space="preserve">: To upon the expiration or earlier termination of the Term of this Lease, quit and surrender the Premises to Landlord in the condition described in this Lease. Any holding over by the Tenant after the expiration or earlier termination of the Lease Term shall be treated as a tenancy at sufferance, at the Rent set forth below, and otherwise on the terms and conditions of this Lease. For the period of such unauthorized occupancy, Tenant shall pay to Landlord (a) one hundred fifty percent (150%) of the total of the Base Rent and Additional Rent in effect during the last month of the Term of this Lease for the first month or portion thereof, and (b) two hundred percent (200%) of the total of the Base Rent and Additional Rent in effect during the last month of the Term of this Lease for any subsequent months in which Tenant shall retain possession of the Premises or any part thereof after the termination of this Lease, whether by lapse of time or otherwise. Tenant shall also pay all damages sustained by Landlord on account thereof. For the purposes of clarity, Tenant shall have no right to occupy all or any part of the Premises after the expiration or earlier termination of this Lease. The provisions of this subsection shall not operate as a waiver by Landlord on the right of re-entry provided in this Lease or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Hazardous Wastes</w:t>
      </w:r>
      <w:r>
        <w:rPr>
          <w:rFonts w:ascii="Times New Roman" w:hAnsi="Times New Roman"/>
          <w:sz w:val="20"/>
        </w:rPr>
        <w:t>. Not to use any portion of the Premises, Building or Lot for the use, generation, treatment, storage or disposal of “oil”, “hazardous material”, “hazardous waste”, or “hazardous substances” (collectively, the “</w:t>
      </w:r>
      <w:r>
        <w:rPr>
          <w:rFonts w:ascii="Times New Roman" w:hAnsi="Times New Roman"/>
          <w:sz w:val="20"/>
          <w:u w:val="single"/>
        </w:rPr>
        <w:t>Materials</w:t>
      </w:r>
      <w:r>
        <w:rPr>
          <w:rFonts w:ascii="Times New Roman" w:hAnsi="Times New Roman"/>
          <w:sz w:val="20"/>
        </w:rPr>
        <w:t xml:space="preserve">”), as such terms are defined under the Comprehensive Environmental Response, Compensation and Liability Act, 42 U.S.C. S9601 </w:t>
      </w:r>
      <w:r>
        <w:rPr>
          <w:rFonts w:ascii="Times New Roman" w:hAnsi="Times New Roman"/>
          <w:sz w:val="20"/>
          <w:u w:val="single"/>
        </w:rPr>
        <w:t>et seq</w:t>
      </w:r>
      <w:r>
        <w:rPr>
          <w:rFonts w:ascii="Times New Roman" w:hAnsi="Times New Roman"/>
          <w:sz w:val="20"/>
        </w:rPr>
        <w:t xml:space="preserve">., as amended, the Resource Conservation and Recovery act of 1976, 42 U.S.C. S6901 </w:t>
      </w:r>
      <w:r>
        <w:rPr>
          <w:rFonts w:ascii="Times New Roman" w:hAnsi="Times New Roman"/>
          <w:sz w:val="20"/>
          <w:u w:val="single"/>
        </w:rPr>
        <w:t>et seq</w:t>
      </w:r>
      <w:r>
        <w:rPr>
          <w:rFonts w:ascii="Times New Roman" w:hAnsi="Times New Roman"/>
          <w:sz w:val="20"/>
        </w:rPr>
        <w:t>., as amended, and the regulations promulgated thereunder, and all applicable state and local laws, rules and regulations, including, without limitation, Massachusetts General Laws, Chapters 21C and 21E (the “</w:t>
      </w:r>
      <w:r>
        <w:rPr>
          <w:rFonts w:ascii="Times New Roman" w:hAnsi="Times New Roman"/>
          <w:sz w:val="20"/>
          <w:u w:val="single"/>
        </w:rPr>
        <w:t>Superfund and Hazardous Waste Laws</w:t>
      </w:r>
      <w:r>
        <w:rPr>
          <w:rFonts w:ascii="Times New Roman" w:hAnsi="Times New Roman"/>
          <w:sz w:val="20"/>
        </w:rPr>
        <w:t>”), or remove any Materials from the Property without the express written prior consent of Landlord and, if required, its mortgagees, and then only to the extent that the presence or removal of the Materials is (i) properly licensed and approved by all appropriate governmental officials and in accordance with all applicable laws and regulations and (ii) in compliance with any terms and conditions stated in said prior written approvals by the Landlord or its mortgagees. Without limiting the generality of Tenant’s obligation to comply with Laws as otherwise provided in this Lease, Tenant shall, at its sole cost and expense, comply with all Laws in connection with this Section 5.14. Other than the wastewater discharge permit which has been obtained by Landlord and shall be maintained throughout the Term, Tenant shall obtain and maintain any and all necessary permits, licenses, certifications and approvals appropriate or required for the use, handling, storage, and disposal of any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Materials management plans and programs, any and all Materials risk management and pollution prevention programs, and any and all Materials emergency response and employee training programs respecting Tenant’s use of Materials. Upon request of Landlord, Tenant shall deliver to Landlord a narrative description explaining the nature and scope of Tenant’s activities involving Materials and showing to Landlord’s satisfaction compliance with all Laws and the terms of this Lease. As a material inducement to Landlord to enter into this Lease with Tenant, Tenant has fully and accurately completed Landlord’s Pre-Leasing Environmental Exposure Questionnaire (the “</w:t>
      </w:r>
      <w:r>
        <w:rPr>
          <w:rFonts w:ascii="Times New Roman" w:hAnsi="Times New Roman"/>
          <w:sz w:val="20"/>
          <w:u w:val="single"/>
        </w:rPr>
        <w:t>Environmental Questionnaire</w:t>
      </w:r>
      <w:r>
        <w:rPr>
          <w:rFonts w:ascii="Times New Roman" w:hAnsi="Times New Roman"/>
          <w:sz w:val="20"/>
        </w:rPr>
        <w:t xml:space="preserve">”), which is attached hereto as </w:t>
      </w:r>
      <w:r>
        <w:rPr>
          <w:rFonts w:ascii="Times New Roman" w:hAnsi="Times New Roman"/>
          <w:sz w:val="20"/>
          <w:u w:val="single"/>
        </w:rPr>
        <w:t>Exhibit G</w:t>
      </w:r>
      <w:r>
        <w:rPr>
          <w:rFonts w:ascii="Times New Roman" w:hAnsi="Times New Roman"/>
          <w:sz w:val="20"/>
        </w:rPr>
        <w:t>. Tenant shall promptly provide Landlord with copies of all notices received by it, including, without limitation, any notice of violations, notice of responsibility or demand for action from any federal state or local authority or official in connection with the presence of Materials in or about the Property or removal of Materials from the Property. In the event of any release of Materials by Tenant, its employees, agents, contractors or invitees, as defined in the Superfund and Hazardous Laws, Tenant shall to the extent required by Laws promptly remedy the problem in accordance with all applicable laws and requirements and shall indemnify and hold the Landlord harmless from and against all loss, costs, liability and damage, including attorneys’ fees and the cost of litigation, arising from the presence or release of any Materials by Tenant, its employees, agents, contractors or invitees, in or on the Premises or removal of Materials released by Tenant, its employees, agents, contractors or invitees, from the Property. In addition to the foregoing and notwithstanding anything to the contrary contained herein, if any written report prepared by a qualified environmental consultant, including any report containing results of any environmental assessment (an “</w:t>
      </w:r>
      <w:r>
        <w:rPr>
          <w:rFonts w:ascii="Times New Roman" w:hAnsi="Times New Roman"/>
          <w:sz w:val="20"/>
          <w:u w:val="single"/>
        </w:rPr>
        <w:t>Environmental Report</w:t>
      </w:r>
      <w:r>
        <w:rPr>
          <w:rFonts w:ascii="Times New Roman" w:hAnsi="Times New Roman"/>
          <w:sz w:val="20"/>
        </w:rPr>
        <w:t xml:space="preserve">”) shall indicate (i) the presence of any Materials as to which Tenant has a removal or remediation obligation under this Section, and (ii) that as a result of same, the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characterization, monitoring, assessment, repair, closure, remediation, removal, or other clean-up (the “</w:t>
      </w:r>
      <w:r>
        <w:rPr>
          <w:rFonts w:ascii="Times New Roman" w:hAnsi="Times New Roman"/>
          <w:sz w:val="20"/>
          <w:u w:val="single"/>
        </w:rPr>
        <w:t>Clean-up</w:t>
      </w:r>
      <w:r>
        <w:rPr>
          <w:rFonts w:ascii="Times New Roman" w:hAnsi="Times New Roman"/>
          <w:sz w:val="20"/>
        </w:rPr>
        <w:t>”) of any Materials is required of Tenant,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of any rights and remedies of Landlord under this Lease, immediately implement such plan with a consultant reasonably acceptable to Landlord and proceed to Clean-up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30-day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thirty (30) days after receipt of written demand therefor. Tenant shall continue to pay all Rent due or accruing under this Lease during any Cleanup, and shall not be entitled to any reduction, offset or deferral of any Base Rent or Additional Rent due or accruing under this Lease during any such Clean-up. Tenant shall complete any Cleanup prior to surrender of the Premises upon the expiration or earlier termination of this Lease, and shall fully comply with all Laws and requirements of any governmental authority with respect to such completion, including, without limitation, fully comply with any requirement to file a risk assessment, mitigation plan or other information with any such governmental authority in conjunction with the Clean-up prior to such surrender. Tenant shall obtain and deliver to Landlord a letter or other written determination required by the overseeing governmental authority, if any,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sz w:val="20"/>
          <w:u w:val="single"/>
        </w:rPr>
        <w:t>Closure Letter</w:t>
      </w:r>
      <w:r>
        <w:rPr>
          <w:rFonts w:ascii="Times New Roman" w:hAnsi="Times New Roman"/>
          <w:sz w:val="20"/>
        </w:rPr>
        <w:t xml:space="preserve">”), but only to the extent that such Closure Letter is typically issued by the applicable governmental entity; provided, however, that if such applicable governmental entity does not typically issue such Closure Letter, then Tenant shall use commercially reasonable and diligent efforts to obtain and deliver to Landlord such Closure Letter. Upon the expiration or earlier termination of this Lease, Tenant shall also be obligated to close all permits obtained in connection with Materials in accordance with Laws. Should any Clean-up for which Tenant is responsible not be completed, or should Tenant not receive the Closure Letter, if applicable, and any governmental approvals required under Laws in conjunction with such Cleanup prior to the expiration or earlier termination of this Lease, and Tenant’s failure to receive the Closure Letter is prohibiting Landlord from leasing the Premises or any part thereof to a third party, or prevents the occupancy or use of the Premises or any part thereof by a third party, then Tenant shall be liable to Landlord as a holdover tenant until such prohibition or restrictions on Landlord reletting the Premises or prevention of the occupancy or use of the Premises or any part thereof by a third party are/is lifted. The foregoing shall not prohibit Tenant from possessing minimal and customary quantities of those cleaning materials used for the operation of Tenant’s equipment in the Premises. Tenant agrees to indemnify, defend and hold Landlord and each Landlord Indemnitee harmless for, from and against any and all claims, actions, administrative proceedings (including informal proceedings), judgments, damages, punitive damages, penalties, fines, costs, liabilities, interest or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reasonable attorneys’ fees and expenses, court costs, consultant fees, and expert fees, together with all other costs and expenses of any kind or nature that arise during or after the Lease Term indirectly or directly arising out of or resulting from the presence, suspected presence, transportation, generation, disposal or release of any Hazardous Material at, on, about, from, under or within the Premises, or any portion thereof by Tenant. Each of the covenants and agreements of Tenant set forth in this Section shall survive the expiration or earlier termination of this Lease. Landlord represents and warrants to Tenant that, to the best of Landlord’s knowledge and as of the date of the execution of this Lease, the Premises, the Building and the Lot comply with all Laws and there are no Materials in the Building or on the Property which are required to be removed or otherwise abated in accordance with applicable Laws. Except as to any Materials introduced to or generated at the Premises by Tenant or Tenant Parties in violation of any Superfund and Hazardous Waste Law, this Section will not be applicable to Tenant or the Tenant Parties with respect to, and neither Tenant nor the Tenant Parties will have any responsibility or liability whatsoever for, resulting from, or in any way related to: (a) any Materials at, in, on, under, emanating from or in connection with the Premises prior to Tenant’s occupation thereof, unless otherwise caused by Tenant; or any regulated condition at, on or under the Property, including but not limited to wetlands; (b) the investigation, remediation, cleanup, closure, and/or removal of any sumps, drains, above or under-ground tanks, pipes or other structures or devices existing at the Property (other than those installed by or for Tenant under the Lease) which contained, handled, or were otherwise used in connection with Materials; (c) the acts or omissions of Landlord or any other tenant or subtenant, or its or any of their respective agents, employees, invitees, contractors or subcontractors; (d) any permits, licenses, authorizations, or approvals, except for those which Tenant or any of the Tenant Parties must by law obtain in its or their own name for their use of the Premises; or (e) de minimis losses of oil, petroleum, or other substances contained in (but not transported by) vehicles which enter the Property or any roads, parking areas, or other areas used in connection therewith. Landlord will indemnify and hold harmless Tenant and the Tenant Parties from and against any and all loss, costs, expenses, damages, liability, claims and demands arising, resulting from or connected with any matters covered in clauses (a), (b), (c), and (d) above (except to the extent such loss, costs, expenses, damages, liability, claims and demands are caused by Tenant or the Tenant Parties). </w:t>
      </w:r>
    </w:p>
    <w:p>
      <w:pPr>
        <w:pStyle w:val="TextBody"/>
        <w:bidi w:val="0"/>
        <w:spacing w:before="240" w:after="0"/>
        <w:jc w:val="left"/>
        <w:rPr>
          <w:rFonts w:ascii="Times New Roman" w:hAnsi="Times New Roman"/>
          <w:sz w:val="20"/>
        </w:rPr>
      </w:pPr>
      <w:r>
        <w:rPr>
          <w:rFonts w:ascii="Times New Roman" w:hAnsi="Times New Roman"/>
          <w:sz w:val="20"/>
        </w:rPr>
        <w:t>Prior to the expiration of the Lease (or within thirty (30) days after any earlier termination),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Materials due to Tenant’s use or occupancy of the Premises, and shall otherwise clean the Premises so as to permit the Environmental Assessment called for by this Section to be issued. Prior to the expiration of this Lease (or within thirty (30) days after any earlier termination), Tenant, at Tenant’s expense, shall obtain for Landlord a report (an “</w:t>
      </w:r>
      <w:r>
        <w:rPr>
          <w:rFonts w:ascii="Times New Roman" w:hAnsi="Times New Roman"/>
          <w:sz w:val="20"/>
          <w:u w:val="single"/>
        </w:rPr>
        <w:t>Environmental Assessment</w:t>
      </w:r>
      <w:r>
        <w:rPr>
          <w:rFonts w:ascii="Times New Roman" w:hAnsi="Times New Roman"/>
          <w:sz w:val="20"/>
        </w:rPr>
        <w:t xml:space="preserve">”) addressed to Landlord (and, at Tenant’s election, Tenant) by a reputable licensed environmental engineer or industrial hygienist that is designated by Tenant and acceptable to Landlord in Landlord’s reasonable discretion, which report shall be based on the environmental engineer’s inspection of the Premises and shall state, to Landlord’s reasonable satisfaction, that (a) all Materials released, generated, or the like by Tenant, if any, existing prior to such decommissioning, have been removed in accordance with Laws; (b) all Materials released, generated, or the like by Tenant, if any, have been removed in accordance with Laws from the interior surfaces of the Premises (including floors, walls, ceilings, and counters), piping, supply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lines, waste lines and plumbing, and all such exhaust or other ductwork in the Premises, may be reused by a subsequent tenant or disposed of in compliance with Laws without incurring special costs or undertaking special procedures for demolition, disposal, investigation, assessment, cleaning or removal of such Materials and without giving notice in connection with such Materials; and (c) the Premises may be reoccupied for office, research and development, and/or laboratory uses, demolished or renovated without incurring special costs or undertaking special procedures for disposal, investigation, assessment, cleaning or removal of Materials released, generated or the like by Tenant and without giving notice in connection with Materials released, generated or the like by Tenant. Further, for purposes of clauses (b) and (c), “special costs” or “special procedures” shall mean costs or procedures, as the case may be, that would not be incurred but for the nature of the Materials as Hazardous Materials instead of non-hazardous materials. The report shall also include reasonable detail concerning the clean-up measures taken, the clean-up locations, the tests run and the analytic results. Tenant shall submit to Landlord the identity of the applicable consultants and the scope of the proposed Environmental Assessment for Landlord’s reasonable review and approval at least twenty (20) days prior to commencing the work described therein or at least twenty (20) days prior to the expiration of the Lease Term, whichever is earlier. If Tenant fails to perform its obligations under this Section, without limiting any other right or remedy, Landlord may, on five (5) Business Days’ prior written notice to Tenant perform such obligations at Tenant’s expense if Tenant has not commenced to do so within said five (5) Business Day period, and Tenant shall within thirty (30) days of written demand reimburse Landlord for all reasonable out-of-pocket costs and expenses incurred by Landlord in connection with such work. Tenant’s obligations under this Section shall survive the expiration or earlier termination of this Lease. In addition, at Landlord’s election, Landlord may inspect the Premises and/or the Property for Materials at Landlord’s cost and expense within sixty (60) days of Tenant’s surrender of the Premises at the expiration or earlier termination of this Lease. Tenant shall pay for all such costs and expenses incurred by Landlord in connection with such inspection if such inspection reveals that a release or threat of release of Materials exists at the Property or Premises as a result of the acts or omissions of Tenant, its officers, employees, contractors, and agents.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Tenant’s Financial Condition</w:t>
      </w:r>
      <w:r>
        <w:rPr>
          <w:rFonts w:ascii="Times New Roman" w:hAnsi="Times New Roman"/>
          <w:sz w:val="20"/>
        </w:rPr>
        <w:t xml:space="preserve">. During the term of this Lease, (i) within ninety (90) days following the end of each Tenant fiscal year and (ii) within ten (10) Business Days after request by Landlord, Tenant shall, upon the signing of a commercially reasonable confidentiality agreement between the parties, deliver to Landlord Tenant’s financial statements (which shall be for the latest available year). Landlord shall keep all such information confidential and shall require any third party to whom the Landlord is entitled hereunder to furnish the same to maintain such confidentiality. Such financial statements or credit information may be delivered to Landlord’s mortgagees and lenders and prospective mortgagees, lenders, and purchasers, provided that such parties shall be subject to the confidentiality provisions of this Section. Tenant represents and warrants to Landlord that each such financial statement shall be true and accurate in all material respects as of the date of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CASUALTY AND EMINENT DOMAIN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Casualty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Termination or Restoration by Landlord</w:t>
      </w:r>
      <w:r>
        <w:rPr>
          <w:rFonts w:ascii="Times New Roman" w:hAnsi="Times New Roman"/>
          <w:sz w:val="20"/>
        </w:rPr>
        <w:t xml:space="preserve">. Should twenty percent (20%) or greater of the Premises be materially damaged, or if the Building of which the Premises are a part, be substantially damaged by fire or other casualty, Landlord may, at its sole discretion, elect to either (i) terminate this Lease or (ii) restore the Premises, in accordance with the terms of this Section 6.1. If Landlord does not elect to terminate this Lease in accordance with the immediately preceding sentence, Landlord shall proceed to restore the Premises to substantially the condition they were in prior to such damage (except for any improvements made by Tenant), subject in all events to the availability and limits of Landlord’s insurance. Landlord shall provide its estimate of such restoration period for the Premises and Building to Tenant within sixty (60) days after the occurrence of the casualty. If Landlord estimates that the Premises or any Common Area necessary to provide access to the Premises cannot be made tenantable within two hundred ten (210) days from the date the repair is started, then either party shall have the right to terminate this Lease upon written notice to the other within thirty (30) days after Landlord’s assessment. Tenant, however, shall not have the right to terminate this Lease if the casualty was caused by the intentional misconduct of Tenant, or its trustees, managers, members, principals, beneficiaries, partners, officers, directors, employees and agents In addition, Landlord by notice to Tenant within ninety (90) days after the date of the casualty, shall have the right to terminate this Lease if: (1) the Premises have been materially damaged and there is less than two (2) years of the Term remaining on the date of the casualty; (2) any mortgagee requires that the insurance proceeds be applied to the payment of the mortgage debt; or (3) a material uninsured loss to the Building or Premises occurs. Tenant may terminate this Lease if (i) the damage to the Premises occurs during the last twelve (12) months of the Term, and, as a result of such damage, Tenant cannot reasonably conduct business from the Premises for a period of at least one-half (1/2) of the then-remaining term or (ii) Landlord fails to restore the Premises and/or Building in accordance with the terms of this Lease within two hundred forty (240) days from the date the repair is started.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Insurance Proceeds</w:t>
      </w:r>
      <w:r>
        <w:rPr>
          <w:rFonts w:ascii="Times New Roman" w:hAnsi="Times New Roman"/>
          <w:sz w:val="20"/>
        </w:rPr>
        <w:t xml:space="preserve">. Unless Landlord or Tenant terminates this Lease or Landlord’s lender or mortgage holder requires otherwise, Landlord shall apply all insurance proceeds received by Landlord as the result of the casualty to restoration of the Premises. Notwithstanding anything to the contrary contained herein, in the event of a casualty in which Landlord’s lender or mortgage holder does not allow insurance proceeds to be so applied, Landlord or Tenant shall have the option to terminate this Lease and shall notify the other within thirty (30) days after notice of such lender’s or holder’s l as to whether Landlord will fund the restoration or terminate the Lease.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Eminent Domain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6.2.1 </w:t>
      </w:r>
      <w:r>
        <w:rPr>
          <w:rFonts w:ascii="Times New Roman" w:hAnsi="Times New Roman"/>
          <w:sz w:val="20"/>
          <w:u w:val="single"/>
        </w:rPr>
        <w:t>Taking</w:t>
      </w:r>
      <w:r>
        <w:rPr>
          <w:rFonts w:ascii="Times New Roman" w:hAnsi="Times New Roman"/>
          <w:sz w:val="20"/>
        </w:rPr>
        <w:t xml:space="preserve">. If the whole or any material part of the Lot, the Building or the Premises shall be acquired or condemned for any public or quasi-public use or purpose, this Lease and the Term shall end as of the date of the vesting of title with the same effect as if said date were the Expiration Date. Landlord shall also have the right to terminate this Lease if there is a Taking of any portion of the Building or Property which would have a material adverse effect on Landlord’s ability to profitably operate the remainder of the Building. If only a part of the Building and not the entire Premises shall be so acquired or condemned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Except as hereinafter provided, this Lease and the Term shall continue in force and effect, but, if a part of the Premises is included in the part of the Lot so acquired or condemned, from and after the date of the vesting of title, the Base Rent and the floor area of the Premises shall be reduced in the proportion which the area of the part of the Premises so acquired or condemned bears to the total area of the Premises immediately prior to such acquisition or condemnation and Tenant’s Proportionate Share shall be adjusted accordingly on a pro rata basis, according to the new rentable square footage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(b) if the part of the Lot so acquired or condemned shall contain more than thirty-five percent (35%) of the total area of the Premises immediately prior to such acquisition or condemnation, or if, by reason of such acquisition or condemnation, Tenant no longer has reasonable means of access to the Premises, Tenant, at Tenant’s option, may give to Landlord, within thirty (30) days next following the date upon which Tenant shall have received notice of vesting of title, a thirty (30) days’ notice of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(c) If any such notice of termination is given by Landlord or Tenant, this Lease and the Term shall come to an end and expire upon the date set forth therein with the same effect as if the date of expiration were the Expiration Date. If a part of the Premises shall be so acquired or condemned and this Lease and the Term shall not be terminated pursuant to this Section 6.2, Landlord, at Landlord’s expense, shall restore that part of the Premises not so acquired or condemned as nearly as practicable to the condition existing immediately prior to such taking. Upon the termination of this Lease and the Term pursuant to this Section 6.2, the Base Rent and Additional Rent shall be apportioned and any prepaid portion of Base Rent and Additional Rent for any period after such date shall be refunded by Landlord to Tenant. </w:t>
      </w:r>
    </w:p>
    <w:p>
      <w:pPr>
        <w:pStyle w:val="TextBody"/>
        <w:bidi w:val="0"/>
        <w:spacing w:before="240" w:after="0"/>
        <w:jc w:val="left"/>
        <w:rPr>
          <w:rFonts w:ascii="Times New Roman" w:hAnsi="Times New Roman"/>
          <w:sz w:val="20"/>
        </w:rPr>
      </w:pPr>
      <w:r>
        <w:rPr>
          <w:rFonts w:ascii="Times New Roman" w:hAnsi="Times New Roman"/>
          <w:sz w:val="20"/>
        </w:rPr>
        <w:t xml:space="preserve">6.2.2 </w:t>
      </w:r>
      <w:r>
        <w:rPr>
          <w:rFonts w:ascii="Times New Roman" w:hAnsi="Times New Roman"/>
          <w:sz w:val="20"/>
          <w:u w:val="single"/>
        </w:rPr>
        <w:t>Awards</w:t>
      </w:r>
      <w:r>
        <w:rPr>
          <w:rFonts w:ascii="Times New Roman" w:hAnsi="Times New Roman"/>
          <w:sz w:val="20"/>
        </w:rPr>
        <w:t xml:space="preserve">. In the event of any such acquisition or condemnation of all or any part of the Lot, Landlord shall be entitled to receive the entire award for any such acquisition or condemnation, Tenant shall have no claim against Landlord or the condemning authority for the value of any unexpired portion of the Term and Tenant hereby expressly assigns to Landlord all of its right in and to any such award. Nothing contained in this Section 6.2 shall be deemed to prevent Tenant from making a separate claim in any condemnation proceedings for the then value of any Tenant’s property included in such taking, and for any moving expenses. </w:t>
      </w:r>
    </w:p>
    <w:p>
      <w:pPr>
        <w:pStyle w:val="TextBody"/>
        <w:bidi w:val="0"/>
        <w:spacing w:before="240" w:after="0"/>
        <w:jc w:val="left"/>
        <w:rPr>
          <w:rFonts w:ascii="Times New Roman" w:hAnsi="Times New Roman"/>
          <w:sz w:val="20"/>
        </w:rPr>
      </w:pPr>
      <w:r>
        <w:rPr>
          <w:rFonts w:ascii="Times New Roman" w:hAnsi="Times New Roman"/>
          <w:sz w:val="20"/>
        </w:rPr>
        <w:t xml:space="preserve">6.2.3 </w:t>
      </w:r>
      <w:r>
        <w:rPr>
          <w:rFonts w:ascii="Times New Roman" w:hAnsi="Times New Roman"/>
          <w:sz w:val="20"/>
          <w:u w:val="single"/>
        </w:rPr>
        <w:t>Access</w:t>
      </w:r>
      <w:r>
        <w:rPr>
          <w:rFonts w:ascii="Times New Roman" w:hAnsi="Times New Roman"/>
          <w:sz w:val="20"/>
        </w:rPr>
        <w:t xml:space="preserve">. Following any fire or other casualty, Tenant shall be entitled to immediately access the Premises, subject to the orders and requirements of local authorities provided that Tenant shall reasonably cooperate with Landlord so to minimize any inconvenience to Landlord and its contractors in the performance of any restoration work or other Building recovery. If this Lease terminates as provided in this Article 6, Tenant shall vacate the Premises within sixty (60) days. </w:t>
      </w:r>
    </w:p>
    <w:p>
      <w:pPr>
        <w:pStyle w:val="TextBody"/>
        <w:bidi w:val="0"/>
        <w:spacing w:before="240" w:after="0"/>
        <w:jc w:val="left"/>
        <w:rPr>
          <w:rFonts w:ascii="Times New Roman" w:hAnsi="Times New Roman"/>
          <w:sz w:val="20"/>
        </w:rPr>
      </w:pPr>
      <w:r>
        <w:rPr>
          <w:rFonts w:ascii="Times New Roman" w:hAnsi="Times New Roman"/>
          <w:sz w:val="20"/>
        </w:rPr>
        <w:t xml:space="preserve">Landlord reserves, and Tenant grants to Landlord, all rights which Tenant may have for damages or injury to the Premises for any taking by eminent domain, except for damage to Tenant’s fixtures, property or equipment and Tenant’s reasonable moving expenses or interruption to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DEFAULT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Events of Default</w:t>
      </w:r>
      <w:r>
        <w:rPr>
          <w:rFonts w:ascii="Times New Roman" w:hAnsi="Times New Roman"/>
          <w:sz w:val="20"/>
        </w:rPr>
        <w:t>. In addition to any other default specifically described in this Lease, each of the following events shall be a “</w:t>
      </w:r>
      <w:r>
        <w:rPr>
          <w:rFonts w:ascii="Times New Roman" w:hAnsi="Times New Roman"/>
          <w:sz w:val="20"/>
          <w:u w:val="single"/>
        </w:rPr>
        <w:t>Default</w:t>
      </w:r>
      <w:r>
        <w:rPr>
          <w:rFonts w:ascii="Times New Roman" w:hAnsi="Times New Roman"/>
          <w:sz w:val="20"/>
        </w:rPr>
        <w:t>” or “</w:t>
      </w:r>
      <w:r>
        <w:rPr>
          <w:rFonts w:ascii="Times New Roman" w:hAnsi="Times New Roman"/>
          <w:sz w:val="20"/>
          <w:u w:val="single"/>
        </w:rPr>
        <w:t>Event of Default</w:t>
      </w:r>
      <w:r>
        <w:rPr>
          <w:rFonts w:ascii="Times New Roman" w:hAnsi="Times New Roman"/>
          <w:sz w:val="20"/>
        </w:rPr>
        <w:t xml:space="preserve">” hereunder: </w:t>
      </w:r>
    </w:p>
    <w:p>
      <w:pPr>
        <w:pStyle w:val="TextBody"/>
        <w:bidi w:val="0"/>
        <w:spacing w:before="240" w:after="0"/>
        <w:jc w:val="left"/>
        <w:rPr>
          <w:rFonts w:ascii="Times New Roman" w:hAnsi="Times New Roman"/>
          <w:sz w:val="20"/>
        </w:rPr>
      </w:pPr>
      <w:r>
        <w:rPr>
          <w:rFonts w:ascii="Times New Roman" w:hAnsi="Times New Roman"/>
          <w:sz w:val="20"/>
        </w:rPr>
        <w:t xml:space="preserve">7.1.1 If Tenant shall default in the payment when due of any installment of Base Rent or in the payment when due of Additional Rent, and such default continues for more than five (5) days following written notice from Landlord to Tenant; provided, however, that for each calendar year during which Landlord has already given Tenant one written notice of the failure to pay an installment of Base Rent or Additional Rent, no further notice shall be required; or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Intentionally Omitted</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7.1.3 If the Premises shall become permanently vacant, deserted or abandoned; or </w:t>
      </w:r>
    </w:p>
    <w:p>
      <w:pPr>
        <w:pStyle w:val="TextBody"/>
        <w:bidi w:val="0"/>
        <w:spacing w:before="240" w:after="0"/>
        <w:jc w:val="left"/>
        <w:rPr>
          <w:rFonts w:ascii="Times New Roman" w:hAnsi="Times New Roman"/>
          <w:sz w:val="20"/>
        </w:rPr>
      </w:pPr>
      <w:r>
        <w:rPr>
          <w:rFonts w:ascii="Times New Roman" w:hAnsi="Times New Roman"/>
          <w:sz w:val="20"/>
        </w:rPr>
        <w:t xml:space="preserve">7.1.4 If Tenant’s interest or any portion thereof in this Lease shall devolve upon or pass to any person, whether by operation of law or otherwise, except as expressly otherwise permitted herein; or </w:t>
      </w:r>
    </w:p>
    <w:p>
      <w:pPr>
        <w:pStyle w:val="TextBody"/>
        <w:bidi w:val="0"/>
        <w:spacing w:before="240" w:after="0"/>
        <w:jc w:val="left"/>
        <w:rPr>
          <w:rFonts w:ascii="Times New Roman" w:hAnsi="Times New Roman"/>
          <w:sz w:val="20"/>
        </w:rPr>
      </w:pPr>
      <w:r>
        <w:rPr>
          <w:rFonts w:ascii="Times New Roman" w:hAnsi="Times New Roman"/>
          <w:sz w:val="20"/>
        </w:rPr>
        <w:t xml:space="preserve">7.1.5 If: </w:t>
      </w:r>
    </w:p>
    <w:p>
      <w:pPr>
        <w:pStyle w:val="TextBody"/>
        <w:bidi w:val="0"/>
        <w:spacing w:before="240" w:after="0"/>
        <w:jc w:val="left"/>
        <w:rPr>
          <w:rFonts w:ascii="Times New Roman" w:hAnsi="Times New Roman"/>
          <w:sz w:val="20"/>
        </w:rPr>
      </w:pPr>
      <w:r>
        <w:rPr>
          <w:rFonts w:ascii="Times New Roman" w:hAnsi="Times New Roman"/>
          <w:sz w:val="20"/>
        </w:rPr>
        <w:t xml:space="preserve">(a) Tenant shall generally not, or shall be unable to, or shall admit in writing its inability to, pay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(b) Tenant shall commence or institute any case, proceeding or other action (A) seeking relief on its behalf as debtor, or to adjudicate it a bankrupt or insolvent, or seeking reorganization, arrangement, adjustment, winding 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(c) Tenant shall make a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(d) any case, proceeding or other action shall be commenced or instituted against Tenant (A) seeking to have an order for relief entered against it as debtor or to adjudicate it a bankrupt or insolvent, or seeking reorganization, arrangement, adjustment, winding 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which in either of such cases (1) results in any such entry of an order for relief, adjudication of bankruptcy or insolvency or such an appointment or the issuance or entry of any other order having a similar effect or (2) remains undismissed for a period of sixty (60) days; or </w:t>
      </w:r>
    </w:p>
    <w:p>
      <w:pPr>
        <w:pStyle w:val="TextBody"/>
        <w:bidi w:val="0"/>
        <w:spacing w:before="240" w:after="0"/>
        <w:jc w:val="left"/>
        <w:rPr>
          <w:rFonts w:ascii="Times New Roman" w:hAnsi="Times New Roman"/>
          <w:sz w:val="20"/>
        </w:rPr>
      </w:pPr>
      <w:r>
        <w:rPr>
          <w:rFonts w:ascii="Times New Roman" w:hAnsi="Times New Roman"/>
          <w:sz w:val="20"/>
        </w:rPr>
        <w:t xml:space="preserve">(e) any case, proceeding or other action shall be commenced or instituted against Tenant seeking issuance of a warrant of attachment, execution, distraint or similar process against all or any substantial part of its property which results in the entry of an order for any such relief which shall not have been vacated, discharged, or stayed or bonded pending appeal within sixty (60) days from the entry thereof; or </w:t>
      </w:r>
    </w:p>
    <w:p>
      <w:pPr>
        <w:pStyle w:val="TextBody"/>
        <w:bidi w:val="0"/>
        <w:spacing w:before="240" w:after="0"/>
        <w:jc w:val="left"/>
        <w:rPr>
          <w:rFonts w:ascii="Times New Roman" w:hAnsi="Times New Roman"/>
          <w:sz w:val="20"/>
        </w:rPr>
      </w:pPr>
      <w:r>
        <w:rPr>
          <w:rFonts w:ascii="Times New Roman" w:hAnsi="Times New Roman"/>
          <w:sz w:val="20"/>
        </w:rPr>
        <w:t xml:space="preserve">(f) Tenant shall take any action in furtherance of, or indicating its consent to, approval of, or acquiescence in, any of the acts set forth in clauses (b), (c), (d) or (e) above;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 trustee, receiver or other custodian is appointed for any substantial part of the assets of Tenant which appointment is not vacated or stayed within sixty (60) days; or </w:t>
      </w:r>
    </w:p>
    <w:p>
      <w:pPr>
        <w:pStyle w:val="TextBody"/>
        <w:bidi w:val="0"/>
        <w:spacing w:before="240" w:after="0"/>
        <w:jc w:val="left"/>
        <w:rPr>
          <w:rFonts w:ascii="Times New Roman" w:hAnsi="Times New Roman"/>
          <w:sz w:val="20"/>
        </w:rPr>
      </w:pPr>
      <w:r>
        <w:rPr>
          <w:rFonts w:ascii="Times New Roman" w:hAnsi="Times New Roman"/>
          <w:sz w:val="20"/>
        </w:rPr>
        <w:t xml:space="preserve">7.1.6 If Tenant shall fail more than three (3) times during any twelve (12) month period to pay any installment of Base Rent or any item of Additional Rent when due; or </w:t>
      </w:r>
    </w:p>
    <w:p>
      <w:pPr>
        <w:pStyle w:val="TextBody"/>
        <w:bidi w:val="0"/>
        <w:spacing w:before="240" w:after="0"/>
        <w:jc w:val="left"/>
        <w:rPr>
          <w:rFonts w:ascii="Times New Roman" w:hAnsi="Times New Roman"/>
          <w:sz w:val="20"/>
        </w:rPr>
      </w:pPr>
      <w:r>
        <w:rPr>
          <w:rFonts w:ascii="Times New Roman" w:hAnsi="Times New Roman"/>
          <w:sz w:val="20"/>
        </w:rPr>
        <w:t xml:space="preserve">7.1.7 If applicable, if Landlord shall present a letter of credit to a bank in consideration of the Security Deposit which issued the same in accordance with Section 8.1 hereof, and the bank shall fail to honor such letter of credit and pay the proceeds thereof to Landlord for any reason caused by Tenant; or </w:t>
      </w:r>
    </w:p>
    <w:p>
      <w:pPr>
        <w:pStyle w:val="TextBody"/>
        <w:bidi w:val="0"/>
        <w:spacing w:before="240" w:after="0"/>
        <w:jc w:val="left"/>
        <w:rPr>
          <w:rFonts w:ascii="Times New Roman" w:hAnsi="Times New Roman"/>
          <w:sz w:val="20"/>
        </w:rPr>
      </w:pPr>
      <w:r>
        <w:rPr>
          <w:rFonts w:ascii="Times New Roman" w:hAnsi="Times New Roman"/>
          <w:sz w:val="20"/>
        </w:rPr>
        <w:t xml:space="preserve">7.1.8 If Landlord applies or retains any part of the security held by it hereunder, and Tenant fails to deposit with Landlord the amount so applied or retained by Landlord, or to provide Landlord with a replacement Security Deposit or Letter of Credit (as applicable), if applicable, within five (5) Business Days after notice by Landlord to Tenant stating the amount applied or retained; or </w:t>
      </w:r>
    </w:p>
    <w:p>
      <w:pPr>
        <w:pStyle w:val="TextBody"/>
        <w:bidi w:val="0"/>
        <w:spacing w:before="240" w:after="0"/>
        <w:jc w:val="left"/>
        <w:rPr>
          <w:rFonts w:ascii="Times New Roman" w:hAnsi="Times New Roman"/>
          <w:sz w:val="20"/>
        </w:rPr>
      </w:pPr>
      <w:r>
        <w:rPr>
          <w:rFonts w:ascii="Times New Roman" w:hAnsi="Times New Roman"/>
          <w:sz w:val="20"/>
        </w:rPr>
        <w:t xml:space="preserve">7.1.9 Tenant permits a transfer in violation of Section 5.6 of this Lease; or </w:t>
      </w:r>
    </w:p>
    <w:p>
      <w:pPr>
        <w:pStyle w:val="TextBody"/>
        <w:bidi w:val="0"/>
        <w:spacing w:before="240" w:after="0"/>
        <w:jc w:val="left"/>
        <w:rPr>
          <w:rFonts w:ascii="Times New Roman" w:hAnsi="Times New Roman"/>
          <w:sz w:val="20"/>
        </w:rPr>
      </w:pPr>
      <w:r>
        <w:rPr>
          <w:rFonts w:ascii="Times New Roman" w:hAnsi="Times New Roman"/>
          <w:sz w:val="20"/>
        </w:rPr>
        <w:t xml:space="preserve">7.1.10 Any representation or warranty given by Tenant under or in connection with this Lease proves to be materially false or misleading; or </w:t>
      </w:r>
    </w:p>
    <w:p>
      <w:pPr>
        <w:pStyle w:val="TextBody"/>
        <w:bidi w:val="0"/>
        <w:spacing w:before="240" w:after="0"/>
        <w:jc w:val="left"/>
        <w:rPr>
          <w:rFonts w:ascii="Times New Roman" w:hAnsi="Times New Roman"/>
          <w:sz w:val="20"/>
        </w:rPr>
      </w:pPr>
      <w:r>
        <w:rPr>
          <w:rFonts w:ascii="Times New Roman" w:hAnsi="Times New Roman"/>
          <w:sz w:val="20"/>
        </w:rPr>
        <w:t xml:space="preserve">7.1.11 Subject to the grace periods stated in this Lease, if Tenant shall default in the observance or performance of any other term, covenant or condition of this Lease on Tenant’s part to be observed or performed and Tenant shall fail to remedy such default within thirty (30) days after notice by Landlord to Tenant of such default, or if such default is of such a nature that it cannot with due diligence be completely remedied within said period of thirty (30) days and Tenant shall not commence within said period of thirty (30) days, or shall not thereafter diligently prosecute to completion, all steps necessary to remedy such default.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this Lease to the contrary, if Landlord provides Tenant with notice of Tenant’s failure to comply with any specific provision of this Lease on three (3) separate occasions during any twelve-(12)-month period, Tenant’s subsequent violation of such provision shall, at Landlord’s option, be an incurable Default by Tenant.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Termination of the 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7.2.1 If an Event of Default: (i) described in 7.1.5 hereof shall occur; or (ii) described in 7.1, 7.1.1, 7.1.2, 7.1.3, 7.1.4, 7.1.6, 7.1.7, 7.1.8, 7.1.9, 7.1.10 or 7.1.11 shall occur and Landlord, at any time thereafter, at its option gives written notice to Tenant stating that this Lease and the Term shall expire and terminate on the date Landlord shall give Tenant such notice, such date being a date not less than three (3) days after the giving of such notice, then this Lease and the Term and all rights of Tenant under this Lease shall expire and terminate as if the date on which the Event of Default described in clause (i) above occurred or the date of such notice pursuant to clause (ii) above, as the case may be, were the Expiration Date or the last day of the Extension Term (as defined in Section 8.15), as the case may be, and Tenant immediately shall quit and surrender the Premises, but Tenant shall nonetheless be liable for all of its obligations under this Lease. Anything contained herein to the contrary notwithstanding, if such termination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stayed by order of any court having jurisdiction over any proceeding described in 7.1.5 hereof, or by federal or state statute, then, following the expiration of any such stay, or if the trustee appointed in any such proceeding, Tenant or Tenant as debtor-in-possession shall fail to assume Tenant’s obligations under this Lease within the period prescribed therefor by law or within thirty (30) days after entry of the order for relief or as may be allowed by the court. </w:t>
      </w:r>
    </w:p>
    <w:p>
      <w:pPr>
        <w:pStyle w:val="TextBody"/>
        <w:bidi w:val="0"/>
        <w:spacing w:before="240" w:after="0"/>
        <w:jc w:val="left"/>
        <w:rPr>
          <w:rFonts w:ascii="Times New Roman" w:hAnsi="Times New Roman"/>
          <w:sz w:val="20"/>
        </w:rPr>
      </w:pPr>
      <w:r>
        <w:rPr>
          <w:rFonts w:ascii="Times New Roman" w:hAnsi="Times New Roman"/>
          <w:sz w:val="20"/>
        </w:rPr>
        <w:t xml:space="preserve">7.2.2 If an Event of Default described in Section 7.1 hereof shall occur, or this Lease shall be terminated as provided in Section 7.2 hereof, Landlord, without notice, may, to the fullest extent of the law, reenter and repossess, without being deemed guilty of any manner of trespass, the Premises using such force for that purpose as may be necessary without being liable to indictment, prosecution or damages therefor and may dispossess Tenant by summary proceedings or otherwise. </w:t>
      </w:r>
    </w:p>
    <w:p>
      <w:pPr>
        <w:pStyle w:val="TextBody"/>
        <w:bidi w:val="0"/>
        <w:spacing w:before="240" w:after="0"/>
        <w:jc w:val="left"/>
        <w:rPr>
          <w:rFonts w:ascii="Times New Roman" w:hAnsi="Times New Roman"/>
          <w:sz w:val="20"/>
        </w:rPr>
      </w:pPr>
      <w:r>
        <w:rPr>
          <w:rFonts w:ascii="Times New Roman" w:hAnsi="Times New Roman"/>
          <w:sz w:val="20"/>
        </w:rPr>
        <w:t xml:space="preserve">7.2.3 In the event of any such termination, entry or re-entry, Landlord shall have the rights to remove and store Tenant’s property and that of persons claiming by, through or under Tenant, at the sole risk and expense of Tenant and, if Landlord so elects, (x) to sell such Tenant’s property at public auction or private sale and apply the net proceeds to the payment of all sums due to Landlord from Tenant and pay the balance, if any, to Tenant, or (y) to dispose of such Tenant’s Property in any manner in which Landlord shall elect, Tenant hereby agreeing to the fullest extent permitted by law that it shall have no right, title or interest in any property remaining in the Premises after such termination, entry or re-entry.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Joint and Several Liability</w:t>
      </w:r>
      <w:r>
        <w:rPr>
          <w:rFonts w:ascii="Times New Roman" w:hAnsi="Times New Roman"/>
          <w:sz w:val="20"/>
        </w:rPr>
        <w:t xml:space="preserve">. If at any time: </w:t>
      </w:r>
    </w:p>
    <w:p>
      <w:pPr>
        <w:pStyle w:val="TextBody"/>
        <w:bidi w:val="0"/>
        <w:spacing w:before="240" w:after="0"/>
        <w:jc w:val="left"/>
        <w:rPr>
          <w:rFonts w:ascii="Times New Roman" w:hAnsi="Times New Roman"/>
          <w:sz w:val="20"/>
        </w:rPr>
      </w:pPr>
      <w:r>
        <w:rPr>
          <w:rFonts w:ascii="Times New Roman" w:hAnsi="Times New Roman"/>
          <w:sz w:val="20"/>
        </w:rPr>
        <w:t xml:space="preserve">7.3.1 Tenant shall be comprised of two (2) or more persons; or </w:t>
      </w:r>
    </w:p>
    <w:p>
      <w:pPr>
        <w:pStyle w:val="TextBody"/>
        <w:bidi w:val="0"/>
        <w:spacing w:before="240" w:after="0"/>
        <w:jc w:val="left"/>
        <w:rPr>
          <w:rFonts w:ascii="Times New Roman" w:hAnsi="Times New Roman"/>
          <w:sz w:val="20"/>
        </w:rPr>
      </w:pPr>
      <w:r>
        <w:rPr>
          <w:rFonts w:ascii="Times New Roman" w:hAnsi="Times New Roman"/>
          <w:sz w:val="20"/>
        </w:rPr>
        <w:t xml:space="preserve">7.3.2 Tenant’s obligations under this Lease shall have been guaranteed by any person other than Tenant; or </w:t>
      </w:r>
    </w:p>
    <w:p>
      <w:pPr>
        <w:pStyle w:val="TextBody"/>
        <w:bidi w:val="0"/>
        <w:spacing w:before="240" w:after="0"/>
        <w:jc w:val="left"/>
        <w:rPr>
          <w:rFonts w:ascii="Times New Roman" w:hAnsi="Times New Roman"/>
          <w:sz w:val="20"/>
        </w:rPr>
      </w:pPr>
      <w:r>
        <w:rPr>
          <w:rFonts w:ascii="Times New Roman" w:hAnsi="Times New Roman"/>
          <w:sz w:val="20"/>
        </w:rPr>
        <w:t xml:space="preserve">7.3.3 Tenant’s interest in this Lease shall have been assigned, the word “Tenant”, as used in 7.1.4, shall be deemed to mean any one or more of the persons primarily or secondarily liable for Tenant’s obligations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Any monies received by Landlord from or on behalf of Tenant during the pendency of any proceeding of the types referred to in 7.1.5 shall be deemed paid as compensation for the use and occupation of the Premises and the acceptance of any such compensation by Landlord shall not be deemed an acceptance of Rent or a waiver on the part of Landlord of any rights under this Lease, including Section 7.2. In like manner, if Tenant shall be a general partnership or other business association, the members of which are, by virtue of statute or federal Law, subject to personal liability, then the liability of each such member shall be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Landlord’s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7.4.1 If there shall occur any Event of Default, and this Lease and the Term shall expire and come to an end as provided in Section 7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Tenant shall quit and peacefully surrender the Premises to Landlord, and Landlord and its agents may immediately, or at any time after such default or after the date upon which this Lease and the Term shall expire and come to an end, re-enter the Premises or any part thereof, without notice, either by summary proceedings, or by any other applicable action or proceeding, or by force or otherwise (without being liable to indictment, prosecution or damages therefor), and may repossess the Premises and dispossess Tenant and any other persons from the Premises and remove any and all of their property and effects from the Premises; and </w:t>
      </w:r>
    </w:p>
    <w:p>
      <w:pPr>
        <w:pStyle w:val="TextBody"/>
        <w:bidi w:val="0"/>
        <w:spacing w:before="240" w:after="0"/>
        <w:jc w:val="left"/>
        <w:rPr>
          <w:rFonts w:ascii="Times New Roman" w:hAnsi="Times New Roman"/>
          <w:sz w:val="20"/>
        </w:rPr>
      </w:pPr>
      <w:r>
        <w:rPr>
          <w:rFonts w:ascii="Times New Roman" w:hAnsi="Times New Roman"/>
          <w:sz w:val="20"/>
        </w:rPr>
        <w:t xml:space="preserve">(b) Landlord, at Landlord’s option, may relet the whole or any portion or portions of the Premises from time to time, either in the name of Landlord or otherwise, to such tenant or tenants, for such term or terms ending before, on or after the Expiration Date, at such rental or rentals and upon such other conditions, which may include concessions and free rent periods, as Landlord, in its sole discretion, may determine; provided, however, THAT LANDLORD SHALL HAVE NO OBLIGATION TO RELET THE PREMISES OR ANY PART THEREOF AND SHALL IN NO EVENT BE LIABLE FOR REFUSAL OR FAILURE TO RELET THE PREMISES OR ANY PART THEREOF, OR, IN THE EVENT OF ANY SUCH RELETTING, FOR REFUSAL OR FAILURE TO COLLECT ANY RENT DUE UPON ANY SUCH RELETTING, AND NO SUCH REFUSAL OR FAILURE SHALL OPERATE TO RELIEVE TENANT OF ANY LIABILITY UNDER THIS LEASE OR OTHERWISE AFFECT ANY SUCH LIABILITY, and Landlord, at Landlord’s option, may make such repairs, replacements, alterations, additions, improvements,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Landlord will use reasonable efforts to relet the Premises after Tenant vacates the Premises; however, the marketing and leasing of the Premises in a manner similar to the manner in which Landlord markets and leases other premises within Landlord’s control in the Building shall be deemed to have satisfied Landlord’s obligation to use “reasonable efforts”. In no event shall Landlord be required to (i) solicit or entertain negotiations with any other prospective tenants for the Premises unless and until Landlord obtains full and complete possession of the Premises, including the final and unappealable legal right to relet the Premises free of any claim of Tenant, (ii) lease the Premises to a tenant whose proposed use, in Landlord’s reasonable judgment, will be unacceptable, (iii) relet the Premises prior to leasing any other vacant space in the Building, suitable for the use of the prospective tenant, (iv) lease the Premises for a rental rate less than the current fair market rent then prevailing for similar space in the Building, or (v) enter into a lease with any proposed tenant that does not have, in Landlord’s reasonable but good faith opinion, sufficient financial wherewithal and resources to satisfy its financial obligations under the prospective lease. </w:t>
      </w:r>
    </w:p>
    <w:p>
      <w:pPr>
        <w:pStyle w:val="TextBody"/>
        <w:bidi w:val="0"/>
        <w:spacing w:before="240" w:after="0"/>
        <w:jc w:val="left"/>
        <w:rPr>
          <w:rFonts w:ascii="Times New Roman" w:hAnsi="Times New Roman"/>
          <w:sz w:val="20"/>
        </w:rPr>
      </w:pPr>
      <w:r>
        <w:rPr>
          <w:rFonts w:ascii="Times New Roman" w:hAnsi="Times New Roman"/>
          <w:sz w:val="20"/>
        </w:rPr>
        <w:t xml:space="preserve">(c) Tenant shall pay Landlord, on demand, all past due Rent and other losses and damages Landlord suffers as a result of Tenant’s Default, including, without limitation, all Costs of Reletting (defined below) and any deficiency that may arise from reletting or the failure to relet the Premises. “Costs of Reletting” shall include all reasonable costs and expenses incurred by Landlord in reletting or attempting to relet the Premises, including, without limitation, legal fees, brokerage commissions, the cost of alterations and the value of other concessions or allowances granted to a new tenant. Landlord shall be entitled to take into account in connection with any such reletting of the Premises all relevant factors which would be taken into account by a sophisticated landlord in securing a replacement tenant for the Premises including the first class quality of the Property, matters of tenant mix, and the financial responsibility of any such replacement tenant.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Tenant, on its own behalf and on behalf of all persons claiming through or under Tenant, including all creditors, does further hereby waive any and all rights which Tenant and all such persons might otherwise have under any present or future law to redeem the Premises, or to re-enter or repossess the Premises, or to restore the operation of this Lease, after (i) Tenant shall have been dispossessed by a judgment or by warrant of any court or judge, or (ii) any re-entry by Landlord, or (iii) any expiration or termination of this Lease and the Term, whether such dispossess, re-entry, expiration or termination shall be by operation of law or pursuant to the provisions of this Lease. The words “re-enter,” “re-entry” and “re-entered” as used in this Lease shall not be deemed to be restricted to their technical legal meanings. In the event of an Event of Default by Tenant, or any persons claiming through or under Tenant, of any term, covenant or condition of this Lease, Landlord shall have the right to enjoin such breach and the right to invoke any other remedy allowed by law or in equity as if re-entry, summary proceedings and other special remedies were not provided in this Lease for such breach. The right to invoke the remedies hereinbefore set forth are cumulative and shall not preclude Landlord from invoking any other remedy allowed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Landlord’s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7.5.1 If after an Event of Default this Lease and the Term shall expire and come to an end as provided in Section 7.2 hereof, or by or under any summary proceeding or any other action or proceeding, or if Landlord shall re-enter the Premises as provided in Section 7.4, or by or under any summary proceeding or any other action or proceeding, then, in any of said events: </w:t>
      </w:r>
    </w:p>
    <w:p>
      <w:pPr>
        <w:pStyle w:val="TextBody"/>
        <w:bidi w:val="0"/>
        <w:spacing w:before="240" w:after="0"/>
        <w:jc w:val="left"/>
        <w:rPr>
          <w:rFonts w:ascii="Times New Roman" w:hAnsi="Times New Roman"/>
          <w:sz w:val="20"/>
        </w:rPr>
      </w:pPr>
      <w:r>
        <w:rPr>
          <w:rFonts w:ascii="Times New Roman" w:hAnsi="Times New Roman"/>
          <w:sz w:val="20"/>
        </w:rPr>
        <w:t xml:space="preserve">(a) Tenant shall pay to Landlord all Base Rent, Additional Rent and other items of Rent payable under this Lease by Tenant to Landlord to the date upon which this Lease and the Term shall have expired and come to an end or to the date of re-entry upon the Premises by Landlord, as the case may be; </w:t>
      </w:r>
    </w:p>
    <w:p>
      <w:pPr>
        <w:pStyle w:val="TextBody"/>
        <w:bidi w:val="0"/>
        <w:spacing w:before="240" w:after="0"/>
        <w:jc w:val="left"/>
        <w:rPr>
          <w:rFonts w:ascii="Times New Roman" w:hAnsi="Times New Roman"/>
          <w:sz w:val="20"/>
        </w:rPr>
      </w:pPr>
      <w:r>
        <w:rPr>
          <w:rFonts w:ascii="Times New Roman" w:hAnsi="Times New Roman"/>
          <w:sz w:val="20"/>
        </w:rPr>
        <w:t>(b) Tenant also shall be liable for and shall pay to Landlord, as damages, any deficiency (referred to as “</w:t>
      </w:r>
      <w:r>
        <w:rPr>
          <w:rFonts w:ascii="Times New Roman" w:hAnsi="Times New Roman"/>
          <w:sz w:val="20"/>
          <w:u w:val="single"/>
        </w:rPr>
        <w:t>Deficiency</w:t>
      </w:r>
      <w:r>
        <w:rPr>
          <w:rFonts w:ascii="Times New Roman" w:hAnsi="Times New Roman"/>
          <w:sz w:val="20"/>
        </w:rPr>
        <w:t xml:space="preserve">”) between the Rent for the period which otherwise would have constituted the unexpired portion of the Term and the net amount, if any, of rents collected under any reletting effected pursuant to the provisions of clause (ii) of Section 7.4 for any part of such period (first deducting from the rents collected under any such reletting all of Landlord’s expenses in connection with the termination of this Lease, Landlord’s re-entry upon the Premises and with such reletting, including, but not limited to, all repossession costs, brokerage commissions, legal expenses, attorneys’ fees and disbursements, alteration costs, contribution to work and other expenses of preparing the Premises for such reletting); any such Deficiency shall be paid in monthly installments by Tenant on the days specified in this Lease for payment of installments of Base Rent; Landlord shall be entitled to recover from Tenant each monthly Deficiency as the same shall arise, and no suit to collect the amount of the Deficiency for any month shall prejudice Landlord’s right to collect the Deficiency for any subsequent month by a similar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whether or not Landlord shall have collected any monthly Deficiency as aforesaid, Landlord shall be entitled to recover from Tenant, and Tenant shall pay to Landlord, on demand, in lieu of any further Deficiency as and for liquidated and agreed final damages, a sum equal to the amount by which the Rental for the period which otherwise would have constituted the unexpired portion of the Term (commencing on the date immediately succeeding the last date with respect to which a Deficiency, if any, was collected) exceeds the then fair and reasonable rental value of the Premises for the same period, with such lump sum being discounted to a net present value at a rate equal to the prime rate then charged by the Bank of America (or its successors);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 </w:t>
      </w:r>
    </w:p>
    <w:p>
      <w:pPr>
        <w:pStyle w:val="TextBody"/>
        <w:bidi w:val="0"/>
        <w:spacing w:before="240" w:after="0"/>
        <w:jc w:val="left"/>
        <w:rPr>
          <w:rFonts w:ascii="Times New Roman" w:hAnsi="Times New Roman"/>
          <w:sz w:val="20"/>
        </w:rPr>
      </w:pPr>
      <w:r>
        <w:rPr>
          <w:rFonts w:ascii="Times New Roman" w:hAnsi="Times New Roman"/>
          <w:sz w:val="20"/>
        </w:rPr>
        <w:t xml:space="preserve">7.5.2 If the Premises, or any part thereof, shall be relet together with other space in the Building, the rents collected or reserved under any such reletting and the expenses of any such reletting shall be equitably apportioned for the purposes of this Section 7.5. Tenant shall in no event be entitled to any rents collected or payable under any reletting, whether or not such rents shall exceed the Base Rent reserved in this Lease. Nothing contained herein shall be deemed to limit or preclude the recovery by Landlord from Tenant of the maximum amount allowed to be obtained as damages by any statute or rule of law, or of any sums or damages to which Landlord may be entitled in addition to the damages set forth in this Section 7.5.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Security Deposit</w:t>
      </w:r>
      <w:r>
        <w:rPr>
          <w:rFonts w:ascii="Times New Roman" w:hAnsi="Times New Roman"/>
          <w:sz w:val="20"/>
        </w:rPr>
        <w:t>. Simultaneous with the execution and delivery of this Lease, Tenant has delivered to Landlord the Security Deposit in the form of a letter of credit (“</w:t>
      </w:r>
      <w:r>
        <w:rPr>
          <w:rFonts w:ascii="Times New Roman" w:hAnsi="Times New Roman"/>
          <w:sz w:val="20"/>
          <w:u w:val="single"/>
        </w:rPr>
        <w:t>Letter of Credit</w:t>
      </w:r>
      <w:r>
        <w:rPr>
          <w:rFonts w:ascii="Times New Roman" w:hAnsi="Times New Roman"/>
          <w:sz w:val="20"/>
        </w:rPr>
        <w:t xml:space="preserve">”) in the amount as set forth Article 1.1 of this Lease, as security for the full and timely performance of Tenant’s obligations under the terms of this Lease. The provisions of this Section shall survive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8.1.1 The Security Deposit is not an advance payment of Rent or a measure of damages. Landlord may from time to time and without prejudice to any other remedy provided in this Lease or by Law, use all or a portion of the Security Deposit to the extent necessary to satisfy past due Rent or to satisfy any other loss or damage resulting from Tenant’s breach under this Lease. If Landlord uses any portion of the Security Deposit, Tenant, within five (5) days after demand, shall restore the Security Deposit to its original amount. If Tenant fully and faithfully complies with all the covenants hereunder, Landlord shall return any unapplied portion of the Security Deposit to Tenant within sixty (60) days after the later to occur of: (a) the Expiration Date or (b) the date Tenant surrenders the Premises to Landlord in compliance with the terms and conditions of this Lease. Landlord may deliver or transfer the Security Deposit (or related letter of credit) to any purchaser of Landlord’s interest in the Premises or any successor Landlord, if applicable, and thereupon Landlord shall be discharged from any further liability with respect to the Security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8.1.2 If Landlord elects the Security Deposit to be in the form of an irrevocable Letter of Credit, the Letter of Credit shall: (a) be in the amount set forth in Article 1.1 of this Lease); (b) name Landlord as its beneficiary; (c) be drawn on an FDIC insured financial institution reasonably satisfactory to the Landlord that satisfies both the Minimum Rating Agency Threshold and the Minimum Capital Threshold (as those terms are defined below); and (d) otherwise be in form and content satisfactory to Landlord. The “</w:t>
      </w:r>
      <w:r>
        <w:rPr>
          <w:rFonts w:ascii="Times New Roman" w:hAnsi="Times New Roman"/>
          <w:sz w:val="20"/>
          <w:u w:val="single"/>
        </w:rPr>
        <w:t>Minimum Rating Agency Threshold</w:t>
      </w:r>
      <w:r>
        <w:rPr>
          <w:rFonts w:ascii="Times New Roman" w:hAnsi="Times New Roman"/>
          <w:sz w:val="20"/>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Times New Roman" w:hAnsi="Times New Roman"/>
          <w:sz w:val="20"/>
          <w:u w:val="single"/>
        </w:rPr>
        <w:t>Minimum Capital Threshold</w:t>
      </w:r>
      <w:r>
        <w:rPr>
          <w:rFonts w:ascii="Times New Roman" w:hAnsi="Times New Roman"/>
          <w:sz w:val="20"/>
        </w:rPr>
        <w:t xml:space="preserve">” shall mean that the Issuing Bank has combined capital, surplus and undivided profits of not less than $10,000,000,000. The Letter of Credit (and any renewals or replacements thereof) shall be for a term of not less than one (1) year. If the issuer of the Letter of Credit gives notice of its election not to renew such Letter of Credit for any additional period, Landlord shall give notice to Tenant of such non-renewal of the Letter of Credit and Tenant shall be required to deliver a substitute Letter of Credit satisfying the conditions hereof at least twenty (20) days prior to the expiration of the term of such Letter of Credit. If the issuer of the Letter of Credit fails to satisfy either or both of the Minimum Rating Agency Threshold or the Minimum Capital Threshold, Tenant shall be required to deliver a substitute letter of credit from another issuer reasonably satisfactory to the Landlord and that satisfies both the Minimum Rating Agency Threshold and the Minimum Capital Threshold not later than ten (10) Business Days after Landlord notifies Tenant of such failure (and Landlord shall use commercially reasonable efforts to return the original Letter of Credit the same day as its receipt from Tenant of the substitute Letter of Credit). Tenant agrees that it shall from time to time, as necessary, whether as a result of a draw on the Letter of Credit by Landlord pursuant to the terms hereof or as a result of the expiration of the Letter of Credit then in effect, renew or replace the original and any subsequent Letter of Credit so that a Letter of Credit, in the amount required hereunder, is in effect until a date which is at least thirty (30) days after the Expiration Date of the Lease. If Tenant fails to furnish such renewal or replacement at least twenty (20) days prior to the stated expiration date of the Letter of Credit then held by Landlord, Landlord may, after giving written notice to Tenant, and if Tenant does not then furnish such renewal or replacement within ten (10) days of receipt of such notice, draw upon such Letter of Credit and hold the proceeds thereof (and such proceeds need not be segregated) as a Security Deposit pursuant to the terms of this Section 8.1. Any renewal or replacement of the original or any subsequent Letter of Credit shall meet the requirements for the original Letter of Credit as set forth above, except that such replacement or renewal shall be issued by a national bank reasonably satisfactory to Landlord at the time of the issuance thereof. If Landlord draws on the Letter of Credit as permitted in this Lease, then, upon demand of Landlord, Tenant shall restore the amount available under the Letter of Credit to its original amount by providing Landlord with an amendment to the Letter of Credit evidencing that the amount available under the Letter of Credit has been restored to its original amount.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Parking; Loading Dock</w:t>
      </w:r>
      <w:r>
        <w:rPr>
          <w:rFonts w:ascii="Times New Roman" w:hAnsi="Times New Roman"/>
          <w:sz w:val="20"/>
        </w:rPr>
        <w:t>: Tenant shall have the right to use on a non reserved, first come, first served basis, parking in the parking lot adjacent to the Building at a ratio of three (3) vehicle spaces per each one thousand (1,000) rentable square feet of the Premises (as of the date hereof, equaling thirty (30) parking spaces for Tenant’s occupancy of approximately 9,896 rentable square feet) (“</w:t>
      </w:r>
      <w:r>
        <w:rPr>
          <w:rFonts w:ascii="Times New Roman" w:hAnsi="Times New Roman"/>
          <w:sz w:val="20"/>
          <w:u w:val="single"/>
        </w:rPr>
        <w:t>Tenant’s Parking Rights</w:t>
      </w:r>
      <w:r>
        <w:rPr>
          <w:rFonts w:ascii="Times New Roman" w:hAnsi="Times New Roman"/>
          <w:sz w:val="20"/>
        </w:rPr>
        <w:t xml:space="preserve">”). Tenant’s Parking Rights shall be non-transferable (directly or indirectly) to any other institutions, entities or individuals, except in connection with a transfer of the Lease. Overnight parking at the Building shall be strictly prohibited. Landlord, in Landlord’s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sole discretion, may institute a sticker system (the “</w:t>
      </w:r>
      <w:r>
        <w:rPr>
          <w:rFonts w:ascii="Times New Roman" w:hAnsi="Times New Roman"/>
          <w:sz w:val="20"/>
          <w:u w:val="single"/>
        </w:rPr>
        <w:t>Sticker System</w:t>
      </w:r>
      <w:r>
        <w:rPr>
          <w:rFonts w:ascii="Times New Roman" w:hAnsi="Times New Roman"/>
          <w:sz w:val="20"/>
        </w:rPr>
        <w:t xml:space="preserve">”) in connection with Tenant’s Parking Rights, and Tenant shall be solely responsible for distributing any and all such stickers to Tenant’s employees in connection therewith. Landlord may cause any such illegally parked car or any such car without a parking sticker, if applicable, to be towed from the parking lot, and Landlord may bill the owner of such car for any and all such costs and expenses in connection therewith. Tenant shall use best efforts to comply with any and all policies in connection with this Section 8.2. </w:t>
      </w:r>
    </w:p>
    <w:p>
      <w:pPr>
        <w:pStyle w:val="TextBody"/>
        <w:bidi w:val="0"/>
        <w:spacing w:before="240" w:after="0"/>
        <w:jc w:val="left"/>
        <w:rPr>
          <w:rFonts w:ascii="Times New Roman" w:hAnsi="Times New Roman"/>
          <w:sz w:val="20"/>
        </w:rPr>
      </w:pPr>
      <w:r>
        <w:rPr>
          <w:rFonts w:ascii="Times New Roman" w:hAnsi="Times New Roman"/>
          <w:sz w:val="20"/>
        </w:rPr>
        <w:t xml:space="preserve">8.2.1 Landlord shall not be responsible for money, jewelry, automobiles or other personal property lost in or stolen from the parking lot. Landlord shall not be liable for any loss, injury or damage to persons using the parking lot or automobiles or other property thereon, it being agreed that, to the fullest extent permitted by law, the use of the parking lot and the parking spaces shall be at the sole risk of Tenant and its employees. Except for emergency repairs, Tenant and its employees shall not perform any work on any automobiles while located in the parking lot. </w:t>
      </w:r>
    </w:p>
    <w:p>
      <w:pPr>
        <w:pStyle w:val="TextBody"/>
        <w:bidi w:val="0"/>
        <w:spacing w:before="240" w:after="0"/>
        <w:jc w:val="left"/>
        <w:rPr>
          <w:rFonts w:ascii="Times New Roman" w:hAnsi="Times New Roman"/>
          <w:sz w:val="20"/>
        </w:rPr>
      </w:pPr>
      <w:r>
        <w:rPr>
          <w:rFonts w:ascii="Times New Roman" w:hAnsi="Times New Roman"/>
          <w:sz w:val="20"/>
        </w:rPr>
        <w:t xml:space="preserve">8.2.2 Tenant’s Parking Rights shall be subject to such reasonable rules and regulations therefor as may be set and changed with reasonable prior notice by the Landlord from time to time and uniformly enforced by Landlord during the Term. Except in connection with a transfer of the Lease, Tenant’s Parking Rights are non-assignable and intended solely for the use of Tenant’s employees working from and business invitees to the Premises; and as such Tenant shall not offer them for “use” or “license” to any other entity, the general public, or any other tenants of the Building. All such appurtenant rights for parking as set forth in this Section are automatically terminated upon termination of this Lease and shall have no separate independent validity or legal standing. Landlord reserves the right to relocate and/or temporarily close any or all of the parking facilities to the extent necessary in the event of a casualty or governmental taking or for maintenance and repairs of the parking facility provided Landlord shall reopen the same or provide replacement parking facilities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8.2.3 Tenant shall have the right to use on a non-exclusive basis, the Building’s sole common loading dock (the “</w:t>
      </w:r>
      <w:r>
        <w:rPr>
          <w:rFonts w:ascii="Times New Roman" w:hAnsi="Times New Roman"/>
          <w:sz w:val="20"/>
          <w:u w:val="single"/>
        </w:rPr>
        <w:t>Loading Dock</w:t>
      </w:r>
      <w:r>
        <w:rPr>
          <w:rFonts w:ascii="Times New Roman" w:hAnsi="Times New Roman"/>
          <w:sz w:val="20"/>
        </w:rPr>
        <w:t xml:space="preserve">”). Except in connection with a transfer of the Lease, Tenant’s right to use the Loading Dock shall be non-transferable (directly or indirectly) to any other institutions, entities or individuals. Except for damage or injury caused by Landlord’s negligence or willful misconduct, Landlord shall not be liable for any loss, injury or damage to persons using the Loading Dock or vehicles or other property used in connection therewith, it being agreed that, to the fullest extent permitted by law, the use of the Loading Dock shall be at the sole risk of Tenant and its employees. Use of the Loading Dock shall be subject to such reasonable rules and regulations therefor as may be set and changed with reasonable prior notice by Landlord from time to time and uniformly enforced by Landlord during the Term. All such appurtenant rights to use the Loading Dock as set forth in this Section are automatically terminated upon termination of this Lease and shall have no separate independent validity or legal standing. Landlord reserves the right to temporarily close the Loading Dock to the extent necessary in the event of a casualty or governmental taking or for maintenance and repairs of the Building, provided Landlord shall reopen the same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 of Lease; Consent or Approval; Notices; Bind and Inure; Landlord’s Estate</w:t>
      </w:r>
      <w:r>
        <w:rPr>
          <w:rFonts w:ascii="Times New Roman" w:hAnsi="Times New Roman"/>
          <w:sz w:val="20"/>
        </w:rPr>
        <w:t xml:space="preserve">: The titles of the Articles are for convenience only and not to be considered in construing this Lease. The Exhibits attached hereto are incorporated herein by reference. Tenant agrees not to record this Lease, but upon request of either party, both parties shall execute and deliver a notice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form appropriate for recording or registration, and if this Lease is terminated before the Term expires, an instrument in such form acknowledging the date of termination. Whenever any notice, approval, consent, request or election is given or made pursuant to this Lease it shall be in writing. Communications and payments shall be addressed if to Landlord at Landlord’s address or at such other address as may have been specified by prior notice to Tenant; and if to Tenant at Tenant’s address or at such other place as may have been specified by prior notice to Landlord. Any communication so addressed shall be mailed by registered or certified mail, return receipt requested, postage prepaid, by express mail, by express courier service, or by hand delivery. Notice or payment shall be deemed given when so delivered by hand or, if mailed by registered or certified mail, two (2) days after it is deposited with the U.S. Postal Service, or if sent by express mail or courier service, one (1) day after it is deposited with the U. S. Postal or such other service. If Landlord by notice to Tenant at any time designates some other person to receive payments or notices, all payments or notices thereafter by Tenant shall be paid or given to the agent designated until notice to the contrary is received by Tenant from Landlord. The obligations of this Lease shall run with the land, and this Lease shall be binding upon and inure to the benefit of the parties hereto and their respective successors and permitted assigns, except that each original Landlord named herein and each successive owner of the Premises shall be liable only for obligations accruing during the period of its ownership. If Landlord shall at any time be a joint venture, tenancy in common, firm or partnership (general or limited) a trust or trustees of a trust, it is specifically understood and agreed that there shall be no personal liability of the Landlord or any joint venturer, tenant, partner, trustee, shareholder, beneficiary or holder of a beneficial interest under any of the provisions hereof or arising out of the use or occupation of the Premises by Tenant. In the event of a breach or default by Landlord of any of its obligations under this Lease, Tenant shall look solely to the interest of the Landlord in the Property and the unencumbered and uncollected future rents, profits and proceeds therefrom for the satisfaction of Tenant’s remedies, and it is expressly understood and agreed that Landlord’s liability under the terms, covenants, conditions, warranties and obligations of this Lease shall in no event exceed the value of such equity interest.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Landlord’s Failure to Enforce</w:t>
      </w:r>
      <w:r>
        <w:rPr>
          <w:rFonts w:ascii="Times New Roman" w:hAnsi="Times New Roman"/>
          <w:sz w:val="20"/>
        </w:rPr>
        <w:t xml:space="preserve">: The failure of Landlord or of Tenant to seek redress for violation of, or to insist upon strict performance of, any covenant or condition of this Lease, or, with respect to such failure of Landlord, any of the Rules and Regulations referred to in Section 5.4 or otherwise herein, whether heretofore or hereafter adopted by Landlord, shall not be deemed a waiver of such violation nor prevent a subsequent act, which would have originally constituted a violation, from having all the force and effect of an original violation of any such Rules or Regulations. The receipt by Landlord of Base Rent or Additional Rent with knowledge of the breach of any covenant of this Lease shall not be deemed a waiver of such breach. No provision of this Lease shall be deemed to have been waived by Landlord, or by Tenant, unless such waiver is in writing signed by the party to be charged. No consent or waiver, express or implied, by Landlord or Tenant to or of any breach of any agreement or duty shall be construed as a waiver or consent to or of any other breach of the same or any other agreement or duty.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Acceptance of Partial Payments of Rent; Delivery of Keys</w:t>
      </w:r>
      <w:r>
        <w:rPr>
          <w:rFonts w:ascii="Times New Roman" w:hAnsi="Times New Roman"/>
          <w:sz w:val="20"/>
        </w:rPr>
        <w:t xml:space="preserve">: No acceptance by Landlord of a lesser sum than the Base Rent and Additional Rent then due shall be deemed to be other than on account of the earliest installment of such rent, due, nor shall any endorsement or statement on any check or any letter accompanying any check or payment as rent be deemed an accord and satisfaction, and Landlord may accept such check or payment without prejudice to Landlord’s right to recover the balance of such installment or pursue any other remedy in this Lease provided. The delivery of keys to any employee of Landlord or to Landlord’s agent or any employee thereof shall not operate as a termination of this Lease or a surrender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Cumulative Remedies</w:t>
      </w:r>
      <w:r>
        <w:rPr>
          <w:rFonts w:ascii="Times New Roman" w:hAnsi="Times New Roman"/>
          <w:sz w:val="20"/>
        </w:rPr>
        <w:t xml:space="preserve">: The specific remedies to which Landlord may resort under the terms of this Lease are cumulative and are not intended to be exclusive of any other remedies or means of redress to which it may be lawfully entitled in case of any breach or threatened breach by Tenant of any provisions of this Lease. In addition to the other remedies provided in this Lease, Landlord shall be entitled to the restraint by injunction of the violation or attempted or threatened violation of any of the covenants, conditions or provisions of this Lease or to a decree compelling specific performance of any such covenants, conditions or provisions.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Partial Invalidity</w:t>
      </w:r>
      <w:r>
        <w:rPr>
          <w:rFonts w:ascii="Times New Roman" w:hAnsi="Times New Roman"/>
          <w:sz w:val="20"/>
        </w:rPr>
        <w:t xml:space="preserve">: If any term of this Lease, or the application thereof, to any person or circumstances, shall to any extent be invalid or unenforceable, the remainder of this Lease, or the application of such term to persons or circumstances other than those to which it is invalid or unenforceable, shall not be affected thereby, and each term of this Lease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Self-Help</w:t>
      </w:r>
      <w:r>
        <w:rPr>
          <w:rFonts w:ascii="Times New Roman" w:hAnsi="Times New Roman"/>
          <w:sz w:val="20"/>
        </w:rPr>
        <w:t xml:space="preserve">: If Tenant shall at any time default in the performance of any obligation under this Lease, Landlord shall have the right after seven (7) days’ prior written notice to Tenant, but shall not be obligated, to enter upon the Premises or Building and to perform such obligation notwithstanding the fact that no specific provision for such substituted performance by Landlord is made in this Lease with respect to such default. In performing such obligation, Landlord may make any payment of money or perform any other act. All reasonable sums so paid by Landlord and all necessary incidental costs and expenses in connection with the performance of any such act by Landlord, shall be deemed to be Additional Rent under this Lease and shall be payable to Landlord immediately on demand. Landlord may exercise the foregoing rights without waiving any other of its rights or releasing Tenant from any of its obligations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Estoppel Certificate</w:t>
      </w:r>
      <w:r>
        <w:rPr>
          <w:rFonts w:ascii="Times New Roman" w:hAnsi="Times New Roman"/>
          <w:sz w:val="20"/>
        </w:rPr>
        <w:t xml:space="preserve">: From time to time, within ten (10) days next following request by the other, Tenant or Landlord, as applicable, shall deliver to the other a written statement executed by such party, in form reasonably satisfactory to the requesting party: </w:t>
      </w:r>
    </w:p>
    <w:p>
      <w:pPr>
        <w:pStyle w:val="TextBody"/>
        <w:bidi w:val="0"/>
        <w:spacing w:before="240" w:after="0"/>
        <w:jc w:val="left"/>
        <w:rPr>
          <w:rFonts w:ascii="Times New Roman" w:hAnsi="Times New Roman"/>
          <w:sz w:val="20"/>
        </w:rPr>
      </w:pPr>
      <w:r>
        <w:rPr>
          <w:rFonts w:ascii="Times New Roman" w:hAnsi="Times New Roman"/>
          <w:sz w:val="20"/>
        </w:rPr>
        <w:t xml:space="preserve">8.9.1 stating that this Lease is then in full force and effect and has not been modified (or if modified, setting forth all modifications); </w:t>
      </w:r>
    </w:p>
    <w:p>
      <w:pPr>
        <w:pStyle w:val="TextBody"/>
        <w:bidi w:val="0"/>
        <w:spacing w:before="240" w:after="0"/>
        <w:jc w:val="left"/>
        <w:rPr>
          <w:rFonts w:ascii="Times New Roman" w:hAnsi="Times New Roman"/>
          <w:sz w:val="20"/>
        </w:rPr>
      </w:pPr>
      <w:r>
        <w:rPr>
          <w:rFonts w:ascii="Times New Roman" w:hAnsi="Times New Roman"/>
          <w:sz w:val="20"/>
        </w:rPr>
        <w:t xml:space="preserve">8.9.2 setting forth the date to which the Base Rent and Additional Rent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8.9.3 stating whether or not, to the best knowledge of Tenant, Landlord is in default under this Lease, and, if Landlord is in default, setting forth the specific nature of all such defaults; and </w:t>
      </w:r>
    </w:p>
    <w:p>
      <w:pPr>
        <w:pStyle w:val="TextBody"/>
        <w:bidi w:val="0"/>
        <w:spacing w:before="240" w:after="0"/>
        <w:jc w:val="left"/>
        <w:rPr>
          <w:rFonts w:ascii="Times New Roman" w:hAnsi="Times New Roman"/>
          <w:sz w:val="20"/>
        </w:rPr>
      </w:pPr>
      <w:r>
        <w:rPr>
          <w:rFonts w:ascii="Times New Roman" w:hAnsi="Times New Roman"/>
          <w:sz w:val="20"/>
        </w:rPr>
        <w:t xml:space="preserve">8.9.4 certifying as to any other matters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If any such party fails to timely respond in accordance with the above, then the requesting party shall send a second request to the non-responding party that includes the consequences of the failure to execute and deliver such statement as noted in bold font on such notice, and if such party fails to execute and deliver such statement within five (5) Business Days after receipt of such second request, then such party’s failure to execute and deliver such statement within such time shall be conclusive upon Tenant or Landlord, as applicable, that this Lease is in full force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without modification except as may be represented in good faith by Landlord or Tenant, as applicable in any such certificate prepared by Landlord or Tenant, as applicable, and delivered to Landlord or Tenant, as applicable for execution. Tenant acknowledges that any statement delivered pursuant to this Section 8.9 may be relied upon by any purchaser or owner of the Property, Lot, or the Building, or Landlord’s interest in the Property, Lot, or the Building, or by any mortgage, or by an assignee of any mortgage, of the Property, Lot, or the Building.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Waiver of Subrogation</w:t>
      </w:r>
      <w:r>
        <w:rPr>
          <w:rFonts w:ascii="Times New Roman" w:hAnsi="Times New Roman"/>
          <w:sz w:val="20"/>
        </w:rPr>
        <w:t xml:space="preserve">: Neither Landlord nor Tenant shall be liable (by way of subrogation or otherwise) to the other party (or to any insurance company insuring the property of the other party) for any loss or damage to any of the property of Landlord or Tenant, as the case may be, with respect to their respective property, the Building, the Property or the Premises or any addition or improvements thereto, or any contents therein, to the extent covered by insurance carried or required to be carried by a party hereto, even though such loss might have been occasioned by the negligence or willful acts or omissions of the Landlord or Tenant or their respective employees, agents, contractors or invitees.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All Agreements Contained</w:t>
      </w:r>
      <w:r>
        <w:rPr>
          <w:rFonts w:ascii="Times New Roman" w:hAnsi="Times New Roman"/>
          <w:sz w:val="20"/>
        </w:rPr>
        <w:t xml:space="preserve">: This Lease contains all of the agreements of the parties with respect to the subject matter thereof and supersedes all prior dealings between them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Brokerage</w:t>
      </w:r>
      <w:r>
        <w:rPr>
          <w:rFonts w:ascii="Times New Roman" w:hAnsi="Times New Roman"/>
          <w:sz w:val="20"/>
        </w:rPr>
        <w:t>: Landlord and Tenant warrant to each other that they have had no dealings with any broker or agent in connection with this Lease other than Newmark Knight Frank (the “</w:t>
      </w:r>
      <w:r>
        <w:rPr>
          <w:rFonts w:ascii="Times New Roman" w:hAnsi="Times New Roman"/>
          <w:sz w:val="20"/>
          <w:u w:val="single"/>
        </w:rPr>
        <w:t>Broker(s)</w:t>
      </w:r>
      <w:r>
        <w:rPr>
          <w:rFonts w:ascii="Times New Roman" w:hAnsi="Times New Roman"/>
          <w:sz w:val="20"/>
        </w:rPr>
        <w:t xml:space="preserve">”), and covenant to defend with counsel approved by the other, hold harmless and indemnify the other from and against any and all cost, expense or liability for any compensation, commissions and charges claimed by any other broker or agent with respect to this Lease or the negotiation thereof claiming through the indemnifying party. Landlord shall be responsible for payment of fees to Broker(s) per a separate agreement.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Submission Not an Option</w:t>
      </w:r>
      <w:r>
        <w:rPr>
          <w:rFonts w:ascii="Times New Roman" w:hAnsi="Times New Roman"/>
          <w:sz w:val="20"/>
        </w:rPr>
        <w:t xml:space="preserve">: The submission of this Lease or a summary of some or all of its provisions for examination does not constitute a reservation of or option of the Premises or an offer to lease and it is not effective as a lease or otherwise until execution by and delivery to both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Transfer for Landlord</w:t>
      </w:r>
      <w:r>
        <w:rPr>
          <w:rFonts w:ascii="Times New Roman" w:hAnsi="Times New Roman"/>
          <w:sz w:val="20"/>
        </w:rPr>
        <w:t xml:space="preserve">: In the event of a sale or conveyance by Landlord of the Premises, the same shall operate to release Landlord from any future liability as to obligations arising after such sale or conveyance for any of the covenants or conditions, express or implied, herein contained in favor of Tenant, and in such event Tenant agrees to look solely to Landlord’s successor in interest with respect thereto and agrees to attorn to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Option to Extend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8.15.1 Provided (a) that there has not been an Event of Default (as defined in Article 7 of this Lease), (b) this Lease is still in full force and effect, and (c) Tenant is occupying at least seventy percent (70%) of the Premises, Tenant shall have the option to extend the initial term for one (1) five (5) year period (the “</w:t>
      </w:r>
      <w:r>
        <w:rPr>
          <w:rFonts w:ascii="Times New Roman" w:hAnsi="Times New Roman"/>
          <w:sz w:val="20"/>
          <w:u w:val="single"/>
        </w:rPr>
        <w:t>Extension Term</w:t>
      </w:r>
      <w:r>
        <w:rPr>
          <w:rFonts w:ascii="Times New Roman" w:hAnsi="Times New Roman"/>
          <w:sz w:val="20"/>
        </w:rPr>
        <w:t xml:space="preserve">”) commencing on the day immediately succeeding the Expiration Date of the then current term, under the same terms, covenants and conditions contained in this Lease (except that Landlord shall not be obligated to refurbish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Premises nor provide any allowance therefor, and there shall be no further extension options for a second option term);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Base Rent for the Extension Term shall be equal to the greater of (i) the Base Rent in effect during the last year of the initial Lease Term and (ii) the Fair Market Rent for comparable space in the Building and comparable mixed-use office and research and development buildings located in the Bedford and Lexington submarket, having due regard for the size, location and use of the Premises. Regardless of whether the Base Rent for the Extension Term is calculated based on (i) or (ii) above in this Section 8.15.1, the Base Rent of the Extension Term shall include annual increases consistent with Fair Market Rent increases at the time of Tenant’s renewal exercise. In the event Tenant exercises its option to extend the then current term as provided herein, the Expiration Date shall be that date which is the last day of the Extension Term, and Landlord and Tenant shall thereupon execute an amendment to this Lease in form satisfactory to Landlord (the “</w:t>
      </w:r>
      <w:r>
        <w:rPr>
          <w:rFonts w:ascii="Times New Roman" w:hAnsi="Times New Roman"/>
          <w:sz w:val="20"/>
          <w:u w:val="single"/>
        </w:rPr>
        <w:t>Extension Term Amendment</w:t>
      </w:r>
      <w:r>
        <w:rPr>
          <w:rFonts w:ascii="Times New Roman" w:hAnsi="Times New Roman"/>
          <w:sz w:val="20"/>
        </w:rPr>
        <w:t xml:space="preserve">”) extending the Expiration Date to this Lease and modifying the Base Rent in accordance with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8.15.2 If Tenant desires to exercise its option to extend the Term as contained in this Section, time being of the essence, Tenant shall provide Landlord written notice not less than twelve (12) months prior to the Expiration Date of the then current term. </w:t>
      </w:r>
    </w:p>
    <w:p>
      <w:pPr>
        <w:pStyle w:val="TextBody"/>
        <w:bidi w:val="0"/>
        <w:spacing w:before="240" w:after="0"/>
        <w:jc w:val="left"/>
        <w:rPr>
          <w:rFonts w:ascii="Times New Roman" w:hAnsi="Times New Roman"/>
          <w:sz w:val="20"/>
        </w:rPr>
      </w:pPr>
      <w:r>
        <w:rPr>
          <w:rFonts w:ascii="Times New Roman" w:hAnsi="Times New Roman"/>
          <w:sz w:val="20"/>
        </w:rPr>
        <w:t>8.15.3 “</w:t>
      </w:r>
      <w:r>
        <w:rPr>
          <w:rFonts w:ascii="Times New Roman" w:hAnsi="Times New Roman"/>
          <w:sz w:val="20"/>
          <w:u w:val="single"/>
        </w:rPr>
        <w:t>Fair Market Rent</w:t>
      </w:r>
      <w:r>
        <w:rPr>
          <w:rFonts w:ascii="Times New Roman" w:hAnsi="Times New Roman"/>
          <w:sz w:val="20"/>
        </w:rPr>
        <w:t xml:space="preserve">” shall mean the fair market rent, including concessions (and taking into account all relevant market factors) that would be agreed upon between a landlord and a tenant entering into a new lease for comparable space in the Building and in comparable mixed- use office and research and development buildings located in the Bedford and Lexington submarket as to location, size and use, in a comparable building assuming the premises are in their then as-is condition, a comparable term and comparable operating expenses and real estate taxes, assuming that the landlord and the tenant are informed and well-advised and each is acting in what it considers its own best interests. Landlord and Tenant shall negotiate in good faith to determine the Fair Market Rent for the Extension Term for a period of thirty (30) days after the date on which Landlord receives Tenant’s written notice of Tenant’s election to extend the term, as provided hereunder. </w:t>
      </w:r>
    </w:p>
    <w:p>
      <w:pPr>
        <w:pStyle w:val="TextBody"/>
        <w:bidi w:val="0"/>
        <w:spacing w:before="240" w:after="0"/>
        <w:jc w:val="left"/>
        <w:rPr>
          <w:rFonts w:ascii="Times New Roman" w:hAnsi="Times New Roman"/>
          <w:sz w:val="20"/>
        </w:rPr>
      </w:pPr>
      <w:r>
        <w:rPr>
          <w:rFonts w:ascii="Times New Roman" w:hAnsi="Times New Roman"/>
          <w:sz w:val="20"/>
        </w:rPr>
        <w:t xml:space="preserve">8.15.4 In the event Landlord and Tenant are unable to agree upon the Fair Market Rent for the Extension Term within said thirty (30) day period, the Fair Market Rent shall be determined by a board of three (3) licensed commercial real estate appraisers, each having at least ten (10) years’ experience in leasing in the mixed-use office and research and development submarket in Bedford and Lexington, one of whom shall be named by Landlord, one of whom shall be named by Tenant and the two so appointed shall select the third. Landlord and Tenant agree to make their appointments within fifteen (15) days after the expiration of said thirty (30) day period. The two appraisers selected by Landlord and Tenant shall select the third appraisers within fifteen (15) days after they have both been selected, and each of Landlord’s and Tenant’s appraiser shall, within fifteen (15) days after the third appraiser is selected, submit his or her determination of Fair Market Rent to the third appraiser. The third appraiser shall select the determination of Landlord’s or Tenant’s appraiser that such third appraiser finds to most closely resemble Fair Market Rent, and that amount shall be the Base Rent during the Extension Term. Each party shall bear the cost of its appraiser and the parties shall share equally in the cost of the third appraiser. In the event that Fair Market Rent has not been determined as of the start of the Extension Term, then Base Rent shall be paid at the rate payable immediately prior thereto, and an adjustment, retroactive to the start of the Extension Term, shall be made once Fair Market Rent is known. Notwithstanding anything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herein to the contrary, if an Event of Default (as defined in Article 7) occurs at any time after Tenant’s written exercise of the extension option but before the commencement of the Extension Term, Landlord may elect, at Landlord’s sole discretion by written notice to Tenant, to reject Tenant’s exercise of the extension option. If Landlord so rejects Tenant’s exercise of the extension option, the extension option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Early Termination Option</w:t>
      </w:r>
      <w:r>
        <w:rPr>
          <w:rFonts w:ascii="Times New Roman" w:hAnsi="Times New Roman"/>
          <w:sz w:val="20"/>
        </w:rPr>
        <w:t>. Provided that no Event of Default is then outstanding, Tenant shall have a one-time right to terminate this Lease effective as of the first (1st) day of the sixty-first (61st) month following the Term Commencement Date (the “</w:t>
      </w:r>
      <w:r>
        <w:rPr>
          <w:rFonts w:ascii="Times New Roman" w:hAnsi="Times New Roman"/>
          <w:sz w:val="20"/>
          <w:u w:val="single"/>
        </w:rPr>
        <w:t>Early Termination Date</w:t>
      </w:r>
      <w:r>
        <w:rPr>
          <w:rFonts w:ascii="Times New Roman" w:hAnsi="Times New Roman"/>
          <w:sz w:val="20"/>
        </w:rPr>
        <w:t xml:space="preserve">”) in accordance with the terms set forth in this Section 8.16. </w:t>
      </w:r>
    </w:p>
    <w:p>
      <w:pPr>
        <w:pStyle w:val="TextBody"/>
        <w:bidi w:val="0"/>
        <w:spacing w:before="240" w:after="0"/>
        <w:jc w:val="left"/>
        <w:rPr>
          <w:rFonts w:ascii="Times New Roman" w:hAnsi="Times New Roman"/>
          <w:sz w:val="20"/>
        </w:rPr>
      </w:pPr>
      <w:r>
        <w:rPr>
          <w:rFonts w:ascii="Times New Roman" w:hAnsi="Times New Roman"/>
          <w:sz w:val="20"/>
        </w:rPr>
        <w:t xml:space="preserve">8.16.1 </w:t>
      </w:r>
      <w:r>
        <w:rPr>
          <w:rFonts w:ascii="Times New Roman" w:hAnsi="Times New Roman"/>
          <w:sz w:val="20"/>
          <w:u w:val="single"/>
        </w:rPr>
        <w:t>Early Termination Notice and Termination Payment</w:t>
      </w:r>
      <w:r>
        <w:rPr>
          <w:rFonts w:ascii="Times New Roman" w:hAnsi="Times New Roman"/>
          <w:sz w:val="20"/>
        </w:rPr>
        <w:t>. In order to initiate early termination of the Lease, Tenant shall simultaneously deliver to Landlord (i) written notice thereof and (ii) a check payable to Landlord in the amount of $1,448,402.00, representing a fee equal to the sum of all unamortized transaction costs for this Lease, plus interest accrued thereon at a rate of nine percent (9%) per annum, which fee includes, without limitation (i) the cost of the Landlord’s Work actually paid by Landlord and (ii) brokerage commissions incurred by Landlord in leasing the Premises to Tenant (the “</w:t>
      </w:r>
      <w:r>
        <w:rPr>
          <w:rFonts w:ascii="Times New Roman" w:hAnsi="Times New Roman"/>
          <w:sz w:val="20"/>
          <w:u w:val="single"/>
        </w:rPr>
        <w:t>Termination Payment</w:t>
      </w:r>
      <w:r>
        <w:rPr>
          <w:rFonts w:ascii="Times New Roman" w:hAnsi="Times New Roman"/>
          <w:sz w:val="20"/>
        </w:rPr>
        <w:t>”, and collectively, the “</w:t>
      </w:r>
      <w:r>
        <w:rPr>
          <w:rFonts w:ascii="Times New Roman" w:hAnsi="Times New Roman"/>
          <w:sz w:val="20"/>
          <w:u w:val="single"/>
        </w:rPr>
        <w:t>Early Termination Notice</w:t>
      </w:r>
      <w:r>
        <w:rPr>
          <w:rFonts w:ascii="Times New Roman" w:hAnsi="Times New Roman"/>
          <w:sz w:val="20"/>
        </w:rPr>
        <w:t xml:space="preserve">”) no later than fifteen (15) months prior to such Early Termination Date (TIME BEING OF THE ESSENCE with respect to such notice). If Landlord has not received an Early Termination Notice from Tenant by fifteen (15) months prior to the Early Termination Date, the termination right set forth in this Section 8.16 shall automatically expire without notice to Tenant. </w:t>
      </w:r>
    </w:p>
    <w:p>
      <w:pPr>
        <w:pStyle w:val="TextBody"/>
        <w:bidi w:val="0"/>
        <w:spacing w:before="240" w:after="0"/>
        <w:jc w:val="left"/>
        <w:rPr>
          <w:rFonts w:ascii="Times New Roman" w:hAnsi="Times New Roman"/>
          <w:sz w:val="20"/>
        </w:rPr>
      </w:pPr>
      <w:r>
        <w:rPr>
          <w:rFonts w:ascii="Times New Roman" w:hAnsi="Times New Roman"/>
          <w:sz w:val="20"/>
        </w:rPr>
        <w:t xml:space="preserve">8.16.2 Tenant’s failure to timely pay Landlord the Termination Payment shall render the Early Termination Notice delivered to Landlord null and void and this Lease shall continue in full force and effect pursuant to the terms hereof. If, on the Early Termination Date, Tenant is in default of any monetary obligation or any material non-monetary obligation under this Lease beyond any applicable grace, notice and cure period, then the Early Termination Notice delivered to Landlord shall be null and void and this Lease shall continue in full force and effect pursuant to the terms hereof and the Termination Payment paid by Tenant to Landlord shall be allocated (i) first to the cost of curing all such defaults of monetary obligations or material non-monetary obligations of Tenant under this Lease (including Landlord’s costs incurred in remedying same, to the extend Landlord is entitled to such costs pursuant to this Lease), and (ii) thereafter, the remainder shall be refunded to Tenant no later than thirty (30) days after the Early Termination Date. If Tenant properly terminates the Lease pursuant to the provisions of this Section 8.16, the Lease shall expire at midnight on the Early Termination Date as if such date was the date set forth in the Lease as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8.16.3 Tenant’s right to terminate this Lease is contingent upon (i) timely delivery of the Early Termination Notice and the Termination Payment, (ii) Tenant not being in default of any monetary obligation or any material non-monetary obligation under this Lease beyond any applicable grace, notice and cure period as of the Early Termination Date (including any Event of Default hereunder), and (iii) Tenant’s strict compliance with the requirements of Section 8.16.2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Right of First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8.17.1 Subject to the terms and conditions set forth below, Tenant shall have a one-time “</w:t>
      </w:r>
      <w:r>
        <w:rPr>
          <w:rFonts w:ascii="Times New Roman" w:hAnsi="Times New Roman"/>
          <w:sz w:val="20"/>
          <w:u w:val="single"/>
        </w:rPr>
        <w:t>Right of First Offer</w:t>
      </w:r>
      <w:r>
        <w:rPr>
          <w:rFonts w:ascii="Times New Roman" w:hAnsi="Times New Roman"/>
          <w:sz w:val="20"/>
        </w:rPr>
        <w:t>” to lease any space that becomes available on the second (2nd) floor of the Building, but excluding space that is vacant as of the date hereof and for a period of one (1) year thereafter (the “</w:t>
      </w:r>
      <w:r>
        <w:rPr>
          <w:rFonts w:ascii="Times New Roman" w:hAnsi="Times New Roman"/>
          <w:sz w:val="20"/>
          <w:u w:val="single"/>
        </w:rPr>
        <w:t>ROFO Space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8.17.2 If there shall be less than three (3) years remaining in the then current Term, then Tenant’s Right of First Offer for such ROFO Space shall be contingent upon Tenant effectively exercising its option, if any, to extend the Term pursuant to Section 8.15 above at the same time as it exercises such Right of First Offer, and the term of the ROFO Space shall be for the same Term as extended. </w:t>
      </w:r>
    </w:p>
    <w:p>
      <w:pPr>
        <w:pStyle w:val="TextBody"/>
        <w:bidi w:val="0"/>
        <w:spacing w:before="240" w:after="0"/>
        <w:jc w:val="left"/>
        <w:rPr>
          <w:rFonts w:ascii="Times New Roman" w:hAnsi="Times New Roman"/>
          <w:sz w:val="20"/>
        </w:rPr>
      </w:pPr>
      <w:r>
        <w:rPr>
          <w:rFonts w:ascii="Times New Roman" w:hAnsi="Times New Roman"/>
          <w:sz w:val="20"/>
        </w:rPr>
        <w:t xml:space="preserve">8.17.3 Landlord will notify Tenant of its plans to market any portion of the ROFO Space for lease to any unrelated third party. Landlord’s notice shall specify the size and location of the ROFO Space that it plans to market, Landlord’s estimate of the fair market rent for such ROFO Space, the date of availability of such ROFO Space and all other material terms and conditions which will apply to such ROFO Space (with the Base Rent being the then-current Fair Market Rent for such space). Tenant will notify Landlord within ten (10) Business Days of Landlord’s notice if Tenant wishes to lease such ROFO Space from Landlord on the terms and conditions so specified. If Tenant notifies Landlord that it wishes to lease the ROFO Space, Landlord and Tenant shall execute an amendment to this Lease incorporating the ROFO Space into the Premises upon the terms contained in Landlord’s notice within ten (10) Business Days thereafter. If Tenant fails to (i) notify Landlord within said ten (10) Business Day period that Tenant intends to lease such ROFO Space, or (ii) simultaneously exercise its option to extend, if necessary, or (iii) execute a lease agreement for such ROFO Space within ten (10) Business Days of Tenant’s notice of intent to Landlord and provided further that so long as Landlord provides an amendment to this Lease for such space within three (3) days of Tenant’s notice of intent to Landlord, then, in any of such aforementioned instances, Tenant shall be deemed to have waived its rights with respect to the ROFO Space and Landlord shall be entitled to lease, at its sole discretion and without any further notice to Tenant, all or any portion of such ROFO Space to any third party or parties on such terms and conditions, including, without limitation, options to extend the term of such lease and/or expand the premises under such lease, and for such rent as Landlord determines, all in its sole discretion, and the Right of First Offer with respect to any such space shall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8.17.4 Notwithstanding any contrary provision of this Section 8.17 or any other provision of this Lease, any Right of First Offer and any exercise by Tenant of any Right of First Offer shall be void and of no effect unless on the date Tenant notifies Landlord that it is exercising the Right of First Offer and on the commencement date of the amendment for the ROFO Space (i) this Lease is in full force and effect and (ii) no Event of Default has occurred and is then continuing under this Lease and (iii) Tenant shall not have assigned this Lease, and there shall not be any sublease or subleases in effect as of the commencement of the term of the Lease for any of the ROFO Space as of the date of Landlord’s notice of the ROFO Space availability.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Landlord’s Property</w:t>
      </w:r>
      <w:r>
        <w:rPr>
          <w:rFonts w:ascii="Times New Roman" w:hAnsi="Times New Roman"/>
          <w:sz w:val="20"/>
        </w:rPr>
        <w:t>. Subject to Section 8.19 below, all fixtures, machinery, equipment, improvements and appurtenances attached to, or built into, the Premises at the commencement of, or during the Term, whether or not placed there by or at the expense of Tenant, shall become and remain a part of the Premises; shall be deemed the property of Landlord (the “</w:t>
      </w:r>
      <w:r>
        <w:rPr>
          <w:rFonts w:ascii="Times New Roman" w:hAnsi="Times New Roman"/>
          <w:sz w:val="20"/>
          <w:u w:val="single"/>
        </w:rPr>
        <w:t>Landlord’s Property</w:t>
      </w:r>
      <w:r>
        <w:rPr>
          <w:rFonts w:ascii="Times New Roman" w:hAnsi="Times New Roman"/>
          <w:sz w:val="20"/>
        </w:rPr>
        <w:t xml:space="preserve">”), without compensation or credit to Tenant; and shall not be removed by Tenant unless Landlord requests their removal at the time of the installation thereof and otherwise in accordance with the provisions of this Lease. Further, any personal property in the Premises on the Commencement Date, movable or otherwise, unless installed and paid for by Tenant, shall be and shall remain the property of Landlord and shall not be removed by Tenant. In no event shall Tenant remove any of the following materials or equipment without Landlord’s prior written consent: any power wiring or power panels, lighting or lighting fixtures, wall or window coverings, carpets or other floor coverings, heaters, air conditioners or any other HVAC equipment, fencing or security gates, or other similar Building operating equipment and decorations.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Tenant’s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8.19.1 All movable non-structural partitions, business and trade fixtures, machinery and equipment, communications equipment and office equipment, that are installed in the Premises by, or for the account of, Tenant without expense to Landlord and that can be removed without structural damage to the Property, and all furniture, furnishings and other articles of movable personal property owned by Tenant and located in the Premises (collectively, the “</w:t>
      </w:r>
      <w:r>
        <w:rPr>
          <w:rFonts w:ascii="Times New Roman" w:hAnsi="Times New Roman"/>
          <w:sz w:val="20"/>
          <w:u w:val="single"/>
        </w:rPr>
        <w:t>Tenant’s Property</w:t>
      </w:r>
      <w:r>
        <w:rPr>
          <w:rFonts w:ascii="Times New Roman" w:hAnsi="Times New Roman"/>
          <w:sz w:val="20"/>
        </w:rPr>
        <w:t xml:space="preserve">”) shall be and shall remain the property of Tenant and may be removed by Tenant at any time during the Term, provided Tenant repairs or pays the cost of repairing any damage to the Premises or to the Property resulting from the installation and/or removal thereof. At or before the Expiration Date, or the date of any earlier termination, Tenant, at its expense, shall remove from the Premises (i) all of Tenant’s Property, and (ii) any alterations, if any, as agreed in writing prior to the expiration of this Lease in accordance with Section 5.2 hereof, and Tenant shall repair any damage to the Premises or the Property resulting from any installation and/or removal of Tenant’s Property and/or any other items required to be removed by Tenant. If Tenant fails to remove any of Tenant’s Property and/or any other items required to be removed by Tenant in accordance with this Lease, or to restore the Premises to the required condition, within two (2) days after termination of this Lease or Tenant’s right to possession, Landlord, at Tenant’s sole cost and expense, shall be entitled (but not obligated) to remove and store Tenant’s Property and/or any other items required to be removed by Tenant, and/or perform such restoration of the Premises. Landlord shall not be responsible for the value, preservation or safekeeping of Tenant’s Property and/or any other items required to be removed by Tenant. Tenant shall pay Landlord, upon demand, the expenses and storage charges incurred. If Tenant fails to remove Tenant’s Property and/or any other items required to be removed by Tenant from the Premises or storage, within thirty (30) days after notice, Landlord may deem all or any part of Tenant’s Property and/or any other items required to be removed by Tenant to be abandoned and, at Landlord’s option, title to Tenant’s Property and/or any other items required to be removed by Tenant shall vest in Landlord or Landlord may dispose of Tenant’s Property and/or any other items required to be removed by Tenant in any manner Landlord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8.19.2 Notwithstanding anything to the contrary contained herein, if an Event of Default occurs under this Lease, then Landlord may, to the fullest extent permitted by law and in addition to any other remedies provided herein, enter upon the Premises and take possession of any furnishings, other personal property, fixtures, equipment and the like, including, without limitation, specialized trade fixtures and equipment, that were paid, in whole or in part, out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Maximum Amount in connection with the Guaranteed Maximum Price construction contract, </w:t>
      </w:r>
      <w:r>
        <w:rPr>
          <w:rFonts w:ascii="Times New Roman" w:hAnsi="Times New Roman"/>
          <w:sz w:val="20"/>
          <w:u w:val="single"/>
        </w:rPr>
        <w:t>Exhibit C</w:t>
      </w:r>
      <w:r>
        <w:rPr>
          <w:rFonts w:ascii="Times New Roman" w:hAnsi="Times New Roman"/>
          <w:sz w:val="20"/>
        </w:rPr>
        <w:t xml:space="preserve">, </w:t>
      </w:r>
      <w:r>
        <w:rPr>
          <w:rFonts w:ascii="Times New Roman" w:hAnsi="Times New Roman"/>
          <w:sz w:val="20"/>
          <w:u w:val="single"/>
        </w:rPr>
        <w:t>Exhibit C-1</w:t>
      </w:r>
      <w:r>
        <w:rPr>
          <w:rFonts w:ascii="Times New Roman" w:hAnsi="Times New Roman"/>
          <w:sz w:val="20"/>
        </w:rPr>
        <w:t xml:space="preserve">, and/or </w:t>
      </w:r>
      <w:r>
        <w:rPr>
          <w:rFonts w:ascii="Times New Roman" w:hAnsi="Times New Roman"/>
          <w:sz w:val="20"/>
          <w:u w:val="single"/>
        </w:rPr>
        <w:t>Exhibit C-2</w:t>
      </w:r>
      <w:r>
        <w:rPr>
          <w:rFonts w:ascii="Times New Roman" w:hAnsi="Times New Roman"/>
          <w:sz w:val="20"/>
        </w:rPr>
        <w:t>, as applicable (the “</w:t>
      </w:r>
      <w:r>
        <w:rPr>
          <w:rFonts w:ascii="Times New Roman" w:hAnsi="Times New Roman"/>
          <w:sz w:val="20"/>
          <w:u w:val="single"/>
        </w:rPr>
        <w:t>Collateral</w:t>
      </w:r>
      <w:r>
        <w:rPr>
          <w:rFonts w:ascii="Times New Roman" w:hAnsi="Times New Roman"/>
          <w:sz w:val="20"/>
        </w:rPr>
        <w:t xml:space="preserve">”), without being held liable for trespass or conversion, and sell the same at public or private sale, after giving Tenant at least ten (10) days written notice (or more if required by law) of the time and place of such sale. Such notice may be sent with or without return receipt requested. Unless prohibited by law, Landlord and/or any of its affiliates and its and their respective lenders, members, managers, partners, officers, directors, successors, assigns, representatives, agents and employees may purchase any of the foregoing Collateral at such sale. Subject to applicable law, the proceeds from such sale, less Landlord’s expenses, including reasonable attorneys’ fees and other expenses, shall be credited against Tenant’s obligations. Any surplus shall be paid to Tenant immediately (or as otherwise required by law) and any deficiency shall be paid by Tenant to Landlord upon demand. Notwithstanding anything to the contrary contained herein, Landlord and Tenant shall cooperate to memorialize a list of the Collateral within a commercially reasonable period of time following the effective date of this Lease, which such commercially reasonable period of time is anticipated to be within forty-five (45) days following the effective date of this Lease. </w:t>
      </w:r>
    </w:p>
    <w:p>
      <w:pPr>
        <w:pStyle w:val="TextBody"/>
        <w:bidi w:val="0"/>
        <w:spacing w:before="240" w:after="0"/>
        <w:jc w:val="left"/>
        <w:rPr>
          <w:rFonts w:ascii="Times New Roman" w:hAnsi="Times New Roman"/>
          <w:sz w:val="20"/>
        </w:rPr>
      </w:pPr>
      <w:r>
        <w:rPr>
          <w:rFonts w:ascii="Times New Roman" w:hAnsi="Times New Roman"/>
          <w:sz w:val="20"/>
        </w:rPr>
        <w:t xml:space="preserve">8.20 </w:t>
      </w:r>
      <w:r>
        <w:rPr>
          <w:rFonts w:ascii="Times New Roman" w:hAnsi="Times New Roman"/>
          <w:sz w:val="20"/>
          <w:u w:val="single"/>
        </w:rPr>
        <w:t>Waiver</w:t>
      </w:r>
      <w:r>
        <w:rPr>
          <w:rFonts w:ascii="Times New Roman" w:hAnsi="Times New Roman"/>
          <w:sz w:val="20"/>
        </w:rPr>
        <w:t xml:space="preserve">. Except as otherwise expressly set forth herein, Tenant and Landlord each hereby waive the right to recover from the other any incidental, statutory, indirect, consequential, special or punitive damages, loss of profits or revenue. </w:t>
      </w:r>
    </w:p>
    <w:p>
      <w:pPr>
        <w:pStyle w:val="TextBody"/>
        <w:bidi w:val="0"/>
        <w:spacing w:before="240" w:after="0"/>
        <w:jc w:val="left"/>
        <w:rPr>
          <w:rFonts w:ascii="Times New Roman" w:hAnsi="Times New Roman"/>
          <w:sz w:val="20"/>
        </w:rPr>
      </w:pPr>
      <w:r>
        <w:rPr>
          <w:rFonts w:ascii="Times New Roman" w:hAnsi="Times New Roman"/>
          <w:sz w:val="20"/>
        </w:rPr>
        <w:t xml:space="preserve">8.21 </w:t>
      </w:r>
      <w:r>
        <w:rPr>
          <w:rFonts w:ascii="Times New Roman" w:hAnsi="Times New Roman"/>
          <w:sz w:val="20"/>
          <w:u w:val="single"/>
        </w:rPr>
        <w:t>Intentionally Deleted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8.22 </w:t>
      </w:r>
      <w:r>
        <w:rPr>
          <w:rFonts w:ascii="Times New Roman" w:hAnsi="Times New Roman"/>
          <w:sz w:val="20"/>
          <w:u w:val="single"/>
        </w:rPr>
        <w:t>Counterparts</w:t>
      </w:r>
      <w:r>
        <w:rPr>
          <w:rFonts w:ascii="Times New Roman" w:hAnsi="Times New Roman"/>
          <w:sz w:val="20"/>
        </w:rPr>
        <w:t xml:space="preserve">. This Agreement may be executed in any number of counterparts (including facsimiles), each of which will be deemed an original, but all of which will be deemed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8.23 </w:t>
      </w:r>
      <w:r>
        <w:rPr>
          <w:rFonts w:ascii="Times New Roman" w:hAnsi="Times New Roman"/>
          <w:sz w:val="20"/>
          <w:u w:val="single"/>
        </w:rPr>
        <w:t>Communications and Computer Lines</w:t>
      </w:r>
      <w:r>
        <w:rPr>
          <w:rFonts w:ascii="Times New Roman" w:hAnsi="Times New Roman"/>
          <w:sz w:val="20"/>
        </w:rPr>
        <w:t>. Tenant may install, maintain, replace, remove or use any communications or computer wires and cables serving the Premises (collectively, the “</w:t>
      </w:r>
      <w:r>
        <w:rPr>
          <w:rFonts w:ascii="Times New Roman" w:hAnsi="Times New Roman"/>
          <w:sz w:val="20"/>
          <w:u w:val="single"/>
        </w:rPr>
        <w:t>Lines</w:t>
      </w:r>
      <w:r>
        <w:rPr>
          <w:rFonts w:ascii="Times New Roman" w:hAnsi="Times New Roman"/>
          <w:sz w:val="20"/>
        </w:rPr>
        <w:t xml:space="preserve">”), provided that Tenant shall obtain Landlord’s prior written consent (which consent shall not be unreasonably withheld, conditioned or delayed), use an experienced and qualified contractor approved in writing by Landlord, and comply with all of the other provisions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8.24 </w:t>
      </w:r>
      <w:r>
        <w:rPr>
          <w:rFonts w:ascii="Times New Roman" w:hAnsi="Times New Roman"/>
          <w:sz w:val="20"/>
          <w:u w:val="single"/>
        </w:rPr>
        <w:t>Construction of Property and Other Improvements</w:t>
      </w:r>
      <w:r>
        <w:rPr>
          <w:rFonts w:ascii="Times New Roman" w:hAnsi="Times New Roman"/>
          <w:sz w:val="20"/>
        </w:rPr>
        <w:t xml:space="preserve">. Tenant acknowledges that portions of the Property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Landlord shall use commercially reasonable efforts to mitigate the impact of such noise, dust, obstruction, etc. and to ensure that such construction shall not unreasonably interfere with Tenant’s use of and access to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8.25 </w:t>
      </w:r>
      <w:r>
        <w:rPr>
          <w:rFonts w:ascii="Times New Roman" w:hAnsi="Times New Roman"/>
          <w:sz w:val="20"/>
          <w:u w:val="single"/>
        </w:rPr>
        <w:t>Subdivision</w:t>
      </w:r>
      <w:r>
        <w:rPr>
          <w:rFonts w:ascii="Times New Roman" w:hAnsi="Times New Roman"/>
          <w:sz w:val="20"/>
        </w:rPr>
        <w:t xml:space="preserve">. Landlord reserves the right to subdivide all or a portion of the Building or Property. Tenant agrees to execute and deliver, upon demand by Landlord and in the form requested by Landlord, any additional commercially reasonable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Operating Costs or Tenant’s payment of Operating Costs in connection with this Lease. </w:t>
      </w:r>
    </w:p>
    <w:p>
      <w:pPr>
        <w:pStyle w:val="TextBody"/>
        <w:bidi w:val="0"/>
        <w:spacing w:before="240" w:after="0"/>
        <w:jc w:val="left"/>
        <w:rPr>
          <w:rFonts w:ascii="Times New Roman" w:hAnsi="Times New Roman"/>
          <w:sz w:val="20"/>
        </w:rPr>
      </w:pPr>
      <w:r>
        <w:rPr>
          <w:rFonts w:ascii="Times New Roman" w:hAnsi="Times New Roman"/>
          <w:sz w:val="20"/>
        </w:rPr>
        <w:t xml:space="preserve">8.26 </w:t>
      </w:r>
      <w:r>
        <w:rPr>
          <w:rFonts w:ascii="Times New Roman" w:hAnsi="Times New Roman"/>
          <w:sz w:val="20"/>
          <w:u w:val="single"/>
        </w:rPr>
        <w:t>Air Rights</w:t>
      </w:r>
      <w:r>
        <w:rPr>
          <w:rFonts w:ascii="Times New Roman" w:hAnsi="Times New Roman"/>
          <w:sz w:val="20"/>
        </w:rPr>
        <w:t xml:space="preserve">.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Property, the same shall be without liability to Landlord and without any reduction or diminution of Tenant’s obligations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8.27 </w:t>
      </w:r>
      <w:r>
        <w:rPr>
          <w:rFonts w:ascii="Times New Roman" w:hAnsi="Times New Roman"/>
          <w:sz w:val="20"/>
          <w:u w:val="single"/>
        </w:rPr>
        <w:t>Signage</w:t>
      </w:r>
      <w:r>
        <w:rPr>
          <w:rFonts w:ascii="Times New Roman" w:hAnsi="Times New Roman"/>
          <w:sz w:val="20"/>
        </w:rPr>
        <w:t xml:space="preserve">. Tenant shall not install any signage (including, without limitation, any signs identifying Tenant’s name or advertising Tenant’s merchandise or otherwise) in or about the Premises that is visible from the exterior of the Premises or in any other part of the Property except as expressly permitted in this Section. Landlord shall provide Tenant with a building-standard multi-tenant lobby directory listing and a multi-tenant floor directory listing identifying Tenant. Such signage shall comply with Landlord’s then-current Building standard signage program. Subject to Landlord’s prior written approval, in its reasonable discretion, and provided all signs are in keeping with the quality, design and style of the Building and Property, Tenant, at its sole cost and expense, may (ii) install one (1) sign with Tenant’s name and/or logo identifying Tenant at the entry to the Premises, which identification signage shall be consistent with building standard signage as determined by Landlord, (ii) place additional signs containing Tenant’s brand name in the Premises, which signage shall not be visible from outside the Premises. All permitted signs shall be maintained by Tenant at its expense in a first-class and safe condition and appearance. Upon the expiration or earlier termination of this Lease, Tenant shall remove all of its signs at Tenant’s sole cost and expense. Tenant shall repair any damage to the Premises or Property, inside or outside, resulting from the erection, maintenance or removal of any signs. Tenant’s signage shall comply with all Laws. Any signs, notices, logos, pictures, names or advertisements which are installed and that have not been separately approved by Landlord may be removed without notice by Landlord at the sole expense of Tenant. Except as expressly permitted pursuant this Section, Tenant may not install any signs on the exterior or roof of the Property or the Common Areas. Any signs, displays, window coverings, window lettering, or blinds (even if the same are located behind the Landlord-approved window coverings for the Building), or other items or alterations visible from the exterior of the Premises or Building, shall be subject to the prior approval of Landlord, in its sole discretion. Tenant shall not place or install any projections, antennae, aerials, or similar devices inside or outside of the Building, without the prior written approval of Landlord, subject to Tenant’s rights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8.28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Time is of the essence with regard to this Lease and all of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(b) This Lease shall be interpreted and enforced in accordance with the Laws of the Commonwealth of Massachusetts and Landlord and Tenant hereby irrevocably consent to the jurisdiction and proper venue of the Commonwealth of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TO THE FULLEST EXTENT PERMITTED BY LAW, LANDLORD AND TENANT EACH HEREBY WAIVE THE RIGHT TO TRIAL BY JURY IN ANY ACTION, PROCEEDING OR COUNTERCLAIM BROUGHT BY THE OTHER ON ANY MATTER WHATSOEVER ARISING OUT OF OR IN ANY WAY CONNECTED WITH THIS LEASE, THE RELATIONSHIP OF LANDLORD AND TENANT, THE USE OR OCCUPANCY OF THE PREMISES AND/OR ANY CLAIM OF INJURY OR DAMAGE. </w:t>
      </w:r>
    </w:p>
    <w:p>
      <w:pPr>
        <w:pStyle w:val="TextBody"/>
        <w:bidi w:val="0"/>
        <w:spacing w:before="240" w:after="0"/>
        <w:jc w:val="left"/>
        <w:rPr>
          <w:rFonts w:ascii="Times New Roman" w:hAnsi="Times New Roman"/>
          <w:sz w:val="20"/>
        </w:rPr>
      </w:pPr>
      <w:r>
        <w:rPr>
          <w:rFonts w:ascii="Times New Roman" w:hAnsi="Times New Roman"/>
          <w:sz w:val="20"/>
        </w:rPr>
        <w:t xml:space="preserve">(d) If Landlord is advised by its counsel at any time that any part of the payments by Tenant to Landlord under this Lease may be characterized as unrelated business income under the United States Internal Revenue Code and its regulations, then Tenant shall enter into any amendment proposed by Landlord to avoid such income, so long as the amendment does not require Tenant to make more payments or accept fewer services from Landlord, than this Lease provides. </w:t>
      </w:r>
    </w:p>
    <w:p>
      <w:pPr>
        <w:pStyle w:val="TextBody"/>
        <w:bidi w:val="0"/>
        <w:spacing w:before="240" w:after="0"/>
        <w:jc w:val="left"/>
        <w:rPr>
          <w:rFonts w:ascii="Times New Roman" w:hAnsi="Times New Roman"/>
          <w:sz w:val="20"/>
        </w:rPr>
      </w:pPr>
      <w:r>
        <w:rPr>
          <w:rFonts w:ascii="Times New Roman" w:hAnsi="Times New Roman"/>
          <w:sz w:val="20"/>
        </w:rPr>
        <w:t xml:space="preserve">(e) This Lease may be modified only by a written agreement signed by an authorized representative of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Permission to Use Tenant’s Logo</w:t>
      </w:r>
      <w:r>
        <w:rPr>
          <w:rFonts w:ascii="Times New Roman" w:hAnsi="Times New Roman"/>
          <w:sz w:val="20"/>
        </w:rPr>
        <w:t>: Tenant hereby grants to Landlord’s affiliate, Jumbo Capital Incorporated, a non-exclusive, limited and revocable license to use and display Tenant’s word marks, tradenames or logo (“</w:t>
      </w:r>
      <w:r>
        <w:rPr>
          <w:rFonts w:ascii="Times New Roman" w:hAnsi="Times New Roman"/>
          <w:sz w:val="20"/>
          <w:u w:val="single"/>
        </w:rPr>
        <w:t>Tenant’s Logo</w:t>
      </w:r>
      <w:r>
        <w:rPr>
          <w:rFonts w:ascii="Times New Roman" w:hAnsi="Times New Roman"/>
          <w:sz w:val="20"/>
        </w:rPr>
        <w:t>”) in electronic form on Landlord’s website (the “</w:t>
      </w:r>
      <w:r>
        <w:rPr>
          <w:rFonts w:ascii="Times New Roman" w:hAnsi="Times New Roman"/>
          <w:sz w:val="20"/>
          <w:u w:val="single"/>
        </w:rPr>
        <w:t>Permitted Platform</w:t>
      </w:r>
      <w:r>
        <w:rPr>
          <w:rFonts w:ascii="Times New Roman" w:hAnsi="Times New Roman"/>
          <w:sz w:val="20"/>
        </w:rPr>
        <w:t>”) solely for the purpose of identifying Tenant as a tenant of Landlord’s building (the “</w:t>
      </w:r>
      <w:r>
        <w:rPr>
          <w:rFonts w:ascii="Times New Roman" w:hAnsi="Times New Roman"/>
          <w:sz w:val="20"/>
          <w:u w:val="single"/>
        </w:rPr>
        <w:t>Permitted Purpose</w:t>
      </w:r>
      <w:r>
        <w:rPr>
          <w:rFonts w:ascii="Times New Roman" w:hAnsi="Times New Roman"/>
          <w:sz w:val="20"/>
        </w:rPr>
        <w:t xml:space="preserve">”). Such license shall terminate upon the earlier of the date that is thirty (30) days following (a) Landlord’s receipt of Tenant’s written request to terminate such license or (b) the expiration or termination of the Lease. Upon termination of such license, Landlord shall refrain from further use of Tenant’s Logo for the Permitted Purpose on the Permitted Platform.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Restricted Persons</w:t>
      </w:r>
      <w:r>
        <w:rPr>
          <w:rFonts w:ascii="Times New Roman" w:hAnsi="Times New Roman"/>
          <w:sz w:val="20"/>
        </w:rPr>
        <w:t xml:space="preserve">. Tenant is and will remain in compliance with the requirements of Executive Order </w:t>
      </w:r>
      <w:r>
        <w:rPr>
          <w:rFonts w:ascii="Times New Roman" w:hAnsi="Times New Roman"/>
          <w:sz w:val="20"/>
          <w:u w:val="single"/>
        </w:rPr>
        <w:t>No</w:t>
      </w:r>
      <w:r>
        <w:rPr>
          <w:rFonts w:ascii="Times New Roman" w:hAnsi="Times New Roman"/>
          <w:sz w:val="20"/>
        </w:rPr>
        <w:t>. 13224, 66 Fed Reg. 49079 (September 25, 2001) (the “</w:t>
      </w:r>
      <w:r>
        <w:rPr>
          <w:rFonts w:ascii="Times New Roman" w:hAnsi="Times New Roman"/>
          <w:sz w:val="20"/>
          <w:u w:val="single"/>
        </w:rPr>
        <w:t>Order</w:t>
      </w:r>
      <w:r>
        <w:rPr>
          <w:rFonts w:ascii="Times New Roman" w:hAnsi="Times New Roman"/>
          <w:sz w:val="20"/>
        </w:rPr>
        <w:t>”) and other similar requirements contained in the rules and regulations of the Office of Foreign Asset Control, Department of the Treasury (“</w:t>
      </w:r>
      <w:r>
        <w:rPr>
          <w:rFonts w:ascii="Times New Roman" w:hAnsi="Times New Roman"/>
          <w:sz w:val="20"/>
          <w:u w:val="single"/>
        </w:rPr>
        <w:t>OFAC</w:t>
      </w:r>
      <w:r>
        <w:rPr>
          <w:rFonts w:ascii="Times New Roman" w:hAnsi="Times New Roman"/>
          <w:sz w:val="20"/>
        </w:rPr>
        <w:t>”) and in any enabling legislation or other Executive Orders in respect thereof (the Order and such other rules, regulations, legislation, or orders are collectively called the “</w:t>
      </w:r>
      <w:r>
        <w:rPr>
          <w:rFonts w:ascii="Times New Roman" w:hAnsi="Times New Roman"/>
          <w:sz w:val="20"/>
          <w:u w:val="single"/>
        </w:rPr>
        <w:t>Orders</w:t>
      </w:r>
      <w:r>
        <w:rPr>
          <w:rFonts w:ascii="Times New Roman" w:hAnsi="Times New Roman"/>
          <w:sz w:val="20"/>
        </w:rPr>
        <w:t xml:space="preserve">”). Tenant: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not listed on the Specially Designated Nationals and Blocked Persons List maintained by OFAC pursuant to the Order or on any other list of terrorists or terrorist organizations maintained pursuant to any of the rules and regulations of OFAC or pursuant to any other applicable Orders (such lists are collectively referred to as the “</w:t>
            </w:r>
            <w:r>
              <w:rPr>
                <w:rFonts w:ascii="Times New Roman" w:hAnsi="Times New Roman"/>
                <w:sz w:val="20"/>
                <w:u w:val="single"/>
              </w:rPr>
              <w:t>Lists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determined by competent authority to be subject to the prohibitions contained in the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and will not become owned or controlled by, nor act for or on behalf of, any person or entity on the Lists or any other person or entity that has been determined by competent authority to be subject to the prohibitions contained in the Orders;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knowingly engaged in, and will not knowingly engage in, any dealings or transactions or be otherwise associated with such persons or entities on the Lists or that has been determined by competent authority to be subject to the prohibitions contained in the Orders;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agrees to cooperate with Landlord in providing such additional information and documentation on Tenant’s legal or beneficial ownership, policies, procedures and sources of funds as Landlord reasonably deems necessary or prudent solely to enable it to comply with Orders or anti-money laundering laws as now in existence or hereafter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breach or violation of this Section 8.28(g) shall, at Landlord’s option, constitute an Event of Default by Tenant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Confidentiality</w:t>
      </w:r>
      <w:r>
        <w:rPr>
          <w:rFonts w:ascii="Times New Roman" w:hAnsi="Times New Roman"/>
          <w:sz w:val="20"/>
        </w:rPr>
        <w:t xml:space="preserve">. Tenant acknowledges that the terms and conditions of this Lease are to remain confidential for Landlord’s benefit, and may not be disclosed by Tenant to anyone, by any manner or means, directly or indirectly, without Landlord’s prior written consent. The consent by Landlord to any disclosures shall not be deemed to be a waiver on the part of Landlord of any prohibition against any future disclosure.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Subordination</w:t>
      </w:r>
      <w:r>
        <w:rPr>
          <w:rFonts w:ascii="Times New Roman" w:hAnsi="Times New Roman"/>
          <w:sz w:val="20"/>
        </w:rPr>
        <w:t>: This Lease shall be subject and subordinate to any first mortgage now or hereafter on the Lot or Building, or any combination thereof, which are separately and together hereinafter in this Article IX referred to as the “</w:t>
      </w:r>
      <w:r>
        <w:rPr>
          <w:rFonts w:ascii="Times New Roman" w:hAnsi="Times New Roman"/>
          <w:sz w:val="20"/>
          <w:u w:val="single"/>
        </w:rPr>
        <w:t>mortgaged premises</w:t>
      </w:r>
      <w:r>
        <w:rPr>
          <w:rFonts w:ascii="Times New Roman" w:hAnsi="Times New Roman"/>
          <w:sz w:val="20"/>
        </w:rPr>
        <w:t xml:space="preserve">,” and to each advance made or hereafter to be made under any mortgage, and to all renewals, modifications, consolidations, replacements and extensions thereof and all substitutions therefore. This Section 9.1 shall be self-operative and no further instrument of subordination shall be required; however, Tenant shall execute and deliver promptly any instrument, in recordable form if requested by Landlord or any mortgagee, that Landlord, any Lessor or mortgagee may request to evidence and confirm such subordination. Tenant shall not do anything that would constitute a default under any mortgage of the mortgaged premises, or omit to do anything that Tenant is obligated to do under the terms of this Lease so as to cause Landlord to be in default thereunder. If, in connection with the financing of the Property, the Lot or the Building, or if any lending institution or Lessor shall request reasonable modifications of this Lease that do not increase Tenant’s monetary obligations under this Lease, or materially adversely affect or diminish the rights, or materially increase the other obligations of Tenant under this Lease, Tenant shall make such modifications. </w:t>
      </w:r>
    </w:p>
    <w:p>
      <w:pPr>
        <w:pStyle w:val="TextBody"/>
        <w:bidi w:val="0"/>
        <w:spacing w:before="240" w:after="0"/>
        <w:jc w:val="left"/>
        <w:rPr>
          <w:rFonts w:ascii="Times New Roman" w:hAnsi="Times New Roman"/>
          <w:sz w:val="20"/>
        </w:rPr>
      </w:pPr>
      <w:r>
        <w:rPr>
          <w:rFonts w:ascii="Times New Roman" w:hAnsi="Times New Roman"/>
          <w:sz w:val="20"/>
        </w:rPr>
        <w:t xml:space="preserve">Within a commercially reasonable period of time following the execution of this Lease, Landlord shall use commercially reasonable efforts to obtain from holders of all mortgages or ground leases, as applicable, having an interest in the Premises superior to the interest of Tenant hereunder, a Subordination and Non-Disturbance Agreement signed by the holder of any mortgages, ground leases, or deeds of trust upon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Attornment</w:t>
      </w:r>
      <w:r>
        <w:rPr>
          <w:rFonts w:ascii="Times New Roman" w:hAnsi="Times New Roman"/>
          <w:sz w:val="20"/>
        </w:rPr>
        <w:t xml:space="preserve">. If at any time prior to the expiration of the Term, any mortgagee comes into possession of the Property, the Lot or the Building or the estate created by receiver or otherwise, Tenant agrees, at the election and upon demand of any owner of the Property, the Lot or the Building, or of the Landlord, or of any mortgagee in possession of the Property, the Lot or the Building, to attorn, from time to time, to any such owner, Landlord or mortgagee or any person acquiring the interest of Landlord as a result of any such termination, or as a result of a foreclosure of the mortgage or the granting of a deed in lieu of foreclosure, upon the then executory terms and conditions of this Lease, for the remainder of the Term, provided that such owner, landlord or mortgagee, or receiver caused to be appointed by any of the foregoing, as the case may be, shall then be entitled to possession of the Premises and provided further that such owner, landlord or mortgagee, as the case may be, or anyone claiming by, through or under such owner, landlord or mortgagee, as the case may be, including a purchaser at a foreclosure sale, shall not be: </w:t>
      </w:r>
    </w:p>
    <w:p>
      <w:pPr>
        <w:pStyle w:val="TextBody"/>
        <w:bidi w:val="0"/>
        <w:spacing w:before="240" w:after="0"/>
        <w:jc w:val="left"/>
        <w:rPr>
          <w:rFonts w:ascii="Times New Roman" w:hAnsi="Times New Roman"/>
          <w:sz w:val="20"/>
        </w:rPr>
      </w:pPr>
      <w:r>
        <w:rPr>
          <w:rFonts w:ascii="Times New Roman" w:hAnsi="Times New Roman"/>
          <w:sz w:val="20"/>
        </w:rPr>
        <w:t xml:space="preserve">9.2.1 liable for any act or omission of any prior landlord (including, without limitation, the then defaulting landlord); or </w:t>
      </w:r>
    </w:p>
    <w:p>
      <w:pPr>
        <w:pStyle w:val="TextBody"/>
        <w:bidi w:val="0"/>
        <w:spacing w:before="240" w:after="0"/>
        <w:jc w:val="left"/>
        <w:rPr>
          <w:rFonts w:ascii="Times New Roman" w:hAnsi="Times New Roman"/>
          <w:sz w:val="20"/>
        </w:rPr>
      </w:pPr>
      <w:r>
        <w:rPr>
          <w:rFonts w:ascii="Times New Roman" w:hAnsi="Times New Roman"/>
          <w:sz w:val="20"/>
        </w:rPr>
        <w:t xml:space="preserve">9.2.2 subject to any defense or offsets which Tenant may have against any prior landlord (including, without limitation, the then defaulting landlord); or </w:t>
      </w:r>
    </w:p>
    <w:p>
      <w:pPr>
        <w:pStyle w:val="TextBody"/>
        <w:bidi w:val="0"/>
        <w:spacing w:before="240" w:after="0"/>
        <w:jc w:val="left"/>
        <w:rPr>
          <w:rFonts w:ascii="Times New Roman" w:hAnsi="Times New Roman"/>
          <w:sz w:val="20"/>
        </w:rPr>
      </w:pPr>
      <w:r>
        <w:rPr>
          <w:rFonts w:ascii="Times New Roman" w:hAnsi="Times New Roman"/>
          <w:sz w:val="20"/>
        </w:rPr>
        <w:t xml:space="preserve">9.2.3 bound by any payment of Rent which Tenant may have made to any prior landlord (including, without limitation, the then defaulting landlord) more than thirty (30) days in advance of the date upon which such payment was due; or </w:t>
      </w:r>
    </w:p>
    <w:p>
      <w:pPr>
        <w:pStyle w:val="TextBody"/>
        <w:bidi w:val="0"/>
        <w:spacing w:before="240" w:after="0"/>
        <w:jc w:val="left"/>
        <w:rPr>
          <w:rFonts w:ascii="Times New Roman" w:hAnsi="Times New Roman"/>
          <w:sz w:val="20"/>
        </w:rPr>
      </w:pPr>
      <w:r>
        <w:rPr>
          <w:rFonts w:ascii="Times New Roman" w:hAnsi="Times New Roman"/>
          <w:sz w:val="20"/>
        </w:rPr>
        <w:t xml:space="preserve">9.2.4 bound by any obligation to perform any work or to make improvements to the Premises, except for: </w:t>
      </w:r>
    </w:p>
    <w:p>
      <w:pPr>
        <w:pStyle w:val="TextBody"/>
        <w:bidi w:val="0"/>
        <w:spacing w:before="240" w:after="0"/>
        <w:jc w:val="left"/>
        <w:rPr>
          <w:rFonts w:ascii="Times New Roman" w:hAnsi="Times New Roman"/>
          <w:sz w:val="20"/>
        </w:rPr>
      </w:pPr>
      <w:r>
        <w:rPr>
          <w:rFonts w:ascii="Times New Roman" w:hAnsi="Times New Roman"/>
          <w:sz w:val="20"/>
        </w:rPr>
        <w:t xml:space="preserve">(a) repairs and maintenance pursuant to applicable provisions of this Lease, the need for which repairs and maintenance first arises after the date upon which such owner, lessor, or mortgagee shall be entitled to possession of the Premises; and </w:t>
      </w:r>
    </w:p>
    <w:p>
      <w:pPr>
        <w:pStyle w:val="TextBody"/>
        <w:bidi w:val="0"/>
        <w:spacing w:before="240" w:after="0"/>
        <w:jc w:val="left"/>
        <w:rPr>
          <w:rFonts w:ascii="Times New Roman" w:hAnsi="Times New Roman"/>
          <w:sz w:val="20"/>
        </w:rPr>
      </w:pPr>
      <w:r>
        <w:rPr>
          <w:rFonts w:ascii="Times New Roman" w:hAnsi="Times New Roman"/>
          <w:sz w:val="20"/>
        </w:rPr>
        <w:t xml:space="preserve">(b) repairs to the Premises or any part thereof as a result of damage by fire or other casualty, or taking, pursuant to Section 6.1 hereof, but only to the extent that such repairs can be reasonably made from the net proceeds of any insurance actually made available to such owner, lessor or mortgagee; or </w:t>
      </w:r>
    </w:p>
    <w:p>
      <w:pPr>
        <w:pStyle w:val="TextBody"/>
        <w:bidi w:val="0"/>
        <w:spacing w:before="240" w:after="0"/>
        <w:jc w:val="left"/>
        <w:rPr>
          <w:rFonts w:ascii="Times New Roman" w:hAnsi="Times New Roman"/>
          <w:sz w:val="20"/>
        </w:rPr>
      </w:pPr>
      <w:r>
        <w:rPr>
          <w:rFonts w:ascii="Times New Roman" w:hAnsi="Times New Roman"/>
          <w:sz w:val="20"/>
        </w:rPr>
        <w:t xml:space="preserve">9.2.5 bound by any amendment or modification of this Lease made without its consent; or </w:t>
      </w:r>
    </w:p>
    <w:p>
      <w:pPr>
        <w:pStyle w:val="TextBody"/>
        <w:bidi w:val="0"/>
        <w:spacing w:before="240" w:after="0"/>
        <w:jc w:val="left"/>
        <w:rPr>
          <w:rFonts w:ascii="Times New Roman" w:hAnsi="Times New Roman"/>
          <w:sz w:val="20"/>
        </w:rPr>
      </w:pPr>
      <w:r>
        <w:rPr>
          <w:rFonts w:ascii="Times New Roman" w:hAnsi="Times New Roman"/>
          <w:sz w:val="20"/>
        </w:rPr>
        <w:t xml:space="preserve">9.2.6 bound to return Tenant’s security deposit, if any, until such deposit has come into its actual possession and Tenant would be entitled to such security deposit pursuant to the terms of this Lease.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9.2 shall enure to the benefit of any such owner, lessor or mortgagee, shall be self operative upon any such demand, and no further instrument shall be required to give effect to said provisions. Tenant, however, upon demand of any such owner, lessor or mortgagee, shall execute, at Tenant’s expense, from time to time, instruments, in recordable form, in confirmation of the foregoing provisions of this Section 9.2, satisfactory to any such owner, Lessor or Mortgagee, acknowledging such attornment and setting forth the terms and conditions of its tenancy. Nothing contained in this Section 9.2 shall be construed to impair any right otherwise exercisable by any such owner, lessor or mortgagee.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GENERATOR; EXHAUST FAN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Generator; Exhaust Fan</w:t>
      </w:r>
      <w:r>
        <w:rPr>
          <w:rFonts w:ascii="Times New Roman" w:hAnsi="Times New Roman"/>
          <w:sz w:val="20"/>
        </w:rPr>
        <w:t>. Landlord shall purchase and install (i) one (1) larger common generator located on the Property to operate an electric generator (the “</w:t>
      </w:r>
      <w:r>
        <w:rPr>
          <w:rFonts w:ascii="Times New Roman" w:hAnsi="Times New Roman"/>
          <w:sz w:val="20"/>
          <w:u w:val="single"/>
        </w:rPr>
        <w:t>Generator</w:t>
      </w:r>
      <w:r>
        <w:rPr>
          <w:rFonts w:ascii="Times New Roman" w:hAnsi="Times New Roman"/>
          <w:sz w:val="20"/>
        </w:rPr>
        <w:t>”), and (ii) one (1) exhaust fan (the “</w:t>
      </w:r>
      <w:r>
        <w:rPr>
          <w:rFonts w:ascii="Times New Roman" w:hAnsi="Times New Roman"/>
          <w:sz w:val="20"/>
          <w:u w:val="single"/>
        </w:rPr>
        <w:t>Exhaust Fan</w:t>
      </w:r>
      <w:r>
        <w:rPr>
          <w:rFonts w:ascii="Times New Roman" w:hAnsi="Times New Roman"/>
          <w:sz w:val="20"/>
        </w:rPr>
        <w:t>”) located on the roof of the Building designated by Landlord (the “</w:t>
      </w:r>
      <w:r>
        <w:rPr>
          <w:rFonts w:ascii="Times New Roman" w:hAnsi="Times New Roman"/>
          <w:sz w:val="20"/>
          <w:u w:val="single"/>
        </w:rPr>
        <w:t>Exhaust Fan Area</w:t>
      </w:r>
      <w:r>
        <w:rPr>
          <w:rFonts w:ascii="Times New Roman" w:hAnsi="Times New Roman"/>
          <w:sz w:val="20"/>
        </w:rPr>
        <w:t xml:space="preserve">”). Together, the Generator and the Exhaust Fan are referred to herein as “Exterior Equipment.” Together, the Generator Area and the Exhaust Fan Area are referred to herein as the “Exterior Areas.” Subject to delays caused by Force Majeure, Landlord shall use commercially reasonable effort to complete all construction and installation work with respect to the Generator and Exhaust Fan on or before June 30, 2021.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Installation and Maintenance of Generator and Exhaust Fan</w:t>
      </w:r>
      <w:r>
        <w:rPr>
          <w:rFonts w:ascii="Times New Roman" w:hAnsi="Times New Roman"/>
          <w:sz w:val="20"/>
        </w:rPr>
        <w:t>. Landlord shall install Exterior Equipment at such times and in such manner as Landlord may reasonably designate and in accordance with all of the provisions of this Lease; provided, however, that (i) Landlord and/or other tenants located on the second (2nd) floor shall be responsible for only 80.87% with respect to any costs, expenses, fees, amounts or the like associated with the repair, maintenance, replacement, operation, use, inspection, working around, moving or temporarily relocating of the Generator (“</w:t>
      </w:r>
      <w:r>
        <w:rPr>
          <w:rFonts w:ascii="Times New Roman" w:hAnsi="Times New Roman"/>
          <w:sz w:val="20"/>
          <w:u w:val="single"/>
        </w:rPr>
        <w:t>Landlord’s Generator Portion</w:t>
      </w:r>
      <w:r>
        <w:rPr>
          <w:rFonts w:ascii="Times New Roman" w:hAnsi="Times New Roman"/>
          <w:sz w:val="20"/>
        </w:rPr>
        <w:t>”), and Tenant shall be responsible for only 19.13% with respect to any costs, expenses, fees, amounts or the like associated with the repair, maintenance, replacement, operation, use, inspection, working around, moving or temporarily relocating of the Generator (“</w:t>
      </w:r>
      <w:r>
        <w:rPr>
          <w:rFonts w:ascii="Times New Roman" w:hAnsi="Times New Roman"/>
          <w:sz w:val="20"/>
          <w:u w:val="single"/>
        </w:rPr>
        <w:t>Tenant’s Generator Portion</w:t>
      </w:r>
      <w:r>
        <w:rPr>
          <w:rFonts w:ascii="Times New Roman" w:hAnsi="Times New Roman"/>
          <w:sz w:val="20"/>
        </w:rPr>
        <w:t>”), and (ii) Landlord and/or other tenants located on the second (2nd) floor shall be responsible for only 80.67% with respect to any costs, expenses, fees, amounts or the like associated with the repair, maintenance, replacement, operation, use, inspection, working around, moving or temporarily relocating of the Exhaust Fan (“</w:t>
      </w:r>
      <w:r>
        <w:rPr>
          <w:rFonts w:ascii="Times New Roman" w:hAnsi="Times New Roman"/>
          <w:sz w:val="20"/>
          <w:u w:val="single"/>
        </w:rPr>
        <w:t>Landlord’s Exhaust Fan Portion</w:t>
      </w:r>
      <w:r>
        <w:rPr>
          <w:rFonts w:ascii="Times New Roman" w:hAnsi="Times New Roman"/>
          <w:sz w:val="20"/>
        </w:rPr>
        <w:t>”), and Tenant shall be responsible for only 19.33% with respect to any costs, expenses, fees, amounts or the like associated with the repair, maintenance, replacement, operation, use, inspection, working around, moving or temporarily relocating of the Exhaust Fan (“</w:t>
      </w:r>
      <w:r>
        <w:rPr>
          <w:rFonts w:ascii="Times New Roman" w:hAnsi="Times New Roman"/>
          <w:sz w:val="20"/>
          <w:u w:val="single"/>
        </w:rPr>
        <w:t>Tenant’s Exhaust Fan Portion</w:t>
      </w:r>
      <w:r>
        <w:rPr>
          <w:rFonts w:ascii="Times New Roman" w:hAnsi="Times New Roman"/>
          <w:sz w:val="20"/>
        </w:rPr>
        <w:t xml:space="preserve">”). Tenant shall pay Landlord following a written request therefor, with the next payment of Rent, (i) Tenant’s Generator Portion and/or Tenant’s Exhaust Fan Portion, as applicable, (ii) Tenant’s Generator Portion and/or Tenant’s Exhaust Fan Portion, as applicable, of all applicable taxes or governmental charges, fees, or impositions imposed on Landlord because of the use of the Exterior Areas and (iii) Tenant’s Generator Portion and/or Tenant’s Exhaust Fan Portion, as applicable, of the amount of any increase in Landlord’s insurance premiums as a result of the installation of any Exterior Equipment. The Generator shall be fenced in or otherwise protected in accordance with best practices observed by other users of similarly- sized equipment with similar functions in the Lexington and Bedford, Massachusetts area.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Indemnification</w:t>
      </w:r>
      <w:r>
        <w:rPr>
          <w:rFonts w:ascii="Times New Roman" w:hAnsi="Times New Roman"/>
          <w:sz w:val="20"/>
        </w:rPr>
        <w:t xml:space="preserve">. Landlord and Tenant, as applicable, shall each indemnify and defend the other and its Indemnitees against any liability, claim or cost, including reasonable attorneys’ fees, incurred in connection with the loss of life, personal injury, damage to property or business or any other loss or injury (except to the extent due to the negligence or willful misconduct of such party or its employees, agents or contractors) to the extent arising out of the installation, use,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 of Exterior Equipment by each party or its employees, agents, or contractors. Landlord assumes no responsibility for interference in the operation of Exterior Equipment caused by other tenants’ equipment, or for interference in the operation of other tenants’ equipment caused by the Exterior Equipment, and Tenant hereby waives any claims against Landlord arising from such interference. The provisions of this paragraph shall survive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Relocation of Exterior Equipment</w:t>
      </w:r>
      <w:r>
        <w:rPr>
          <w:rFonts w:ascii="Times New Roman" w:hAnsi="Times New Roman"/>
          <w:sz w:val="20"/>
        </w:rPr>
        <w:t xml:space="preserve">. Based on Landlord’s good faith determination that such relocation is reasonably necessary, Landlord reserves the right to relocate Exterior Equipment to comparably functional space by giving Tenant prior notice of such intention to relocate. If within thirty (30) days after receipt of such notice Tenant has not agreed with Landlord on the space to which such Exterior Equipment is to be relocated, the timing of such relocation, and the terms of such relocation, then Landlord shall have the right to make all such determinations in its reasonable judgment. Landlord agrees to pay Landlord’s Generator Portion and/or Landlord’s Exhaust Fan Portion, as applicable, and Tenant agrees to pay Tenant’s Generator Portion and/or Tenant’s Exhaust Fan Portion, as applicable, of the reasonable cost of moving either the Generator or the Exhaust Fan to such other space, taking such other steps necessary to ensure comparable functionality of the applicable Exterior Equipment, and finishing such space to a condition comparable to the location of such Exterior Equipment immediately preceding such relocation.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Ownership of Exterior Equipment; Landlord’s Property</w:t>
      </w:r>
      <w:r>
        <w:rPr>
          <w:rFonts w:ascii="Times New Roman" w:hAnsi="Times New Roman"/>
          <w:sz w:val="20"/>
        </w:rPr>
        <w:t xml:space="preserve">. Landlord and Tenant hereby acknowledge and agree that Exterior Equipment shall be Landlord’s personal property for all purposes. Upon the expiration or earlier termination of the Lease, Landlord and Tenant hereby acknowledge and agree that Landlord shall retain Exterior Equipment, and such Exterior Equipment shall not be removed at any time, whether during or after the Term of the Lease.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REMAINDER OF PAGE INTENTIONALLY LEFT BLANK</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u w:val="single"/>
        </w:rPr>
        <w:t>SIGNATURE PAGE TO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Landlord and Tenant have caused this Lease to be executed as of the date set forth above. </w:t>
      </w:r>
    </w:p>
    <w:p>
      <w:pPr>
        <w:pStyle w:val="TextBody"/>
        <w:bidi w:val="0"/>
        <w:spacing w:before="240" w:after="0"/>
        <w:jc w:val="left"/>
        <w:rPr>
          <w:rFonts w:ascii="Times New Roman" w:hAnsi="Times New Roman"/>
          <w:sz w:val="20"/>
        </w:rPr>
      </w:pPr>
      <w:r>
        <w:rPr>
          <w:rFonts w:ascii="Times New Roman" w:hAnsi="Times New Roman"/>
          <w:b/>
          <w:sz w:val="20"/>
          <w:u w:val="single"/>
        </w:rPr>
        <w:t>LANDLORD</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PATRIOTS PARK OWNER, LLC</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Jay O. Hirsh</w:t>
            </w:r>
          </w:p>
        </w:tc>
      </w:tr>
      <w:tr>
        <w:trPr/>
        <w:tc>
          <w:tcPr>
            <w:tcW w:w="70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Jay O. Hirsh</w:t>
            </w:r>
          </w:p>
        </w:tc>
      </w:tr>
      <w:tr>
        <w:trPr/>
        <w:tc>
          <w:tcPr>
            <w:tcW w:w="70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b/>
          <w:sz w:val="20"/>
          <w:u w:val="single"/>
        </w:rPr>
        <w:t>TENANT</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0"/>
        <w:gridCol w:w="3301"/>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K. Wotton</w:t>
            </w:r>
          </w:p>
        </w:tc>
      </w:tr>
      <w:tr>
        <w:trPr/>
        <w:tc>
          <w:tcPr>
            <w:tcW w:w="72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Paul K. Wotton</w:t>
            </w:r>
          </w:p>
        </w:tc>
      </w:tr>
      <w:tr>
        <w:trPr/>
        <w:tc>
          <w:tcPr>
            <w:tcW w:w="72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SIGNATURE PAGE TO LEASE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SITE PLAN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FLOOR PLAN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WORK LETTER </w:t>
      </w:r>
    </w:p>
    <w:p>
      <w:pPr>
        <w:pStyle w:val="TextBody"/>
        <w:bidi w:val="0"/>
        <w:spacing w:before="240" w:after="0"/>
        <w:jc w:val="left"/>
        <w:rPr>
          <w:rFonts w:ascii="Times New Roman" w:hAnsi="Times New Roman"/>
          <w:sz w:val="20"/>
        </w:rPr>
      </w:pPr>
      <w:r>
        <w:rPr>
          <w:rFonts w:ascii="Times New Roman" w:hAnsi="Times New Roman"/>
          <w:sz w:val="20"/>
        </w:rPr>
        <w:t>This Exhibit is attached to and made a part of the Lease (the “</w:t>
      </w:r>
      <w:r>
        <w:rPr>
          <w:rFonts w:ascii="Times New Roman" w:hAnsi="Times New Roman"/>
          <w:sz w:val="20"/>
          <w:u w:val="single"/>
        </w:rPr>
        <w:t>Lease</w:t>
      </w:r>
      <w:r>
        <w:rPr>
          <w:rFonts w:ascii="Times New Roman" w:hAnsi="Times New Roman"/>
          <w:sz w:val="20"/>
        </w:rPr>
        <w:t>”) by and between PATRIOTS PARK OWNER, LLC (“</w:t>
      </w:r>
      <w:r>
        <w:rPr>
          <w:rFonts w:ascii="Times New Roman" w:hAnsi="Times New Roman"/>
          <w:sz w:val="20"/>
          <w:u w:val="single"/>
        </w:rPr>
        <w:t>Landlord</w:t>
      </w:r>
      <w:r>
        <w:rPr>
          <w:rFonts w:ascii="Times New Roman" w:hAnsi="Times New Roman"/>
          <w:sz w:val="20"/>
        </w:rPr>
        <w:t>”), and OBSIDIAN THERAPEUTICS, INC. (“</w:t>
      </w:r>
      <w:r>
        <w:rPr>
          <w:rFonts w:ascii="Times New Roman" w:hAnsi="Times New Roman"/>
          <w:sz w:val="20"/>
          <w:u w:val="single"/>
        </w:rPr>
        <w:t>Tenant</w:t>
      </w:r>
      <w:r>
        <w:rPr>
          <w:rFonts w:ascii="Times New Roman" w:hAnsi="Times New Roman"/>
          <w:sz w:val="20"/>
        </w:rPr>
        <w:t xml:space="preserve">”), for space in the Building located at One Patriots Park, Bedford, Massachusetts 01730. Capitalized terms used but not defined herein shall have the meanings given in the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perform improvements to the Premises substantially in accordance with the plans agreed to by Landlord and Tenant, a copy of which is attached hereto as </w:t>
            </w:r>
            <w:r>
              <w:rPr>
                <w:rFonts w:ascii="Times New Roman" w:hAnsi="Times New Roman"/>
                <w:sz w:val="20"/>
                <w:u w:val="single"/>
              </w:rPr>
              <w:t xml:space="preserve">Exhibit C-1 </w:t>
            </w:r>
            <w:r>
              <w:rPr>
                <w:rFonts w:ascii="Times New Roman" w:hAnsi="Times New Roman"/>
                <w:sz w:val="20"/>
              </w:rPr>
              <w:t>(the “</w:t>
            </w:r>
            <w:r>
              <w:rPr>
                <w:rFonts w:ascii="Times New Roman" w:hAnsi="Times New Roman"/>
                <w:sz w:val="20"/>
                <w:u w:val="single"/>
              </w:rPr>
              <w:t>Plans</w:t>
            </w:r>
            <w:r>
              <w:rPr>
                <w:rFonts w:ascii="Times New Roman" w:hAnsi="Times New Roman"/>
                <w:sz w:val="20"/>
              </w:rPr>
              <w:t xml:space="preserve">”), and the Landlord / Tenant Matrix, a copy of which is attached hereto as </w:t>
            </w:r>
            <w:r>
              <w:rPr>
                <w:rFonts w:ascii="Times New Roman" w:hAnsi="Times New Roman"/>
                <w:sz w:val="20"/>
                <w:u w:val="single"/>
              </w:rPr>
              <w:t>Exhibit C-2</w:t>
            </w:r>
            <w:r>
              <w:rPr>
                <w:rFonts w:ascii="Times New Roman" w:hAnsi="Times New Roman"/>
                <w:sz w:val="20"/>
              </w:rPr>
              <w:t xml:space="preserve"> (the “</w:t>
            </w:r>
            <w:r>
              <w:rPr>
                <w:rFonts w:ascii="Times New Roman" w:hAnsi="Times New Roman"/>
                <w:sz w:val="20"/>
                <w:u w:val="single"/>
              </w:rPr>
              <w:t>Landlord / Tenant Matrix</w:t>
            </w:r>
            <w:r>
              <w:rPr>
                <w:rFonts w:ascii="Times New Roman" w:hAnsi="Times New Roman"/>
                <w:sz w:val="20"/>
              </w:rPr>
              <w:t xml:space="preserve">”), and otherwise in accordance with the construction schedule, a copy of which is attached hereto as </w:t>
            </w:r>
            <w:r>
              <w:rPr>
                <w:rFonts w:ascii="Times New Roman" w:hAnsi="Times New Roman"/>
                <w:sz w:val="20"/>
                <w:u w:val="single"/>
              </w:rPr>
              <w:t>Exhibit C-3</w:t>
            </w:r>
            <w:r>
              <w:rPr>
                <w:rFonts w:ascii="Times New Roman" w:hAnsi="Times New Roman"/>
                <w:sz w:val="20"/>
              </w:rPr>
              <w:t xml:space="preserve"> (the “</w:t>
            </w:r>
            <w:r>
              <w:rPr>
                <w:rFonts w:ascii="Times New Roman" w:hAnsi="Times New Roman"/>
                <w:sz w:val="20"/>
                <w:u w:val="single"/>
              </w:rPr>
              <w:t>Construction Schedule</w:t>
            </w:r>
            <w:r>
              <w:rPr>
                <w:rFonts w:ascii="Times New Roman" w:hAnsi="Times New Roman"/>
                <w:sz w:val="20"/>
              </w:rPr>
              <w:t>”). The improvements to be performed by Landlord in accordance with the Plans and the Landlord Tenant Matrix are hereinafter referred to as the “Landlord’s Work.” It is agreed that construction of the Landlord’s Work is intended to be “turn-key” and will be completed at Landlord’s sole cost and expense (subject to the Maximum Amount (as hereinafter defined) and further subject to the terms of Paragraph D below) using Building standard methods, materials and finishes, and pursuant to a Guaranteed Maximum Price construction contract, it being hereby acknowledged and agreed by and between Landlord and Tenant that such contract shall be entered into by Landlord following the execution of the Lease. Landlord and Tenant agree that Landlord’s obligation to pay for the cost of Landlord’s Work (inclusive of the cost of preparing the Plans, obtaining permits and other related costs) shall be limited to Two Million Seven Hundred Twenty-One Thousand Four Hundred and 00/100 Dollars ($2,721,400.00) (the “</w:t>
            </w:r>
            <w:r>
              <w:rPr>
                <w:rFonts w:ascii="Times New Roman" w:hAnsi="Times New Roman"/>
                <w:sz w:val="20"/>
                <w:u w:val="single"/>
              </w:rPr>
              <w:t>Maximum Amount</w:t>
            </w:r>
            <w:r>
              <w:rPr>
                <w:rFonts w:ascii="Times New Roman" w:hAnsi="Times New Roman"/>
                <w:sz w:val="20"/>
              </w:rPr>
              <w:t>”), and that Tenant shall be responsible for the cost of Landlord’s Work, plus any applicable state sales or use tax, if any, to the extent that such cost exceeds the Maximum Amount. Landlord shall enter into a Guaranteed Maximum Price contract for the Landlord’s Work with a general contractor selected by Landlord. In addition, Landlord shall have the right to select and/or approve of any subcontractors used in connection with the Landlord’s Work. Landlord’s supervision or performance of any work for or on behalf of Tenant shall not be deemed a representation by Landlord that such Plans and the Landlord Tenant Matrix or the revisions thereto comply with applicable insurance requirements, building codes, ordinances, laws or regulations, or that the improvements constructed in accordance with the Plans and the Landlord Tenant Matrix and any revisions thereto will be adequate for Tenant’s use, it being agreed that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The total cost incurred by Landlord in performing the Landlord’s Work, including the Maximum Amount plus any Excess Costs, shall be referred to herein as the “</w:t>
            </w:r>
            <w:r>
              <w:rPr>
                <w:rFonts w:ascii="Times New Roman" w:hAnsi="Times New Roman"/>
                <w:sz w:val="20"/>
                <w:u w:val="single"/>
              </w:rPr>
              <w:t>Landlord’s Work Cost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Landlord’s estimate and/or the actual cost of the Landlord’s Work shall exceed the Maximum Amount, Landlord, prior to commencing any construction of Landlord’s Work, shall submit to Tenant a written estimate setting forth the anticipated cost of the Landlord’s Work, including but not limited to labor and materials, contractor’s fees and permit fees.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Within five (5) days thereafter, Tenant shall either notify Landlord in writing of its approval of the cost estimate, or specify its objections thereto and any desired changes to the proposed Landlord’s Work. If Tenant notifies Landlord of such objections and desired changes, Tenant shall work with Landlord to reach a mutually acceptable alternative cost estimate. If Tenant so objects and requires changes to the Plans and/or the Landlord Tenant Matrix, any delay resulting therefrom shall constitute a Tenant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Landlord shall make direct payments to contractors or other vendors for Landlord’s Work Cost for performance of the Landlord’s Work. Subject to the preceding paragraph, in the event that Landlord’s estimate and/or the actual cost of construction will likely exceed the Maximum Amount (such amounts exceeding the Maximum Amount being herein referred to as the “</w:t>
            </w:r>
            <w:r>
              <w:rPr>
                <w:rFonts w:ascii="Times New Roman" w:hAnsi="Times New Roman"/>
                <w:sz w:val="20"/>
                <w:u w:val="single"/>
              </w:rPr>
              <w:t>Excess Costs</w:t>
            </w:r>
            <w:r>
              <w:rPr>
                <w:rFonts w:ascii="Times New Roman" w:hAnsi="Times New Roman"/>
                <w:sz w:val="20"/>
              </w:rPr>
              <w:t xml:space="preserve">”), Tenant shall, within ten (10) days of Landlord’s request, reimburse Landlord for Landlord’s Work Cost actually paid by Landlord on a pro rata basis, in proportion to the Excess Costs calculated according to Landlord’s cost estimate versus the total amount of Landlord’s cost estimate. Tenant shall reimburse Landlord for Excess Costs by making payment to Landlord within ten (10) days from Landlord’s submission of a request for reimbursement for the Excess Costs paid or incurred by Landlord. Tenant’s failure to timely make payment(s) for Excess Costs shall constitute a Tenant Delay and entitle Landlord to cease the Landlord’s Work until Tenant has reimbursed Landlord in full for any Excess Costs. Tenant shall also be required to pay a project management fee to Jumbo Capital Incorporated in an amount not to exceed three percent (3%) of the Landlord’s Work Cost up to the Maximum Amount equal to $2,721,400.00, which fee shall be incorporated into the Maximum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shall request any revisions to the Plans and/or the Landlord Tenant Matrix, Landlord shall have such revisions prepared at Tenant’s sole cost and expense and Tenant shall reimburse Landlord for the cost of preparing any such revisions to the Plans and/or the Landlord Tenant Matrix, plus any applicable state sales or use tax thereon, upon demand. Promptly upon completion of the revisions, Landlord shall notify Tenant in writing of the increased cost in the Landlord’s Work, if any, resulting from such revisions to the Scope Plans and/or the Landlord Tenant Matrix. Tenant, within two (2) Business Days, shall notify Landlord in writing whether it desires to proceed with such revisions. In the absence of such written authorization, Landlord shall have the option to continue work on the Premises disregarding the requested revision. Tenant shall be responsible for any Tenant Delay in completion of the Premises resulting from any revision to the Plans and/or the Landlord Tenant Matrix. If such revisions result in a net increase in the cost of Landlord’s Work, such increased costs, plus any applicable state sales or use tax thereon, shall be payable by Tenant upon demand. Notwithstanding anything herein to the contrary, all revisions to the Plans and/or the Landlord Tenant Matrix shall be subject to the approval of Landlord.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portion of the Maximum Amount that exceeds the cost of the Landlord’s Work or is otherwise remaining after the date that is three (3) months after the Commencement Date shall accrue to the sole benefit of Landlord, it being agreed that Tenant shall not be entitled to any credit, offset, abatement or payment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In addition to the Maximum Amount, Landlord shall contribute a maximum of $1,187.52 (i.e., $0.12 per rentable square foot of the Premises) (the “</w:t>
            </w:r>
            <w:r>
              <w:rPr>
                <w:rFonts w:ascii="Times New Roman" w:hAnsi="Times New Roman"/>
                <w:sz w:val="20"/>
                <w:u w:val="single"/>
              </w:rPr>
              <w:t>Landlord’s Plans Contribution</w:t>
            </w:r>
            <w:r>
              <w:rPr>
                <w:rFonts w:ascii="Times New Roman" w:hAnsi="Times New Roman"/>
                <w:sz w:val="20"/>
              </w:rPr>
              <w:t xml:space="preserve">”) towards the cost of plans prepared by Tenant’s architect for the performance of the Landlord’s Work. Landlord shall reimburse Tenant for Landlord’s Plans Contribution within thirty (30) days of the Commencement Date, provided that Tenant has delivered to Landlord documentation the applicable costs, including, without limitation, invoices, bills or statement for the work completed or services rendered, and the materials and supplies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PLANS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LANDLORD/TENANT MATRIX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CONSTRUCTION SCHEDULE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RIDER </w:t>
      </w:r>
    </w:p>
    <w:p>
      <w:pPr>
        <w:pStyle w:val="TextBody"/>
        <w:bidi w:val="0"/>
        <w:spacing w:before="240" w:after="0"/>
        <w:jc w:val="left"/>
        <w:rPr>
          <w:rFonts w:ascii="Times New Roman" w:hAnsi="Times New Roman"/>
          <w:sz w:val="20"/>
        </w:rPr>
      </w:pPr>
      <w:r>
        <w:rPr>
          <w:rFonts w:ascii="Times New Roman" w:hAnsi="Times New Roman"/>
          <w:sz w:val="20"/>
        </w:rPr>
        <w:t>This Exhibit is attached to and made a part of the Lease by and between PATRIOTS PARK OWNER, LLC (“</w:t>
      </w:r>
      <w:r>
        <w:rPr>
          <w:rFonts w:ascii="Times New Roman" w:hAnsi="Times New Roman"/>
          <w:sz w:val="20"/>
          <w:u w:val="single"/>
        </w:rPr>
        <w:t>Landlord</w:t>
      </w:r>
      <w:r>
        <w:rPr>
          <w:rFonts w:ascii="Times New Roman" w:hAnsi="Times New Roman"/>
          <w:sz w:val="20"/>
        </w:rPr>
        <w:t>”), and OBSIDIAN THERAPEUTICS, INC. (“</w:t>
      </w:r>
      <w:r>
        <w:rPr>
          <w:rFonts w:ascii="Times New Roman" w:hAnsi="Times New Roman"/>
          <w:sz w:val="20"/>
          <w:u w:val="single"/>
        </w:rPr>
        <w:t>Tenant</w:t>
      </w:r>
      <w:r>
        <w:rPr>
          <w:rFonts w:ascii="Times New Roman" w:hAnsi="Times New Roman"/>
          <w:sz w:val="20"/>
        </w:rPr>
        <w:t xml:space="preserve">”) for space in the Building located at Bedford, Massachusetts 01730. </w:t>
      </w:r>
    </w:p>
    <w:p>
      <w:pPr>
        <w:pStyle w:val="TextBody"/>
        <w:bidi w:val="0"/>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PAYMENT OF OPERATING COSTS AND REAL ESTATE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Commencing on the Commencement Date, Tenant shall pay Tenant’s Proportionate Share of the amount of Operating Costs (defined below) and Real Estate Taxes (defined below) with respect to the Building. Landlord shall provide Tenant with a good faith estimate of the Operating Costs and Real Estate Taxes with respect to the Building for each calendar year during the Term. On or before the first day of each month, Tenant shall pay to Landlord a monthly installment equal to one-twelfth (1/12) of Tenant’s Proportionate Share of Landlord’s estimate of both Operating Costs and Real Estate Taxes with respect to the Building. After its receipt of any revised estimate, Tenant’s monthly payments shall be based upon such revised estimate. If Landlord does not provide Tenant with an estimate of Operating Costs and Real Estate Taxes with respect to the Building by January 1 of a calendar year, Tenant shall continue to pay monthly installments based on the previous year’s estimate(s) until Landlord provides Tenant with the new estimate. </w:t>
      </w:r>
    </w:p>
    <w:p>
      <w:pPr>
        <w:pStyle w:val="TextBody"/>
        <w:bidi w:val="0"/>
        <w:spacing w:before="240" w:after="0"/>
        <w:jc w:val="left"/>
        <w:rPr>
          <w:rFonts w:ascii="Times New Roman" w:hAnsi="Times New Roman"/>
          <w:sz w:val="20"/>
        </w:rPr>
      </w:pPr>
      <w:r>
        <w:rPr>
          <w:rFonts w:ascii="Times New Roman" w:hAnsi="Times New Roman"/>
          <w:sz w:val="20"/>
        </w:rPr>
        <w:t xml:space="preserve">1.2 As soon as is practical following the end of each calendar year but not later than one hundred eighty (180) days thereafter, Landlord shall furnish Tenant with a statement of the actual Operating Costs and Real Estate Taxes with respect to the Building for the prior calendar year. If either the estimated Operating Costs or Real Estate Taxes with respect to the Building for the prior calendar year are more than the actual Operating Costs or Real Estate Taxes with respect to the Building for the prior calendar year, Landlord shall either provide Tenant with a refund or apply any overpayment by Tenant against Additional Rent due or next becoming due, provided if the Term expires before the determination of the overpayment, Landlord shall refund any overpayment to Tenant after first deducting the amount of Rent due. If either the estimated Operating Costs or Real Estate Taxes with respect to the Building for the prior calendar year are less than the actual Operating Costs or Taxes with respect to the Building for such prior calendar year, for such prior year Tenant shall pay Landlord, within thirty (30) days after its receipt of the statement of Operating Costs or Real Estate Taxes with respect to the Building any deficiency for the prior calendar year. This provision shall survive the termination or earlier expiration of the Lease.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Operating Costs</w:t>
      </w:r>
      <w:r>
        <w:rPr>
          <w:rFonts w:ascii="Times New Roman" w:hAnsi="Times New Roman"/>
          <w:sz w:val="20"/>
        </w:rPr>
        <w:t xml:space="preserve">. “Operating Costs” shall mean all expenses, costs and amounts of every kind and nature which Landlord pays or accrues during any calendar year because of or in connection with the ownership, management, maintenance, security, repair, replacement, restoration or operation of the Property, Building or Premises, or any portion thereof. Without limiting the generality of the foregoing, Operating Costs shall specifically include any and all of the following: (i) the cost of supplying all utilities to the Common Areas, the cost of operating, repairing, maintaining, and renovating the utility, telephone, mechanical, sanitary, storm drainage, and elevator systems, and the cost of maintenance and service contracts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cost of licenses, certificates, permits and inspections and the cost of contesting any governmental enactments which may affect Operating Costs, and the costs incurred in connection with any federal, state or municipal governmentally mandated transportation demand management program or similar program; (iii) the cost of all insurance carried by Landlord in connection with the Property; (iv) the cost of landscaping, re-lamping, and all supplies, tools, equipment and materials used in the operation, repair and maintenance of the Property, or any portion thereof; (v) the cost of parking area operation, repair, restoration, and maintenance; (vi) fees and other costs, including an annual management fee equal to three and one-half percent (3.5%) of all the gross annual rentals with respect to the Building, consulting fees, legal fees and accounting fees, of all contractors and consultants in connection with the management, operation, maintenance and repair of the Property; (vii) payments under any equipment rental agreements and the fair rental value of any management office space; (viii) wages, salaries and other compensation and benefits, including taxes levied thereon, of all persons engaged in the operation, maintenance and security of the Property, including, without limitation, ten percent (10%) of senior property management staff; (ix) the cost of a dumpster and/or trash compactor at the Building for use by tenants for ordinary office waste (and not for Materials); (x) operation, repair, maintenance and replacement of all systems and equipment and components thereof of the Property; (xi) the cost of janitorial, alarm, security and other services, replacement of wall and floor coverings, ceiling tiles and fixtures in common areas, maintenance and replacement of curbs and walkways, repair to roofs and re-roofing; (xii) amortization (including reasonable interest on the unamortized cost) over such period of time as Landlord shall reasonably determine, of the cost of acquiring or the rental expense of personal property used in the maintenance, operation and repair of the Property, or any portion thereof; (xiii) the cost of capital expenditures of the Building and/or the Property by Landlord for capital improvements to improve life safety systems or capital improvements to the extent that they reduce environmental impacts or overall Operating Costs, or, to the extent enacted after the date of this Lease, as otherwise required to comply with applicable laws, the requirements of any governmental authority, or insurance requirements not in effect of as of the date of execution of this Lease (provided, however, that the costs of any capital improvement shall be amortized (including reasonable interest on the amortized cost as reasonably determined by Landlord) over such period of time as Landlord shall reasonably determine); (xiv) costs, fees, charges or assessments imposed by, or resulting from any mandate imposed on Landlord by, any federal, state or municipal government for fire and police protection, trash removal, community services, or other services which do not constitute “Real Estate Taxes”;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restrictions, and reciprocal easement agreements affecting the Property, and any agreements with governmental agencies affecting the Property. Landlord, by itself or through an affiliate, shall have the right to directly perform, provide and be compensated for any services under this Lease. If Landlord incurs Operating Costs for the Building or Property together with one or more other buildings or properties, whether pursuant to a reciprocal easement agreement, common area agreement or otherwise, the shared costs and expenses shall be equitably prorated and apportioned between the Building and Property and the other buildings or properties; provided, however, that Tenant shall pay Tenant’s Proportionate Share of the amount of Operating Costs and Real Estate Taxes with respect thereto for the Building pursuant to all terms and conditions of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Notwithstanding any provision of this Lease to the contrary, Operating Costs shall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renovation of leased premises in the Building incurred in connection with preparing space for a new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and depreciation charges (except as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expense for which Landlord is otherwise compensated through the actual receipt of insurance proceeds or is otherwise compensated by any tenant (including Tenant) of the Building, excluding all deductibles;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fees incurred in connection with leasing disputes and/or in connection with financings, refinancings, sales or syndications of any of Landlord’s interest in the Building;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following: any ground or underlying lease rental; bad debt expenses and interest, principal, points and fees on debts or amortization on any mortgage or other debt instrument encumbering the Building or the Lot; rentals for items which if purchased, rather than rented, would constitute a capital cost; costs incurred by Landlord to the extent that Landlord is reimbursed by insurance proceeds or is otherwise reimbursed; depreciation, amortization and interest payments, except on equipment, materials, tools, supplies and vendor-type equipment purchased by Landlord to enable Landlord to supply services Landlord might otherwise contract for with a third party where such depreciation, amortization and interest payments would otherwise have been included in the charge for such third party’s services, all as determined in accordance with generally accepted accounting principles, consistently applied, and when depreciation or amortization is permitted or required, the item shall be amortized over its reasonably anticipated useful life; advertising and promotional expenditures, and costs of acquisition and maintenance of signs in or on the Building identifying the owner of the Building or other tenants; marketing costs, including leasing commissions,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 costs, including permit, license and inspection costs, incurred with respect to the installation of other tenants’ or other occupants’ improvements or incurred in renovating or otherwise improving, decorating, painting or redecorating vacant space for tenants or other occupants of the Building; expenses in connection with services or other benefits which are not offered to Tenant or for which Tenant is charged for directly; costs incurred by Landlord due to the violation by Landlord or any tenant of the terms and conditions of any lease of space in the Building; rent for any office space occupied by Building management personnel to the extent the size or rental rate for of such office space exceeds the size or fair market rental value of office space occupied by management personnel of comparable buildings in the vicinity of the Building; amounts paid to Landlord or to subsidiaries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affiliates of Landlord for goods and/or services in the Building to the extent the same exceeds the costs of such goods and/or services rendered by unaffiliated third parties on a competitive basis; Landlord’s general corporate overhead; any compensation paid to clerks, attendants or other persons in commercial concessions operated by Landlord; services provided, taxes, attributable to, and costs incurred in connection with the operation of any retail, restaurant and garage operations for the Building; costs incurred in connection with upgrading the Building to comply with laws, rules, regulations and codes in effect prior to the Commencement Date; costs arising from the negligence or willful misconduct of Landlord or other tenants or occupants of the Building or their respective agents, employees, licensees, vendors, contractors or providers of materials or services; costs arising from Landlord’s charitable or political contributions; costs arising from latent defects; costs for sculpture, paintings or other objects of art; and costs associated with the operation of the business of the entity which constitutes Landlord as the same are distinguished from the costs of operation of the Building, including accounting and legal matters, costs of defending any lawsuits with any mortgagee (except as the actions of Tenant may be in issue), costs of selling, syndicating, financing, mortgaging or hypothecating any of Landlord’s interest in the Building, costs incurred in connection with any disputes between Landlord and its employees, between Landlord and Building management, or between Landlord and other tenants or occupants; and any other costs or expenses which would not be treated as Operating Costs in accordance with GAAP. </w:t>
            </w:r>
          </w:p>
        </w:tc>
      </w:tr>
    </w:tbl>
    <w:p>
      <w:pPr>
        <w:pStyle w:val="TextBody"/>
        <w:bidi w:val="0"/>
        <w:spacing w:before="240" w:after="0"/>
        <w:jc w:val="left"/>
        <w:rPr>
          <w:rFonts w:ascii="Times New Roman" w:hAnsi="Times New Roman"/>
          <w:sz w:val="20"/>
        </w:rPr>
      </w:pPr>
      <w:r>
        <w:rPr>
          <w:rFonts w:ascii="Times New Roman" w:hAnsi="Times New Roman"/>
          <w:sz w:val="20"/>
        </w:rPr>
        <w:t xml:space="preserve">2.2 If at any time during a calendar year the Building is not at least ninety-five percent (95%) occupied or Landlord is not supplying services to at least ninety-five percent (95%) of the total rentable square footage of the Building, Operating Costs that vary by occupancy shall, at Landlord’s option, be determined as if the Building had been ninety-five percent (95%) occupied and Landlord had been supplying services to ninety-five percent (95%) of the rentable square footage of the Building. For the purposes of the sentence immediately prior and the calculation of Tenant’s Operating Costs, Tenant shall be deemed to have begun occupancy of the Premises on the Commencement Date.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Real Estate Taxes</w:t>
      </w:r>
      <w:r>
        <w:rPr>
          <w:rFonts w:ascii="Times New Roman" w:hAnsi="Times New Roman"/>
          <w:sz w:val="20"/>
        </w:rPr>
        <w:t xml:space="preserve">. “Real Estate Taxes” shall mean: all taxes and assessments levied, assessed or imposed at any time by any governmental authority upon or against the Property, the Building. Any tax upon the Property and/or Building or other tax levied or imposed by any taxing authority in lieu of the present method of real estate taxing shall be deemed to be the Real Estate Taxes referred to in this provision. Real Estate Taxes shall include any and all expenses incurred in good faith by the Landlord in contesting the validity of, in seeking a reduction in, and/or in seeking to prevent an increase in any such tax or assessment. Said expenses shall be added to the Real Estate Taxes to coincide with the period in which said expenses are incurred. Real Estate Taxes shall not include any interest or penalties incurred by the Landlord due to any nonpayment or late payment. If a change in Real Estate Taxes is obtained for any year of the Term during which Tenant paid Tenant’s Proportionate Share of any Real Estate Taxes, then Real Estate Taxes for that year will be retroactively adjusted and Landlord shall provide Tenant with a credit, if any, based on the adjustment. Tenant shall pay Landlord the amount of Tenant’s Proportionate Share of Real Estate Taxes within thirty (30) days after Tenant’s receipt of a statement from Landlord. There shall be excluded from such taxes (A) all income taxes, excess profit taxes, excise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franchise taxes, and estate succession, inheritance and transfer taxes, and (B) any transfer tax or recording charge resulting from a transfer of the Property; provided, however, that if at any time during the Term the present system of ad valorem taxation of real property shall be changed so that in lieu of the whole or any part of the ad valorem tax on real property, there shall be assessed on Landlord a capital levy or other tax on the gross rents received with respect to the Property, or a federal, state, county, municipal, or other local income, franchise, excise or similar tax, assessment, levy or charge (distinct from any now in effect) measured by or based, in whole or in part, upon any such gross rents, the Tenant agrees that the Tenant shall pay an equitable share of the same computed in a fashion consistent with the method of computation herein provided, to the end that the Tenant’s share thereof shall be, to the maximum extent practicable, comparable to that which the Tenant would bear under the foregoing provisions.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Tenant’s Audit Rights</w:t>
      </w:r>
      <w:r>
        <w:rPr>
          <w:rFonts w:ascii="Times New Roman" w:hAnsi="Times New Roman"/>
          <w:sz w:val="20"/>
        </w:rPr>
        <w:t xml:space="preserve">. Each statement sent to Tenant shall constitute an account stated between Landlord and Tenant and shall be conclusively binding upon Tenant unless Tenant (i) pays to Landlord when due the amount set forth in such statement, without prejudice to Tenant’s right to audit such statement, and (ii) within ten (10) Business Days after such statement is delivered, Tenant sends a written notice to Landlord objecting to such statement, specifying the reasons for such objection and stating that Tenant will audit the records concerning Landlord’s Operating Costs objected to by Tenant, such audit to be performed by Tenant’s accountant used in the ordinary course of Tenant’s business within thirty (30) days of Tenant’s notice to Landlord; provided, however, that (a) Tenant shall do no more than one audit within a twelve (12) month period and (b) Tenant’s compensation of such accountant or other advisor shall not be determined on a contingency fee audit basis. Tenant and all auditors, representatives, contractors, agents, and other third parties involved on behalf of Tenant in any review, audit or dispute concerning Operating Costs shall execute and deliver to Landlord a confidentiality agreement, in form and substance reasonably satisfactory to Landlord, whereby such parties agree not to disclose to any third party any of the information obtained in connection with such review. If the parties are unable to resolve any such dispute within said thirty (30) day period, then either party may refer the issues raised by such review or audit to an independent nationally recognized public accounting firm selected by Landlord and reasonably acceptable to Tenant, and the decision of such accountants shall be conclusively binding upon Landlord and Tenant. In no event shall Tenant be permitted to examine Landlord’s records or to dispute any statement of Operating Costs unless Tenant has paid and continues to pay all Rent when due. Except as provided in this Section, Tenant shall have no right whatsoever to dispute by judicial proceeding or otherwise the accuracy of any statement. Notwithstanding anything to the contrary contained herein, if it is determined that Operating Costs for the applicable calendar year as set forth on any such Landlord’s statement were overstated by Landlord by more than five percent (5%), then Landlord shall reimburse Tenant for the reasonable costs and expenses incurred by Tenant in the performance of such audit up to a maximum amount of Two Thousand Five Hundred and 00/100 Dollars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and its employees shall not in any way obstruct the sidewalks, halls, stairways, or elevators of the Building, and shall use the same only as a means of passage to and from their respective offices. At no time shall Tenant permit its employees to loiter in Common Areas or elsewhere in and about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Corridor doors, when not in use, shall be kept 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animals, except appropriately certified and licensed service animals, shall be brought into or kept in, on or about the Premises, except with the express written consent of the property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restroom fixtures shall be used only for the purpose for which they were constructed and no rubbish, ashes, or other substances of any kind shall be thrown into them. Tenant will bear the expense of any damage resulting from misuse.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place any additional lock or locks on any exterior door in the Building or on any door in the Building core within the Premises, including doors providing access to the telephone and electric closets and the slop sink, without Landlord’s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Tenant shall have control of all keys to doors within the Premises, but will provide Landlord with a master copy of same. At Landlord’s option, all keys shall be surrendered to Landlord at the expiration or earlier termination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reserves the right to exclude or expel from the Building any persons who, in the judgment of Landlord, is intoxicated under the influence of liquor or drugs, or shall do any act in violation of the rules and regulations of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Areas used in common by tenants shall be subject to such additional reasonable regulations as are posted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reserves the right to close and keep locked all entrance and exit doors of the Building during the hours Landlord may deem advisable for the adequate protection of the property. Use of the Building and the leased Premises before 8 AM or after 6 PM, or any time during Saturday, Sundays or legal holidays shall be allowed only to persons with a key/card key to the Premises or guests accompanied by such persons. At these times, all occupants and their guests must sign in at the concierge when entering and exiting the Building. Any persons found in the Building after hours without such keys/card keys are subject to the surveillance of building staff.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will not interfere with or obstruct any perimeter heating, air conditioning or ventilating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and Tenant shall mutually agree on the termite and pest extermination service to control termites and pests in the Premises. Except as included in Landlord’s services, tenants shall bear the cost and expense of such extermination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install, operate or maintain in the Premises or in any other area of the Building, any electrical equipment which does not bear the U/L (Underwriters Laboratories) or IEC (International Electrotechnical Conference) seal of approval, or which would overload the electrical system or any part thereof beyond its capacity for proper, efficient and safe operation as reasonably determined by Landlord, taking into consideration the overall electrical system, the capacities reserved to Tenant in the Lease, and the present and future requirements therefor in the Building. Tenant shall not use more than Tenant’s share of telephone lines available to service the Building, unless Tenant provides its own conduits and service at its sole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operate or permit to be operated on the Premises any coin or token operated vending machine or similar device (including, without limitation, telephones, lockers, toilets, scales, amusement devices and machines for sale of beverages food, candy, cigarettes or other goods), except for those vending machines or similar devices which are for the sole and exclusive use of Tenant’s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Bicycles and other vehicles are not permitted inside or on the walkways outside the Building, except in those areas specifically designated by Landlord for such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may from time to time adopt appropriate systems and procedures for the security or safety of the Building, its occupants, entry and use, or its contents, provided that Tenant shall have access to the Building 24 hours per day, 7 days a week. Tenant, Tenant’s agents, employees, contractors, guests and invitees shall comply with Landlord’s reasonable requirements relative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Canvassing, soliciting, and peddling in or about the Building is prohibited. Tenant shall cooperate and use reasonable efforts to prevent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no time shall Tenant permit or shall Tenant’s agents, employees, contractors, guests, or invitees smoke in any Common Areas of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at its sole cost and expense: keep any garbage, trash, rubbish and refuse in vermin-proof containers within the interior of the Premises until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 operators who travel outside lab space must abide by the “one glove” rule and Landlord and Tenant shall mutually agree on those areas where lab coats are not allowed.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 operators carrying any lab related materials requiring the use of elevators or stairs may only travel in Tenant’s freight elevator. At no time should any lab materials travel in passenger elevators or the stairwells. Lab-related materials shall enter the Premises only through Tenant’s dedicated loading dock.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dry ice brought into the Building must be delivered only through Tenant’s dedicated loading dock (if applicable) (and Tenant’s freight elevator,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Chemical lists and MSDS sheets must be readily available at the entrance to each lab area. In the event of an emergency, first responders will require this information in order to properly evaluate the situation.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ENVIRONMENTAL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 </w:t>
      </w:r>
    </w:p>
    <w:p>
      <w:pPr>
        <w:pStyle w:val="TextBody"/>
        <w:bidi w:val="0"/>
        <w:spacing w:before="0" w:after="0"/>
        <w:jc w:val="right"/>
        <w:rPr>
          <w:rFonts w:ascii="Times New Roman" w:hAnsi="Times New Roman"/>
          <w:b/>
          <w:sz w:val="20"/>
        </w:rPr>
      </w:pPr>
      <w:bookmarkStart w:id="40" w:name="d309963dex211.htm"/>
      <w:bookmarkStart w:id="41" w:name="ksd309963dex211"/>
      <w:bookmarkEnd w:id="40"/>
      <w:bookmarkEnd w:id="41"/>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of Obsidian Therapeutics,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15"/>
        <w:gridCol w:w="120"/>
        <w:gridCol w:w="5070"/>
      </w:tblGrid>
      <w:tr>
        <w:trPr/>
        <w:tc>
          <w:tcPr>
            <w:tcW w:w="50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70" w:type="dxa"/>
            <w:tcBorders/>
            <w:vAlign w:val="center"/>
          </w:tcPr>
          <w:p>
            <w:pPr>
              <w:pStyle w:val="TableContents"/>
              <w:bidi w:val="0"/>
              <w:spacing w:before="0" w:after="283"/>
              <w:jc w:val="left"/>
              <w:rPr>
                <w:sz w:val="4"/>
                <w:szCs w:val="4"/>
              </w:rPr>
            </w:pPr>
            <w:r>
              <w:rPr>
                <w:sz w:val="4"/>
                <w:szCs w:val="4"/>
              </w:rPr>
            </w:r>
          </w:p>
        </w:tc>
      </w:tr>
      <w:tr>
        <w:trPr/>
        <w:tc>
          <w:tcPr>
            <w:tcW w:w="50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Legal Name of Subsidiary</w:t>
            </w:r>
          </w:p>
        </w:tc>
        <w:tc>
          <w:tcPr>
            <w:tcW w:w="120" w:type="dxa"/>
            <w:tcBorders/>
            <w:vAlign w:val="bottom"/>
          </w:tcPr>
          <w:p>
            <w:pPr>
              <w:pStyle w:val="TableContents"/>
              <w:bidi w:val="0"/>
              <w:spacing w:before="0" w:after="283"/>
              <w:jc w:val="left"/>
              <w:rPr/>
            </w:pPr>
            <w:r>
              <w:rPr/>
              <w:t>  </w:t>
            </w:r>
          </w:p>
        </w:tc>
        <w:tc>
          <w:tcPr>
            <w:tcW w:w="50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 of Organization</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Galera Therapeutics, Inc.</w:t>
            </w:r>
          </w:p>
        </w:tc>
        <w:tc>
          <w:tcPr>
            <w:tcW w:w="120" w:type="dxa"/>
            <w:tcBorders/>
            <w:vAlign w:val="bottom"/>
          </w:tcPr>
          <w:p>
            <w:pPr>
              <w:pStyle w:val="TableContents"/>
              <w:bidi w:val="0"/>
              <w:spacing w:before="0" w:after="283"/>
              <w:jc w:val="left"/>
              <w:rPr/>
            </w:pPr>
            <w:r>
              <w:rPr/>
              <w:t>  </w:t>
            </w:r>
          </w:p>
        </w:tc>
        <w:tc>
          <w:tcPr>
            <w:tcW w:w="5070" w:type="dxa"/>
            <w:tcBorders/>
            <w:vAlign w:val="bottom"/>
          </w:tcPr>
          <w:p>
            <w:pPr>
              <w:pStyle w:val="TableContents"/>
              <w:bidi w:val="0"/>
              <w:spacing w:before="0" w:after="283"/>
              <w:jc w:val="left"/>
              <w:rPr/>
            </w:pPr>
            <w:r>
              <w:rPr/>
              <w:t>Delaware, United States</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Obsidian Therapeutics Sub, Inc.</w:t>
            </w:r>
          </w:p>
        </w:tc>
        <w:tc>
          <w:tcPr>
            <w:tcW w:w="120" w:type="dxa"/>
            <w:tcBorders/>
            <w:vAlign w:val="bottom"/>
          </w:tcPr>
          <w:p>
            <w:pPr>
              <w:pStyle w:val="TableContents"/>
              <w:bidi w:val="0"/>
              <w:spacing w:before="0" w:after="283"/>
              <w:jc w:val="left"/>
              <w:rPr/>
            </w:pPr>
            <w:r>
              <w:rPr/>
              <w:t>  </w:t>
            </w:r>
          </w:p>
        </w:tc>
        <w:tc>
          <w:tcPr>
            <w:tcW w:w="5070" w:type="dxa"/>
            <w:tcBorders/>
            <w:vAlign w:val="bottom"/>
          </w:tcPr>
          <w:p>
            <w:pPr>
              <w:pStyle w:val="TableContents"/>
              <w:bidi w:val="0"/>
              <w:spacing w:before="0" w:after="283"/>
              <w:jc w:val="left"/>
              <w:rPr/>
            </w:pPr>
            <w:r>
              <w:rPr/>
              <w:t>Delaware, United States</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Obsidian Therapeutics Securities Corporation</w:t>
            </w:r>
          </w:p>
        </w:tc>
        <w:tc>
          <w:tcPr>
            <w:tcW w:w="120" w:type="dxa"/>
            <w:tcBorders/>
            <w:vAlign w:val="bottom"/>
          </w:tcPr>
          <w:p>
            <w:pPr>
              <w:pStyle w:val="TableContents"/>
              <w:bidi w:val="0"/>
              <w:spacing w:before="0" w:after="283"/>
              <w:jc w:val="left"/>
              <w:rPr/>
            </w:pPr>
            <w:r>
              <w:rPr/>
              <w:t>  </w:t>
            </w:r>
          </w:p>
        </w:tc>
        <w:tc>
          <w:tcPr>
            <w:tcW w:w="5070" w:type="dxa"/>
            <w:tcBorders/>
            <w:vAlign w:val="bottom"/>
          </w:tcPr>
          <w:p>
            <w:pPr>
              <w:pStyle w:val="TableContents"/>
              <w:bidi w:val="0"/>
              <w:spacing w:before="0" w:after="283"/>
              <w:jc w:val="left"/>
              <w:rPr/>
            </w:pPr>
            <w:r>
              <w:rPr/>
              <w:t>Massachusetts, United States</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Galera Labs, LLC</w:t>
            </w:r>
          </w:p>
        </w:tc>
        <w:tc>
          <w:tcPr>
            <w:tcW w:w="120" w:type="dxa"/>
            <w:tcBorders/>
            <w:vAlign w:val="bottom"/>
          </w:tcPr>
          <w:p>
            <w:pPr>
              <w:pStyle w:val="TableContents"/>
              <w:bidi w:val="0"/>
              <w:spacing w:before="0" w:after="283"/>
              <w:jc w:val="left"/>
              <w:rPr/>
            </w:pPr>
            <w:r>
              <w:rPr/>
              <w:t>  </w:t>
            </w:r>
          </w:p>
        </w:tc>
        <w:tc>
          <w:tcPr>
            <w:tcW w:w="5070" w:type="dxa"/>
            <w:tcBorders/>
            <w:vAlign w:val="bottom"/>
          </w:tcPr>
          <w:p>
            <w:pPr>
              <w:pStyle w:val="TableContents"/>
              <w:bidi w:val="0"/>
              <w:spacing w:before="0" w:after="283"/>
              <w:jc w:val="left"/>
              <w:rPr/>
            </w:pPr>
            <w:r>
              <w:rPr/>
              <w:t>Missouri, United States</w:t>
            </w:r>
          </w:p>
        </w:tc>
      </w:tr>
      <w:tr>
        <w:trPr/>
        <w:tc>
          <w:tcPr>
            <w:tcW w:w="5015" w:type="dxa"/>
            <w:tcBorders/>
          </w:tcPr>
          <w:p>
            <w:pPr>
              <w:pStyle w:val="TableContents"/>
              <w:bidi w:val="0"/>
              <w:spacing w:before="0" w:after="0"/>
              <w:jc w:val="left"/>
              <w:rPr>
                <w:rFonts w:ascii="Times New Roman" w:hAnsi="Times New Roman"/>
                <w:sz w:val="20"/>
              </w:rPr>
            </w:pPr>
            <w:r>
              <w:rPr>
                <w:rFonts w:ascii="Times New Roman" w:hAnsi="Times New Roman"/>
                <w:sz w:val="20"/>
              </w:rPr>
              <w:t>Nova Pharmaceuticals Operating, LLC</w:t>
            </w:r>
          </w:p>
        </w:tc>
        <w:tc>
          <w:tcPr>
            <w:tcW w:w="120" w:type="dxa"/>
            <w:tcBorders/>
            <w:vAlign w:val="bottom"/>
          </w:tcPr>
          <w:p>
            <w:pPr>
              <w:pStyle w:val="TableContents"/>
              <w:bidi w:val="0"/>
              <w:spacing w:before="0" w:after="283"/>
              <w:jc w:val="left"/>
              <w:rPr/>
            </w:pPr>
            <w:r>
              <w:rPr/>
              <w:t>  </w:t>
            </w:r>
          </w:p>
        </w:tc>
        <w:tc>
          <w:tcPr>
            <w:tcW w:w="5070" w:type="dxa"/>
            <w:tcBorders/>
            <w:vAlign w:val="bottom"/>
          </w:tcPr>
          <w:p>
            <w:pPr>
              <w:pStyle w:val="TableContents"/>
              <w:bidi w:val="0"/>
              <w:spacing w:before="0" w:after="283"/>
              <w:jc w:val="left"/>
              <w:rPr/>
            </w:pPr>
            <w:r>
              <w:rPr/>
              <w:t>Delaware, United States</w:t>
            </w:r>
          </w:p>
        </w:tc>
      </w:tr>
    </w:tbl>
    <w:p>
      <w:pPr>
        <w:pStyle w:val="TextBody"/>
        <w:bidi w:val="0"/>
        <w:spacing w:before="0" w:after="0"/>
        <w:jc w:val="right"/>
        <w:rPr>
          <w:rFonts w:ascii="Times New Roman" w:hAnsi="Times New Roman"/>
          <w:b/>
          <w:sz w:val="20"/>
        </w:rPr>
      </w:pPr>
      <w:bookmarkStart w:id="42" w:name="d309963dex991.htm"/>
      <w:bookmarkStart w:id="43" w:name="ksd309963dex991"/>
      <w:bookmarkEnd w:id="42"/>
      <w:bookmarkEnd w:id="4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52650" cy="533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2152650" cy="5334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Completes Closing of Transaction with Galera </w:t>
      </w:r>
    </w:p>
    <w:p>
      <w:pPr>
        <w:pStyle w:val="TextBody"/>
        <w:bidi w:val="0"/>
        <w:spacing w:before="0" w:after="0"/>
        <w:jc w:val="center"/>
        <w:rPr>
          <w:rFonts w:ascii="Times New Roman" w:hAnsi="Times New Roman"/>
          <w:b/>
          <w:sz w:val="20"/>
        </w:rPr>
      </w:pPr>
      <w:r>
        <w:rPr>
          <w:rFonts w:ascii="Times New Roman" w:hAnsi="Times New Roman"/>
          <w:b/>
          <w:sz w:val="20"/>
        </w:rPr>
        <w:t xml:space="preserve">Therapeutics and Previously Announced Private Placement of $350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Obsidian Therapeutics to focus on the advancement of its pipeline of novel engineered TIL cell therapies for the treatment of patients with solid tumors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Post-transaction cash, cash equivalents and investments of approximately $350</w:t>
            </w:r>
            <w:r>
              <w:rPr>
                <w:rFonts w:ascii="Times New Roman" w:hAnsi="Times New Roman"/>
                <w:sz w:val="20"/>
              </w:rPr>
              <w:t> </w:t>
            </w:r>
            <w:r>
              <w:rPr>
                <w:rFonts w:ascii="Times New Roman" w:hAnsi="Times New Roman"/>
                <w:i/>
                <w:sz w:val="20"/>
              </w:rPr>
              <w:t>million expected to fund operations into 2H 2028, including NSCLC Phase 1 data expected in 1H 2027 and melanoma registration-enabling data expected year-end 2027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i/>
                <w:sz w:val="20"/>
              </w:rPr>
              <w:t>Shares to begin trading on Nasdaq under ticker symbol “OBX” on August</w:t>
            </w:r>
            <w:r>
              <w:rPr>
                <w:rFonts w:ascii="Times New Roman" w:hAnsi="Times New Roman"/>
                <w:sz w:val="20"/>
              </w:rPr>
              <w:t> </w:t>
            </w:r>
            <w:r>
              <w:rPr>
                <w:rFonts w:ascii="Times New Roman" w:hAnsi="Times New Roman"/>
                <w:i/>
                <w:sz w:val="20"/>
              </w:rPr>
              <w:t>4, 2026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CAMBRIDGE, Mass., August</w:t>
      </w:r>
      <w:r>
        <w:rPr>
          <w:rFonts w:ascii="Times New Roman" w:hAnsi="Times New Roman"/>
          <w:sz w:val="20"/>
        </w:rPr>
        <w:t> </w:t>
      </w:r>
      <w:r>
        <w:rPr>
          <w:rFonts w:ascii="Times New Roman" w:hAnsi="Times New Roman"/>
          <w:b/>
          <w:sz w:val="20"/>
        </w:rPr>
        <w:t>3, 2026 –</w:t>
      </w:r>
      <w:r>
        <w:rPr>
          <w:rFonts w:ascii="Times New Roman" w:hAnsi="Times New Roman"/>
          <w:sz w:val="20"/>
        </w:rPr>
        <w:t xml:space="preserve"> Obsidian Therapeutics, Inc. (“Obsidian”) (Nasdaq: OBX), a clinical-stage biopharmaceutical company harnessing novel protein-regulation technology to develop engineered tumor-infiltrating lymphocyte (TIL) cell therapies, today announced the completion of its previously announced transaction with Galera Therapeutics, Inc. (“Galera”). The combined company will operate under the name Obsidian Therapeutics, Inc., and its shares are expected to begin trading on Nasdaq on August 4, 2026 under the ticker symbol “OBX”. </w:t>
      </w:r>
    </w:p>
    <w:p>
      <w:pPr>
        <w:pStyle w:val="TextBody"/>
        <w:bidi w:val="0"/>
        <w:spacing w:before="240" w:after="0"/>
        <w:jc w:val="left"/>
        <w:rPr>
          <w:rFonts w:ascii="Times New Roman" w:hAnsi="Times New Roman"/>
          <w:sz w:val="20"/>
        </w:rPr>
      </w:pPr>
      <w:r>
        <w:rPr>
          <w:rFonts w:ascii="Times New Roman" w:hAnsi="Times New Roman"/>
          <w:sz w:val="20"/>
        </w:rPr>
        <w:t xml:space="preserve">Prior to closing the merger, Obsidian completed a previously announced oversubscribed private placement financing of $350 million in gross proceeds from a syndicate of new investors, including Balyasny Asset Management, Caligan Partners LP, Eventide Asset Management, Nantahala Capital, Octagon Capital, Redmile, Spruce Street Capital and Trails Edge Capital Partners, and with participation from current Obsidian investors, including Atlas Venture, Deep Track Capital, Foresite Capital, Janus Henderson Investors, Logos Capital, Novo Holdings A/S, Paradigm BioCapital Advisors, Pivotal bioVenture Partners, RA Capital Management, RTW Investments, TCGX and Wellington Management, among other leading investment management firms.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cash and cash equivalents balance at closing, including the funds from the private placement financing, is anticipated to fund the combined company’s operations into the second half of 2028 and provide runway through key clinical milestones for Obsidian’s lead product candidate, OBX-115. These include Phase 1 data from the ongoing non-small cell lung cancer (NSCLC) trial expected in the first half of 2027, and topline data from the melanoma registration-enabling trial, which are expected by year-end 2027. The combined company will also continue to support Galera’s pipeline. </w:t>
      </w:r>
    </w:p>
    <w:p>
      <w:pPr>
        <w:pStyle w:val="TextBody"/>
        <w:bidi w:val="0"/>
        <w:spacing w:before="240" w:after="0"/>
        <w:jc w:val="left"/>
        <w:rPr/>
      </w:pPr>
      <w:r>
        <w:rPr/>
        <w:t>“</w:t>
      </w:r>
      <w:r>
        <w:rPr>
          <w:rFonts w:ascii="Times New Roman" w:hAnsi="Times New Roman"/>
          <w:sz w:val="20"/>
        </w:rPr>
        <w:t xml:space="preserve">The completion of the merger with Galera and closing of our $350 million private placement mark a transformative milestone that propels Obsidian into its next stage of growth,” said Madan Jagasia, M.D., Chief Executive Officer of Obsidian. “With a strong financial position backed by a syndicate of leading biotechnology investors, robust leadership team, and promising early Phase 2 clinical data from our lead product candidate, OBX-115, we are well-positioned to deliver best-in-class TIL cell therapies to patients with solid tumors. We look forward to continuing to advance OBX-115 through the clinic and we are on track to begin enrolling patients with melanoma in the registration-enabling cohort of our multicenter study in mid-2026.”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52650" cy="533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215265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Obsidian leverages its cytoDRIVE® platform to develop engineered TIL cell therapies. OBX-115 is a novel engineered TIL cell therapy armored with pharmacologically regulatable membrane-bound IL15 and designed to deliver an improved, patient-centric treatment regimen. OBX-115 has the potential to reduce overall treatment burden with the option for minimally invasive core needle biopsy tumor tissue procurement, exclusively low-dose lymphodepletion compatible with outpatient administration and elimination of IL2 in the treatment regimen. </w:t>
      </w:r>
    </w:p>
    <w:p>
      <w:pPr>
        <w:pStyle w:val="TextBody"/>
        <w:bidi w:val="0"/>
        <w:spacing w:before="240" w:after="0"/>
        <w:jc w:val="left"/>
        <w:rPr>
          <w:rFonts w:ascii="Times New Roman" w:hAnsi="Times New Roman"/>
          <w:sz w:val="20"/>
        </w:rPr>
      </w:pPr>
      <w:r>
        <w:rPr>
          <w:rFonts w:ascii="Times New Roman" w:hAnsi="Times New Roman"/>
          <w:sz w:val="20"/>
        </w:rPr>
        <w:t xml:space="preserve">OBX-115 has been granted Fast Track and Regenerative Medicine Advanced Therapy designations from the U.S. Food and Drug Administration for the treatment of patients with unresectable or metastatic melanoma that is resistant to immune checkpoint inhibitor therapy. OBX-115 is currently in a Phase 2 clinical trial for the treatment of advanced melanoma and a Phase 1 clinical trial for the treatment of NSCLC (NCT06060613).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of the transaction, Galera effected a 1-for-200 reverse stock split of its common stock. In connection with the closing of the transaction, Galera issued a non-transferable contingent value right (a “CVR”) to Galera stockholders of record as of July 31, 2026, which does not include the former holders of shares of Obsidian or the private placement investors, representing the right to receive contingent payments upon the occurrence of certain events. Pursuant to the merger agreement and based on the final exchange ratio in each of the mergers, at the closing of the mergers, former Galera stockholders own approximately 1.2%, and former Obsidian stockholders own approximately 51.6%, and investors in the concurrent financing own approximately 47.2% of the combined company’s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served as the exclusive financial advisor and Goodwin Procter LLP served as legal counsel to Obsidian. Leerink Partners, TD Cowen, Piper Sandler, William Blair and LifeSci Capital acted as placement agents in connection with the concurrent private placement financing. Mintz, Levin, Cohn, Ferris, Glovsky and Popeo, P.C. served as legal counsel to the placement agents. Sidley Austin LLP served as legal counsel to Galera. Lucid Capital Markets provided a fairness opinion to Galera’s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About Obsidian Therapeutics </w:t>
      </w:r>
    </w:p>
    <w:p>
      <w:pPr>
        <w:pStyle w:val="TextBody"/>
        <w:bidi w:val="0"/>
        <w:spacing w:before="120" w:after="0"/>
        <w:jc w:val="left"/>
        <w:rPr>
          <w:rFonts w:ascii="Times New Roman" w:hAnsi="Times New Roman"/>
          <w:sz w:val="20"/>
        </w:rPr>
      </w:pPr>
      <w:r>
        <w:rPr>
          <w:rFonts w:ascii="Times New Roman" w:hAnsi="Times New Roman"/>
          <w:sz w:val="20"/>
        </w:rPr>
        <w:t xml:space="preserve">Obsidian Therapeutics, Inc. is a clinical-stage biopharmaceutical company harnessing novel protein-regulation technology to develop engineered TIL cell therapies for the treatment of patients with solid tumors. Obsidian’s proprietary cytoDRiVE® technology is designed to precisely regulate the timing and level of protein function by using FDA-approved small-molecule drugs. Obsidian has offices in Cambridge and Bedford, MA. For more information, please visit www.obsidiantx.com.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OBX-115 </w:t>
      </w:r>
    </w:p>
    <w:p>
      <w:pPr>
        <w:pStyle w:val="TextBody"/>
        <w:bidi w:val="0"/>
        <w:spacing w:before="120" w:after="0"/>
        <w:jc w:val="left"/>
        <w:rPr>
          <w:rFonts w:ascii="Times New Roman" w:hAnsi="Times New Roman"/>
          <w:sz w:val="20"/>
        </w:rPr>
      </w:pPr>
      <w:r>
        <w:rPr>
          <w:rFonts w:ascii="Times New Roman" w:hAnsi="Times New Roman"/>
          <w:sz w:val="20"/>
        </w:rPr>
        <w:t xml:space="preserve">Obsidian leverages its cytoDRIVE® platform to develop engineered TIL cell therapies. Obsidian’s lead investigational TIL program, OBX-115, is a novel engineered tumor-derived autologous T cell immunotherapy (tumor-infiltrating lymphocyte [TIL] cell therapy) armored with pharmacologically regulatable membrane-bound IL15 (mbIL15). OBX-115 has the potential, if approved, to become a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52650" cy="533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5"/>
                    <a:stretch>
                      <a:fillRect/>
                    </a:stretch>
                  </pic:blipFill>
                  <pic:spPr bwMode="auto">
                    <a:xfrm>
                      <a:off x="0" y="0"/>
                      <a:ext cx="215265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meaningful therapeutic option for patients with advanced (unresectable or metastatic) melanoma and other solid tumors by leveraging the expected benefits of mbIL15 and Obsidian’s proprietary, differentiated manufacturing process designed to enhance persistence, antitumor activity, and clinical safety of TIL cell therapy. Obsidian is investigating OBX-115 in the phase 1/2 Agni-01 multicenter trial in patients with advanced solid tumors (NCT06060613).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statements include, but are not limited to, implied and express statements concerning beliefs and expectations regarding: future clinical development activities, therapeutic potential, clinical benefits and safety of our product candidates, the transaction and completion of the concurrent private placement financing, the expected effects, perceived benefits or opportunities and related timing with respect thereto, cash runway, and expectations regarding timing, progress, objectives or plans for the combined company’s development of its clinical pipeline.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relate to Galera, Obsidian and the newly 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Registration Statement on Form S-4 filed with the SEC on July 2, 2026 (SEC file No. 333-295249).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statements about the synergies or benefits of the proposed transaction, including future financial and operating results, plans, objectives, expectations and intentions; the anticipated timing of closing of the proposed transaction and the private placement financing; negative effects of the announcement or consummation of the proposed transaction on the market price of our capital stock and our operating results; risks relating to the value of shares of the newly formed company to be issued in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52650" cy="5334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6"/>
                    <a:stretch>
                      <a:fillRect/>
                    </a:stretch>
                  </pic:blipFill>
                  <pic:spPr bwMode="auto">
                    <a:xfrm>
                      <a:off x="0" y="0"/>
                      <a:ext cx="215265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proposed transaction; risks related to the ability to obtain approval of the Galera stockholders; changes in capital resource requirements; risks related to our inability to obtain sufficient additional capital to continue to advance our product candidates; our and our collaborators’ ability to execute clinical programs for our product candidates; timing, progress, enrollment or results of clinical trials with our product candidates; our ability to obtain and maintain intellectual property rights and regulatory exclusivities; and our ability to establish a market for our product candidates if the combined company receives regulatory approval therefor. </w:t>
      </w:r>
    </w:p>
    <w:p>
      <w:pPr>
        <w:pStyle w:val="TextBody"/>
        <w:bidi w:val="0"/>
        <w:spacing w:before="240" w:after="0"/>
        <w:jc w:val="left"/>
        <w:rPr>
          <w:rFonts w:ascii="Times New Roman" w:hAnsi="Times New Roman"/>
          <w:b/>
          <w:sz w:val="20"/>
        </w:rPr>
      </w:pPr>
      <w:r>
        <w:rPr>
          <w:rFonts w:ascii="Times New Roman" w:hAnsi="Times New Roman"/>
          <w:b/>
          <w:sz w:val="20"/>
        </w:rPr>
        <w:t xml:space="preserve">Inquiries: </w:t>
      </w:r>
    </w:p>
    <w:p>
      <w:pPr>
        <w:pStyle w:val="TextBody"/>
        <w:bidi w:val="0"/>
        <w:spacing w:before="0" w:after="0"/>
        <w:jc w:val="left"/>
        <w:rPr>
          <w:rFonts w:ascii="Times New Roman" w:hAnsi="Times New Roman"/>
          <w:sz w:val="20"/>
        </w:rPr>
      </w:pPr>
      <w:r>
        <w:rPr>
          <w:rFonts w:ascii="Times New Roman" w:hAnsi="Times New Roman"/>
          <w:sz w:val="20"/>
        </w:rPr>
        <w:t xml:space="preserve">Caroline Code </w:t>
      </w:r>
    </w:p>
    <w:p>
      <w:pPr>
        <w:pStyle w:val="TextBody"/>
        <w:bidi w:val="0"/>
        <w:spacing w:before="0" w:after="0"/>
        <w:jc w:val="left"/>
        <w:rPr>
          <w:rFonts w:ascii="Times New Roman" w:hAnsi="Times New Roman"/>
          <w:sz w:val="20"/>
        </w:rPr>
      </w:pPr>
      <w:r>
        <w:rPr>
          <w:rFonts w:ascii="Times New Roman" w:hAnsi="Times New Roman"/>
          <w:sz w:val="20"/>
        </w:rPr>
        <w:t xml:space="preserve">VP Corporate Development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ir@obsidiantx.com </w:t>
      </w:r>
    </w:p>
    <w:p>
      <w:pPr>
        <w:pStyle w:val="TextBody"/>
        <w:bidi w:val="0"/>
        <w:spacing w:before="0" w:after="0"/>
        <w:jc w:val="right"/>
        <w:rPr>
          <w:rFonts w:ascii="Times New Roman" w:hAnsi="Times New Roman"/>
          <w:b/>
          <w:sz w:val="20"/>
        </w:rPr>
      </w:pPr>
      <w:bookmarkStart w:id="44" w:name="d309963dex992.htm"/>
      <w:bookmarkStart w:id="45" w:name="ksd309963dex992"/>
      <w:bookmarkEnd w:id="44"/>
      <w:bookmarkEnd w:id="4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These risk factors are not exhaustive, and investors are encouraged to perform their own investigation with respect to the businesses of Obsidian. The occurrence of one or more of the events or circumstances described in these risk factors, alone or in combination with other events or circumstances, may adversely affect the ability to realize the anticipated benefits of the mergers, and may have a material adverse effect on the combined company and its financial condition or results of operations. The risks discussed below may not prove to be exhaustive and are based on certain assumptions made by Obsidian which later may prove to be incorrect or incomplete. Obsidian may face additional risks and uncertainties that are not presently known to Obsidian, or that are currently deemed immaterial, which may also impair their business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Obsidian </w:t>
      </w:r>
    </w:p>
    <w:p>
      <w:pPr>
        <w:pStyle w:val="TextBody"/>
        <w:bidi w:val="0"/>
        <w:spacing w:before="120" w:after="0"/>
        <w:jc w:val="left"/>
        <w:rPr>
          <w:rFonts w:ascii="Times New Roman" w:hAnsi="Times New Roman"/>
          <w:i/>
          <w:sz w:val="20"/>
        </w:rPr>
      </w:pPr>
      <w:r>
        <w:rPr>
          <w:rFonts w:ascii="Times New Roman" w:hAnsi="Times New Roman"/>
          <w:i/>
          <w:sz w:val="20"/>
        </w:rPr>
        <w:t xml:space="preserve">Unless the context otherwise requires, references in this section to “we,” “us,” “our” and the “Company” refer to Obsidian.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Condition, Need for Additional Capital and Manufacturing and Commercialization Efforts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clinical-stage biopharmaceutical company and have incurred significant financial losses since our inception and anticipate that we will continue to incur significant financial losses for the foreseeable future. We may never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biopharmaceutical company with a limited operating history and have incurred losses since our inception. We were formed in September 2015, and our operations to date have been limited to pre-commercial activities. We have not yet demonstrated an ability to generate revenue, obtain regulatory approvals, manufacture any product on a commercial scale or arrange for a third party to do so on our behalf, or conduct sales and marketing activities necessary for successful product commercialization.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$100.6 million and $83.1 million for the years ended December 31, 2025 and 2024, respectively. As of December 31, 2025, we have not yet generated revenues. We expect to continue to incur significant losses for the foreseeable future, and we expect these losses to increase as we continue our research and development of, and seek regulatory approvals for,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advance our product candidate through clinical development, including conducting our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our product candidate or any future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and preclinical development, manufacturing and commercialization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any pre-commercial or commercial activities to establish sales, marketing,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any future product candidates into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acquire, and develop additional product candidates, including through business development efforts to invest in or in-license other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our license and collaboration agreements and any future license, collaboration or other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interest, or other payments due under any future financing or other arrangements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legal, accounting or other expenses in operating our business, including the additional costs associated with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distribution, manufacturing, supply chain and other commercial infrastructure in the future to commercialize any product candidates for which we may obtain regulatory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equipment and physical infrastructure to support our research and development.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or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expenses could increase beyond our expectations if we are required by the FDA, the European Medicines Agency (the “EMA”), or other comparable regulatory authorities to perform clinical trials in addition to those that we currently expect, or if there are any delays in establishing appropriate manufacturing arrangements for or in completing our clinical trials or the development of our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substantial doubt regarding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In its report on our consolidated financial statements for the year ended December 31, 2025, our independent registered public accounting firm included an explanatory paragraph that expressed substantial doubt about our ability to continue as a going concern. Our current cash level and current operating plans raise substantial doubt about our ability to continue as a going concern. In addition, our future consolidated financial statements may include similar qualifications about our ability to continue as a going concern. Our consolidated financial statements were prepared assuming that we will continue as a going concern and do not include any adjustments that may result from the outcome of this uncertainty. If we are unable to meet our current operating costs, we will need to seek additional financing or modify or cease our operational plans.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Even if the mergers and concurrent financing are successful, we will require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 commence additional preclinical studies and clinical trials, and continue to identify and develop additional product candidates either through internal development or through acquisitions or in-licensing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$80.5 million of cash, cash equivalents, and marketable securities. Based upon our current operating plan, we believe that our existing cash, cash equivalents, and marketable securities, together with the estimated net proceeds from the mergers and concurrent financing, will enable us to fund our operating expenses and capital expenditure requirements into the third quarter of 2026.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trials required for regulatory approval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current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acquiring or licensing additional product candidates, technologies, or assets, including the timing and amount of any milestones, royalties, or other payments due in connection with our acquisitions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approach at identifying target patient populations and utilizing our approach to enrich our patient population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our product candidate or any future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 or any future product candidates for which we receive marketing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 commercially viable pricing structure and obtain approval for coverage and adequate reimbursement from third-party and government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macroeconomic trends including inflation, tariffs,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supply chain interruptions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 products, and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research and development of product candidates, we are unable to predict the timing or amount of our working capital requirements. In addition, if we obtain regulatory approval for our product candidate, we expect to incur significant commercialization expenses related to product manufacturing, marketing, sales, and distribution which make it difficult to predict when or if we will be able to achieve or maintain profitability. Furthermore, upon the completion of the mergers and concurrent financing, we expect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stockholders, restrict our operations, or require us to relinquish rights to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operations with our existing cash, cash equivalents, and marketable securities, the net proceeds from the mergers and concurrent financing,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Operations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highly dependent on the success of our product candidate, OBX-115. If we are unable to successfully complete clinical development, obtain regulatory approval for or commercialize our product candidate, or if we experience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To date, as an organization, we have not completed the development of any product candidates and our current product candidate remains in clinical development. Our future success and ability to generate revenue from our product candidate is dependent on our ability to successfully develop, obtain regulatory approval for, and commercialize our product candidate or any future product candidate. Our product candidate and any future product candidates will require substantial additional investment for clinical development, regulatory review, and approval in one or more jurisdictions. If our product candidate or any future product candidates encounter safety or efficacy problems, development delays or regulatory issues or other problems, our development plans and business would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may not have the financial resources to continue development of our product candidate if we experience any issues that delay or prevent regulatory approval of, or our ability to commercialize, our product candidate,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EMA, or other comparable regulatory authorities that our product candidate is safe and effective for one or more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financial and other resources to complete the necessary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our clinical trials, preclinical studies, or the clinical trials of others for product candidates similar to ours, leading to a decision or requirement to conduct additional clinical trials or preclinical studies or abandon a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product-related adverse events experienced by subjects in our clinical trials, including unexpected toxicity results, or by individuals using drugs or therapeutic biologics similar to our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submitting an Investigational New Drug application (“IND”), or other regulatory submission to the FDA, EMA, or other comparable regulatory authorities, or delays or failure in obtaining the necessary approvals from regulators to commence a clinical trial or a suspension, termination, or hold, of a clinical trial once commenced, including any delays caused by prolonged government shutdowns, inadequate funding, loss of employees, changes in regulations, leadership, or policies by a new administration or other disruptions of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imposed by the FDA, the EMA, or other comparable regulatory authorities regarding the scope or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poor effectiveness of our product candidate during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better than expected performance of control arms, such as placebo groups, which could lead to negative or inconclusive results from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or enrolling subjects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drop-out rates of subjects from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inadequate supply or quality of our product candidate or other materials necessary for the conduct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anticipated clinical trial or manufacturing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FDA, EMA, or other comparable regulatory authority inspections and review of our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contractors or investigators to comply with regulatory requirements or the clinical trial protocol or otherwise to meet their contractual obligations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changes in regulatory requirements, policies, leadership, and guidelines, including the imposition of additional regulatory oversight around clinical testing generally or with respect to our investigational therapies in particular;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varying interpretations of data by the FDA, EMA, and other comparable regulatory authorities.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cell therapies or to in-license novel cell therapies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cell therapies or other platform technologies that are more effective, more convenient, more widely used, or less costly than our product candidate or, in the case of drugs, have a better safety profile than our product candidate. These competitors may also be more successful than us in manufacturing and marketing their products and have significantly greater financial resources and expertise in research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There are a large number of companies developing or marketing treatments for cancer, including many major pharmaceutical and biotechnology companies. We may compete with other cell therapy or immunotherapy companies such as Iovance Biotherapeutics Inc., AbelZeta Inc., Biosyngen Pte Ltd, GRIT Biotechnology Co., Ltd., Shanghai Juncell Therapeutics Co., Ltd., Immatics N.V., Immunocore Holdings plc, Intima Bioscience, Inc., KSQ Therapeutics, Inc., Marker Therapeutics, Inc., TILT Biotherapeutics Ltd, and others. In addition, numerous compounds are in clinical development for cancer treatment. Many of these companies are well-capitalized and have significant clinical experience. </w:t>
      </w:r>
    </w:p>
    <w:p>
      <w:pPr>
        <w:pStyle w:val="TextBody"/>
        <w:bidi w:val="0"/>
        <w:spacing w:before="240" w:after="0"/>
        <w:jc w:val="left"/>
        <w:rPr>
          <w:rFonts w:ascii="Times New Roman" w:hAnsi="Times New Roman"/>
          <w:sz w:val="20"/>
        </w:rPr>
      </w:pPr>
      <w:r>
        <w:rPr>
          <w:rFonts w:ascii="Times New Roman" w:hAnsi="Times New Roman"/>
          <w:sz w:val="20"/>
        </w:rPr>
        <w:t xml:space="preserve">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any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Universities and public and private research institutions in the United States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In patients with advance melanoma, progression-free survival was significantly longer among those who received TIL cell therapy than among those who received ipilimumab.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opportunities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Even if our product candidates achieve marketing approval, they may be priced at a significant premium over competitive products if any, which have been approved by then, resulting in reduced competitiveness. If we do not compete successfully, we may not generate or derive sufficient revenue from any product candidate for which we obtain marketing approval and may not become and remain profitable. </w:t>
      </w:r>
    </w:p>
    <w:p>
      <w:pPr>
        <w:pStyle w:val="TextBody"/>
        <w:bidi w:val="0"/>
        <w:spacing w:before="240" w:after="0"/>
        <w:jc w:val="left"/>
        <w:rPr>
          <w:rFonts w:ascii="Times New Roman" w:hAnsi="Times New Roman"/>
          <w:b/>
          <w:i/>
          <w:sz w:val="20"/>
        </w:rPr>
      </w:pPr>
      <w:r>
        <w:rPr>
          <w:rFonts w:ascii="Times New Roman" w:hAnsi="Times New Roman"/>
          <w:b/>
          <w:i/>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be more profitable or for which there is a greater likelihood of success. </w:t>
      </w:r>
    </w:p>
    <w:p>
      <w:pPr>
        <w:pStyle w:val="TextBody"/>
        <w:bidi w:val="0"/>
        <w:spacing w:before="240" w:after="0"/>
        <w:jc w:val="left"/>
        <w:rPr>
          <w:rFonts w:ascii="Times New Roman" w:hAnsi="Times New Roman"/>
          <w:sz w:val="20"/>
        </w:rPr>
      </w:pPr>
      <w:r>
        <w:rPr>
          <w:rFonts w:ascii="Times New Roman" w:hAnsi="Times New Roman"/>
          <w:sz w:val="20"/>
        </w:rPr>
        <w:t xml:space="preserve">Our lead product candidate, OBX-115, is currently in Phase 2 clinical development for the treatment of advanced melanoma and is currently in Phase 1 clinical development for the treatment of non-small cell lung cancer (“NSCLC”), and our other product candidates and programs are at various stages of preclinical development. We seek to develop engineered TIL cell therapies for the treatment of patients with solid tumors. </w:t>
      </w:r>
    </w:p>
    <w:p>
      <w:pPr>
        <w:pStyle w:val="TextBody"/>
        <w:bidi w:val="0"/>
        <w:spacing w:before="240" w:after="0"/>
        <w:jc w:val="left"/>
        <w:rPr>
          <w:rFonts w:ascii="Times New Roman" w:hAnsi="Times New Roman"/>
          <w:sz w:val="20"/>
        </w:rPr>
      </w:pPr>
      <w:r>
        <w:rPr>
          <w:rFonts w:ascii="Times New Roman" w:hAnsi="Times New Roman"/>
          <w:sz w:val="20"/>
        </w:rPr>
        <w:t xml:space="preserve">Due to the significant resources required for the development of OBX-115,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viability or market potential of our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difficulty integrating acquired or licensed technologies, products, employees, or business operations, unanticipated costs associated with acquisitions or strategic alliances, and diversion of management’s attention from our core business and disruption of ongoing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if we will be able to identify acquisitions or strategic relationships we deem suitable, whether we will be able to successfully complete any such transactions on favorable terms, if at all.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To finance any acquisitions, investments, or strategic alliances, we may choose to issue shares of our common stock as consideration, which could dilute the ownership of our stockholders. Additional funds may not be available on terms that are favorable to us, or at all.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employees, independent contractors, consultants, including CDMOs and CROs, and vendors may engage in misconduct or other improper activities, including noncompliance with regulatory standards and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the risk of employee fraud or other illegal activity by our current and any future employees, independent contractors, consultants, CDMOs, and vendors including but not limited to CROs. Misconduct by these parties could include intentional, unintentional, reckless, and/or negligent conduct that fails to comply with FDA or other comparable regulations,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our product candidate or any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personal information worldwide is rapidly evolving and is likely to remain uncertain for the foreseeable future. Globally, numerous jurisdictions, including those in which we operate or collect personal information, have established their own data security and privacy frameworks with which we must comply. In the United States,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collection, use, disclosure, and protection of health-related and other personal information, could apply to our operations or the operations of our collaborators and service providers. In particular, regulations promulgated pursuant to the Health Insurance Portability and Accountability Act (“HIPAA”), establish privacy and security standards that limit the use and disclosure of individually identifiable health information, or protected health information,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payors, and others that have HIPAA compliance obligations. 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(“HHS”), enforcement activity can result in financial liability and reputational harm, and responses to such enforcement activity can consume significant internal resources.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numerous states have or are in the process of enacting or considering comprehensive data privacy and security laws, rules, and regulations while other states have focused on more narrow aspects of privacy.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Although many of the existing state privacy laws exempt clinical trial information and health information governed as “protected health information” by HIPAA, future privacy and data protection laws may be broader in scope. Taken together, these state and federal laws may be subject to varying interpretations by the courts and government agencies and are subject to frequent change. Further, these varying interpretations could create complex compliance issues for us and our partners and potentially expose us to additional expense, liability, penalties, negatively impact our business, and lead to adverse publicity, and all of these risks could adversely affect our business in the short and long term. In addition, contractual obligations and in the future, legislation may limit, forbid or regulate the use or transmission of health information outside of the United States or across other national borders, which could make reliance on non-U.S. resources for work related to such processing personal information impracticable or substantially more expensive. </w:t>
      </w:r>
    </w:p>
    <w:p>
      <w:pPr>
        <w:pStyle w:val="TextBody"/>
        <w:bidi w:val="0"/>
        <w:spacing w:before="240" w:after="0"/>
        <w:jc w:val="left"/>
        <w:rPr>
          <w:rFonts w:ascii="Times New Roman" w:hAnsi="Times New Roman"/>
          <w:sz w:val="20"/>
        </w:rPr>
      </w:pPr>
      <w:r>
        <w:rPr>
          <w:rFonts w:ascii="Times New Roman" w:hAnsi="Times New Roman"/>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the value of our technology and products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 protection, we also rely on other proprietary rights, including protection of trade secrets and/or confidential know-how, unpatented know-how, and/or other proprietary information. We may rely on other proprietary rights, including protection of trade secrets, confidential know-how, unpatented know-how, and/or other proprietary information to protect our technology, especially where patent protection is believed to be of limited value. However, trade secrets and/or confidential know-how can be difficult to maintain as confidential. </w:t>
      </w:r>
    </w:p>
    <w:p>
      <w:pPr>
        <w:pStyle w:val="TextBody"/>
        <w:bidi w:val="0"/>
        <w:spacing w:before="240" w:after="0"/>
        <w:jc w:val="left"/>
        <w:rPr>
          <w:rFonts w:ascii="Times New Roman" w:hAnsi="Times New Roman"/>
          <w:sz w:val="20"/>
        </w:rPr>
      </w:pPr>
      <w:r>
        <w:rPr>
          <w:rFonts w:ascii="Times New Roman" w:hAnsi="Times New Roman"/>
          <w:sz w:val="20"/>
        </w:rPr>
        <w:t xml:space="preserve">To maintain the confidentiality of this type of information, it is our policy to enter into confidentiality agreements with our employees, consultants, advisors, collaborators, contractors (including CDMOs and CROs)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and/or individuals with whom we have these agreements may not comply with their terms, intentionally or unintentionally. Thus, despite such agreements,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at all or on commercially reasonable terms. The disclosure of our trade secrets could impair our competitive position and may materially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Enforcing a claim that a third party illegally obtained our trade secrets and/or confidential know-how and is using these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 </w:t>
      </w:r>
    </w:p>
    <w:p>
      <w:pPr>
        <w:pStyle w:val="TextBody"/>
        <w:bidi w:val="0"/>
        <w:spacing w:before="240" w:after="0"/>
        <w:jc w:val="left"/>
        <w:rPr>
          <w:rFonts w:ascii="Times New Roman" w:hAnsi="Times New Roman"/>
          <w:sz w:val="20"/>
        </w:rPr>
      </w:pPr>
      <w:r>
        <w:rPr>
          <w:rFonts w:ascii="Times New Roman" w:hAnsi="Times New Roman"/>
          <w:sz w:val="20"/>
        </w:rPr>
        <w:t>In addition, others may independently discover or develop our trade secrets and proprietary information, and the existence of our own trade secrets afford no protection against such independent discovery. Such persons may even 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Discovery and Development of Our Current or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dependent on our ability to advance our current and future product candidates through clinical trials, obtain marketing approval, and ultimately commercialize them.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product revenues, which we do not expect will occur for several years, if ever, will depend heavily on the successful development and eventual regulatory approval and commercialization of our current product candidate or future product candidates we develop, which may never occur. Our current product candidate and any future product candidates we develop will require significant preclinical or clinical development, management of clinical, preclinical, and manufacturing activities, efforts toward obtaining marketing approval in the United States and other jurisdictions, and if approved, demonstration of effectiveness to pricing and reimbursement authorities, sufficient manufacturing supply for both preclinical and clinical development and, if approved, for commercial production, as well as investments to build a commercial organization, and substantial investment and significant marketing efforts before we generate any revenues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The clinical and commercial success of our current and future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and successful completion of our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successfully submit amendments to existing INDs or new INDs with the FDA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preclinical studies for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of subjects in, and completion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data from our clinical program that supports an acceptable risk-benefit profile of our product candidate in the intended patient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agreements with third-party manufacturers on a timely and cost-efficient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whether we are required by the FDA or comparable foreign regulatory authorities to conduct additional clinical trials or other studies beyond those planned or anticipated to support approval of our lead product candidate OBX-115;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proposed indications and the primary endpoint assessments evaluated in the clinical trials of our product candidate by the FDA and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and maintenance of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launching commercial distribution and sales of our product candidate,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duration, and severity of potential side effects or other safety issues experienced with our product candidate,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collaborations to further the development of our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trade secret protection or regulatory exclusivity for our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the benefits and uses of our product candidate, if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 acceptable safety, tolerability, and efficacy profile of the product candidates following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any post-approval requirements imposed on our products, such as post-marketing studies, a REMS, or additional requirements that might limit the promotion, advertising, distribution, or sales of our products or make the products cost prohibitive;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effectively with other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many of which are beyond our control, could cause us to fall behind our competitors, experience significant delays or an inability to obtain regulatory approvals or commercialize our current or future product candidates, and could otherwise materially harm our business. Successful completion of preclinical studies and clinical trials does not mean that any other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involves a lengthy and expensive process with uncertain outcomes. We may incur additional costs and experience delays in developing and commercializing or be unable to develop or commercialize our current and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commercialize our product candidates or any future product candidates, we must demonstrate through data from extensive preclinical studies and clinical trials that our product candidate and any future product candidates are safe, pure, and potent in humans. Clinical trials are expensive and can take many years to complete, with a highly uncertain outcome. Failure can occur at any time during the clinical trial process and our current or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our current or any other future product candidates will begin on time, not require redesign, enroll an adequate number of eligible subjects on time, or be completed on schedule, if at all. We may also experience numerous unforeseen events during our clinical trials that could delay or prevent our ability to receive marketing approval or commercialize the product candidates we develop,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from preclinical studies or clinical trials may not be predictive of results from later clinical trials of any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Institutional Review Boards (“IRBs”), or independent ethics committees may not authorize us or our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us to submit additional data such as long-term toxicology studies, or impose other requirements on us, before permitting us to initiate a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delays in reaching, or fail to reach, agreement on acceptable terms with prospective trial sites and prospective CROs, as the terms of these agreements can be subject to extensive negotiation and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enrollment in these clinical trials may be slower than we anticipate or participants may drop out of these clinical trials or may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could cause undesirable side effects that could result in significant negative consequences, including the inability to enter clinical development or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preclinical or nonclinical testing and studies and clinical trials of any product candidates may be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quality, or timeliness of delivery of materials for product candidates we develop or other materials necessary to conduct clinical trials may be insufficient or inadequate;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change the manufacturing site and potentially the CDMO for our product candidates from those that are able to produce clinical supply for our clinical trials to those with the capacity and ability to perform commercial manufacturing and/or the production of clinical material for our later stage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encounter delays if a clinical trial is suspended or terminated by us, or by the IRBs of the institutions in which such trials are being conducted, ethics committees, or the Safety Review Committee (“SRC”), the DSMB, for such trial or by the FDA, the EMA, or other regulatory authorities. Such authorities may impose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 The FDA, the EMA, or other regulatory authorities may change the expectations for approval even after they have reviewed and commented on the design for our clinical trials. Further, the FDA, the EMA, or other regulatory authorities may disagree with our clinical trial design or our interpretation of data from clinical trials. For example, we are conducting and may in the future continue to conduct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because patients may be subject to a “patient bias” where they perceive their symptoms to have improved merely due to their awareness of receiving an experimental 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results, the integrity of the data generated at the applicable clinical trial site may be questioned and the utility of the clinical trial itself may be jeopardized, which could result in the delay or rejection of any future marketing application we submit. Any such delay or rejection could prevent or delay us from commercializing our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the completion, or termination, of any clinical trial of our lead product candidate OBX-115, the commercial prospects of our product candidate will be harmed and our ability to generate product revenues from our product candidate will be delayed. In addition, any delays in completing our clinical trials will increase our costs, slow down the development and approval process for our product candidate,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Any such events would impair our ability to successfully commercialize our product candidate and may harm our business and results of operations.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 or result in the development of our product candidate stopping early.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Preclinical development is uncertain. Any preclinical programs we pursue may experience delays or may never advance to clinical trials, which would adversely affect our ability to obtain regulatory approvals or commercialize these programs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candidates on the timelines we expect, if at all, and we cannot be sure that submission of INDs or similar applications will result in the FDA, the EMA, or other regulatory authorities allowing clinical trials to begin. </w:t>
      </w:r>
    </w:p>
    <w:p>
      <w:pPr>
        <w:pStyle w:val="TextBody"/>
        <w:bidi w:val="0"/>
        <w:spacing w:before="240" w:after="0"/>
        <w:jc w:val="left"/>
        <w:rPr>
          <w:rFonts w:ascii="Times New Roman" w:hAnsi="Times New Roman"/>
          <w:sz w:val="20"/>
        </w:rPr>
      </w:pPr>
      <w:r>
        <w:rPr>
          <w:rFonts w:ascii="Times New Roman" w:hAnsi="Times New Roman"/>
          <w:sz w:val="20"/>
        </w:rPr>
        <w:t xml:space="preserve">Conducting preclinical testing is a lengthy, time-consuming, and expensive process. The length of time of such testing may vary substantially according to the type, complexity, and novelty of the program, and often can be several years or more per program. The commencement and rate of completion of preclinical studies and clinical trials for a product candidate may be delayed by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animal studies to generate compelling toxicity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new non-animal methods for preclinical work to be accepted by regulators;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failures by third party CROs conducting the nonclinical studies on our behalf.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Delays associated with programs for which we are conducting preclinical testing and studies may cause us to incur additional operating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in the future conduct clinical trials for current or future product candidates outside the United States, and the FDA and comparable foreign regulatory authorities may not accept data from such trials.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conduct clinical trials for current or future product candidates outside the United States, and the FDA and comparable foreign regulatory authorities may not accept data from such trials. We are currently conducting clinical trials in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foreign clinical trials are subject to the applicable local laws of the foreign jurisdictions where such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Positive results from preclinical studies and early-stage clinical trials may not be predictive of future results. Initial positive results in any of our clinical trials may not be indicative of results obtained when the trial is completed or in later stage trials.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preclinical studies may not be predictive of the results of clinical trials. Preclinical studies and early-stage clinical trials are primarily designed to (i) test safety, (ii) study pharmacokinetics and pharmacodynamics, and (iii)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Interim, “top-line,” and preliminary results from our preclinical studies and clinical trials that we announce or publish from time to time may change as more patient data become available and are subject to audit, validation,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data, including interim, top-line, or preliminary data from our preclinical studies and clinical trials. Any interim data and results from our preclinical studies and clinical trials are subject to the risk that one or more of the clinical outcomes may materially change as patient enrollment continues and more patient data become available. We also may make assumptions, estimations, calculations and conclusions as part of our analyses of preliminary or topline data and we may not have received or had the opportunity to fully and carefully evaluate all data.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Material differences between preliminary or interim data and final data could significantly harm our business prospects and may cause the trading price of our common stock to fluctuate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 If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current or future product candidates may cause undesirable, unacceptable, or serious adverse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regulatory approvals for the commercial sale of our product candidate, we must demonstrate through lengthy, complex, and expensive preclinical testing and clinical trials that our product candidate are safe, pure, and potent for use in each target indication, and failures can occur at any stage of testing. As with most biological products, use of our current or future product candidates could be associated with side effects or adverse events which can vary in severity from minor reactions to death and in frequency from infrequent to prevalent. There have been serious adverse side effects reported in response to engineered TIL cell therapies in oncology. </w:t>
      </w:r>
    </w:p>
    <w:p>
      <w:pPr>
        <w:pStyle w:val="TextBody"/>
        <w:bidi w:val="0"/>
        <w:spacing w:before="240" w:after="0"/>
        <w:jc w:val="left"/>
        <w:rPr>
          <w:rFonts w:ascii="Times New Roman" w:hAnsi="Times New Roman"/>
          <w:sz w:val="20"/>
        </w:rPr>
      </w:pPr>
      <w:r>
        <w:rPr>
          <w:rFonts w:ascii="Times New Roman" w:hAnsi="Times New Roman"/>
          <w:sz w:val="20"/>
        </w:rPr>
        <w:t xml:space="preserve">Immuno-oncology drugs have been observed to cause side effects, generally related to over activation of the immune system. These include colitis, diabetes, pituitary inflammation, thyroiditis, myocarditis, liver inflammation, thrombocytopenia, pneumonitis, hypoxia, cytokine release syndrome, late autoimmune side effects/autoimmune disease states, and risk of death, among others. Our immuno-oncology product candidates, and combination drug regimens may have similar or additional side effects including late autoimmune side effects, autoimmune disease states or secondary malignancies. Treatment-related side effects may emerge at a later time in our trials. In addition to any potential side effects caused by the product candidate or combination regimen, the administration process or related procedures also can cause adverse side effects. If unacceptable adverse events occur, our clinical trials could be suspended or terminated, or any future marketing authorization could be suspended, revoked, or varied. Additionally, we may be required to repeat or conduct additional clinical trials or nonclinical studies for our product candidate beyond those that we currently contemplate. There can be no assurance that any of our current or future product candidates will not demonstrate unacceptable toxicities in later testing that may render them unsafe or intolerable.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unacceptable side effects arise in the development of our product candidates, we, the FDA, the IRBs at the institutions in which our trials are conducted or the DSMB or SRC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and train them in the tumor procurement surgical and core needle biopsy processes. There are additional risks of complications from tumor tissue procurement, including surgical complications and core needle biopsy complications, including the risk of death Inadequate training in recognizing or managing the potential side effects of our product candidates could result in patient injury or death.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Although our current and future product candidates have undergone and will undergo safety testing to the extent possible and, where applicable, under such conditions discussed with regulatory authorities, not all adverse effects of drugs can be predicted or anticipated. Engineered TIL cell therapeutics and their method of action of harnessing the body’s immune system are powerful and could lead to serious side effects that we only discover in clinical trials or during commercial marketing. Unforeseen side effects could arise either during clinical development or after a product candidate has been approved by regulatory authorities and the approved product has been marketed, following the exposure of additional patients. So far, we have not demonstrated that our current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pursue our product candidate in combination with other therapies and may develop future product candidates in combination with other therapies, which exposes us to additional risks relating to undesirable side effects or other properties. For example, the other therapies may lead to toxicities that are improperly attributed to our product candidate or the combination of our product candidate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such therapies may be unavailable for testing or commercial use with any of our approved products. The other therapies we may use in combination with our product candidate may also be supplanted in the market by newer, safer, or more efficacious products or combinations of products. </w:t>
      </w:r>
    </w:p>
    <w:p>
      <w:pPr>
        <w:pStyle w:val="TextBody"/>
        <w:bidi w:val="0"/>
        <w:spacing w:before="240" w:after="0"/>
        <w:jc w:val="left"/>
        <w:rPr>
          <w:rFonts w:ascii="Times New Roman" w:hAnsi="Times New Roman"/>
          <w:sz w:val="20"/>
        </w:rPr>
      </w:pPr>
      <w:r>
        <w:rPr>
          <w:rFonts w:ascii="Times New Roman" w:hAnsi="Times New Roman"/>
          <w:sz w:val="20"/>
        </w:rPr>
        <w:t xml:space="preserve">Even if we successfully advance our lead product candidate OBX-115 or any future product candidates through clinical trials, such trials will likely only include a limited number of subjects and limited duration of exposure to the candidate.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a particular candidate over a multi-year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 if we successfully develop a product candidate and it receives marketing approval, the FDA could require us to adopt a REMS to ensure that the benefits of treatment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If our current product candidate or any of our future product candidates receives marketing approval, and we or others later identify undesirable side effects caused by such products, a number of potentially significant negative consequences could result in the following,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limit, suspend, or withdraw their approval of the product or may refuse to approve supplemental applications for such product; regulatory authorities may refuse to approve pending applications or supplements to approved applications we 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recall a product or change the way such product is administered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restrictions may be imposed on the marketing of the particular product or the manufacturing processes for the product or any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implement a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may become less competitive;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events could prevent us from achieving or maintaining market acceptance of the particular product candidate, if approved, and result in the loss of significant revenues, which would materially harm our business. In addition, if our product candidates or our engineered TIL cell therapeutic development approach generally proves to be unsafe, our entire technology platform and pipeline could be affected, which would also materially harm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or our collaborators encounter difficulties enrolling eligible patients in our clinical trials, our clinical development activities could be delayed or otherwise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and timely completion of clinical trials in accordance with their protocols depends on, among other things, our ability to recruit and enroll a sufficient number of eligible patients who remain in the trial until the trial’s conclusion, including any follow-up period. We may experience difficulties in patient enrollment in our clinical trials for a variety of reasons. The enrollment of patients depends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and size of the patient population required for analysis of the trial’s primary endpoints and the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location of participating and available clinical sites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ability or failure to add new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qualified clinical trial investigators with the appropriate competencies and experience;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and risks of the product candidate being studied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competing commercially available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patient informed consents for participation in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completion or, because they may be late-stage cancer patients, will not survive the full terms of the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clinical trials will compete with other clinical trials for product candidates that are in the same therapeutic areas as our current and potential future product candidates. It is also likely that we may compete with competitors developing product candidates in the same therapeutic areas for clinical trial sites.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in our ongoing or any future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Delays or difficulties in patient enrollment may result in increased costs or may affect the timing, outcome, or completion of clinical trials, which would adversely affect our ability to advance the development of the product candidates we develop.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number of subjects in our clinical trials are small, the results from these trials, once completed, may be less reliable than results achieved in larger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A trial design that is considered appropriate includes a sufficiently large sample size with appropriate statistical power, as well as proper control of bias, to allow a meaningful interpretation of the results. The preliminary results of trials with smaller sample sizes and heterogeneous patient populations, can be disproportionately influenced by the impact the treatment had on a few individuals, which limits the ability to generalize the results across a broader community, thus making the trial results less reliable than trials with a larger number of subjects and with more homogeneous patient populations. As a result, there may be less certainty that our product candidates would achieve a statistically significant effect in any future clinical trials. If we conduct any future clinical trials, we may not achieve a statistically significant result or the same level of statistical significance seen, if any, in our clinical trials.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Dependence on and Work with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CROs and CDMOs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current and future product candidates and our business could be substantially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third-party CROs and CDMOs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relieve us of our regulatory responsibilities. We and our third-party contractors and CROs are required to comply with GCP requirements, which are regulations and guidelines enforced by the FDA, the competent authorities of the member states of the European Economic Area (“EEA”), and comparable foreign regulatory authorities for our current and future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the product candidate produced under the FDA’s current good manufacturing practice, or cGMP, regulations or similar foreign regulations. Our failure to comply with these regulations may require us to repeat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investigators and CROs are not our employees and we will not be able to control, other than by contract, the amount of resources, including time, which they devote to our current and future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current and future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240" w:after="0"/>
        <w:jc w:val="left"/>
        <w:rPr>
          <w:rFonts w:ascii="Times New Roman" w:hAnsi="Times New Roman"/>
          <w:sz w:val="20"/>
        </w:rPr>
      </w:pPr>
      <w:r>
        <w:rPr>
          <w:rFonts w:ascii="Times New Roman" w:hAnsi="Times New Roman"/>
          <w:sz w:val="20"/>
        </w:rPr>
        <w:t xml:space="preserve">If any of our relationships with these third-party CROs terminate, we may not be able to enter into arrangements with alternative CROs or to do so on commercially reasonable terms. If CROs do not successfully carry out their contractual duties or obligations, comply with applicable regulatory requirements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 and any of our future product candidates. As a result, our results of operations and the commercial prospects for our product candidate or any future product candidates would be harmed, our costs could increase, and our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depend on other third-party collaborators for the discovery, development, and commercialization of certain of our current and future product candidates. If our collaborations are not successful, we may not be able to capitalize on the market potential of these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have formed, and in the future, we may form or seek strategic alliances, joint ventures, or collaborations, or enter into licensing arrangements with third parties that we believe will complement or augment our development and commercialization efforts with respect to product candidates we develop. Such potential future collaborations involving our product candidates may pose various risks to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have significant discretion in determining the efforts and resources that they will apply to these collaborations and collaborators may not perform their obligations as expected. In some situations, we may not be able to influence our collaborators’ decisions regarding the development of our product candidates, and as a result, our collaborators may not pursue or prioritize the development of those product candidates in a manner that is in our best interest or that we agree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obtain, enforce, maintain, or defend our intellectual property rights or proprietary rights or may use our proprietary information in a way that gives rise to actual or threatened litigation or that could jeopardize or invalidate our intellectual property or proprietary information, exposing us to potential litigation or other intellectual property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Such disputes may also impact our intellectual property ownership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our product candidates that achieve regulatory approval may not commit sufficient resources to the marketing and distribution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the product candidate, potentially leading to regulatory investigations or proceedings that may slow down product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or resources for clinical trials or marketing and distribution of a product, stop a clinical trial, abandon a product candidate or repeat or conduct new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certain valuable rights under circumstances identified in our collaborations, including if we undergo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agreements may restrict our right to independently pursue new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enter into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the entry into such transaction. Any of the factors set forth above, among others, could delay the development and commercialization of our product candidate, which would harm our business prospects,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seek to establish collaborations, and, if we are not able to establish them on commercially reasonable terms, we may have to alter our development and commercialization plans. </w:t>
      </w:r>
    </w:p>
    <w:p>
      <w:pPr>
        <w:pStyle w:val="TextBody"/>
        <w:bidi w:val="0"/>
        <w:spacing w:before="240" w:after="0"/>
        <w:jc w:val="left"/>
        <w:rPr>
          <w:rFonts w:ascii="Times New Roman" w:hAnsi="Times New Roman"/>
          <w:sz w:val="20"/>
        </w:rPr>
      </w:pPr>
      <w:r>
        <w:rPr>
          <w:rFonts w:ascii="Times New Roman" w:hAnsi="Times New Roman"/>
          <w:sz w:val="20"/>
        </w:rPr>
        <w:t xml:space="preserve">The advancement of our product candidate and development programs and the potential commercialization of our current and future product candidates will require substantial additional cash to fund expenses. For some of our current or future product candidates, we may decide to collaborate with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collaborators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collaboration or other arrangements that we may establish may not be 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 or any future product candidates or bring them to market and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collaboration that we enter into may not be successful. The success of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can often be terminated by the other party. Any such termination or expiration would adversely affect us financially and could harm our business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are required to pay royalty and milestone payments under our license agreement with M.D. Anderson, and we must also meet certain development milestones to maintain our license rights.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2021, we entered into a license agreement with The Board of Regents (the “Board of Regents”), of The University of Texas System, on behalf of M.D. Anderson Cancer Center (“M.D. Anderson”), for our engineered TIL cell therapy (the “M.D. Anderson License Agreement”). Under the M.D. Anderson License Agreement, we are required to pay both substantial milestone payments and royalties to M.D Anderson based on the net sales of our products utilizing the licensed technologies. These payments could adversely affect the overall profitability for us of any products that we may seek to commercialize under the M.D. Anderson License Agreement. In order to maintain our license rights under the M.D. Anderson License Agreement, we also need to meet certain specified development milestones, subject to certain cure or extension provisions. There is no assurance that we will continue to be able to meet these development milestones on a timely basis,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Manufacturing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on and expect to continue to rely on a network of third-party suppliers and other third parties for production of our current and future product candidates including TIL products and viral vectors as well as custom critical materials such as anti-41BB and iFeeders, and our dependence on these third parties may impair the advancement of our research and development programs and the development of our current and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rely on and expect to continue to rely on a network of third-party CDMOs for the supply of cGMP-grade clinical trial materials and commercial quantities of our current and future product candidates as well as custom critical materials. Specifically, we collaborate with a network of leading CDMOs to manufacture OBX-115 including membrane-bound IL15 carbonic anhydrase 2 (“mbIL15-CA2”), DRD, viral vector, anti-41BB and iFeeders. Reliance on a network of third-party providers may expose us to more risk than if we were to manufacture our product candidates and the associated critical materials ourselves. The facilities used by our CDMOs to manufacture our engineered TIL candidates and the associated materials must be approved by the FDA and foreign regulatory authorities pursuant to inspections that will be conducted after we submit our BLA to the FDA, or similar applications to foreign regulatory authorities. We have limited control over the manufacturing process of, and beyond contractual terms, we are largely dependent on our CDMOs for compliance with cGMP, and applicable product tracking and tracing requirements, or similar foreign requirements for the manufacture of our product candidate. If our CDMOs cannot successfully manufacture material that conforms to our specifications and the strict regulatory requirements of the FDA or comparable foreign regulatory authorities, or are unable to do so in a timely manner, they may not be able to secure or maintain regulatory approval for their manufacturing facilities and could result in delay of our ability to obtain marketing authorization of our current and future product candidates. In addition, we have limited control over the ability of our CDMOs to maintain adequate quality control, quality assurance and qualified personnel. If the FDA or a comparable foreign regulatory authority does not approve these facilities for the manufacture of our current and future product candidates or if it withdraws any such approval in the future, we may need to find alternative manufacturing facilities, which would significantly impact our ability to develop, obtain regulatory approval for, or if approved, market our product candidate. In addition, any failure to achieve and maintain compliance with these laws, regulations, and standards could subject us to the risk that we may have to suspend the manufacturing of our product candidate or that obtained approvals could be revoked, which would adversely affect our business and reputation. Furthermore, third-party providers may breach existing agreements they have with us because of factors beyond our control. They may also terminate or refuse to renew their agreement with us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Any such changes could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current and future product candidates to perform differently and affect the results of clinical trials conducted with the altered materials, and limit our ability to rely on data from clinical trials conducted with an earlier version of our product candidates. In addition, the fact that we are dependent on our collaborators, our CDMOs, and other third parties for the manufacture, filling, storage, and distribution of our current and future product candidates means that we are subject to the risk that the products may have manufacturing defects that we have limited ability to prevent or control. The sale of products containing such defects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rely on our CDMOs to purchase from third-party suppliers the materials necessary to produce our current product candidate for our clinical trials, and will rely on our existing and future collaborators to purchase from third-party suppliers the materials necessary to develop and produce our product candidates for future clinical trials and, upon approval, our products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Moreover, if approved, we intend to rely on third parties to produce commercial supplies of our engineered TIL candidates and viral vectors as well as custom critical materials such as anti-41BB and iFeeders. Our commercialization of any of our product candidate could be stopped, delayed, or made less profitable if those third parties fail to obtain approval of the FDA or comparable foreign regulatory authorities following inspection of their facilities and procedures to manufacture our product candidate and products, fail to provide us with sufficient quantities of product or product components and materials, or fail to do so at acceptable timing, quality levels, or prices, or fail to otherwise complete their duties in compliance with their obligations to us or other parties.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dependent on a limited number of suppliers and, in some instances, a sole supplier, for some of our components and materials used in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There are a limited number of suppliers for raw materials that we use to manufacture our product candidates and there may be a need to assess alternate suppliers to prevent a possible disruption of the manufacture of the materials necessary to produce our product candidate for our clinical trials, and if approved, ultimately for commercial sale. Apart from contractual measures, we do not have any control over the process or timing of the acquisition of these raw materials by our manufacturers or manufacturers paid by our collaborators. Moreover, we currently do not have any agreements for the commercial production of these raw materials. Although we generally do not begin a clinical trial unless we believe we have a sufficient supply of our product candidate to complete the clinical trial or have secured resupply capacity, any significant delay in the supply of our product candidate, or the raw material components thereof, for a planned or an ongoing clinical trial due to the need to replace a third-party manufacturer could considerably delay completion of our clinical trials, product testing, and potential regulatory approval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manufacturing of our product candidate is expensive and time-consuming. If we are successful in obtaining regulatory approval for any of our product candidates, we might have limited quantities of such product candidates available to us in connection with a potential commercial launch, and these supplies may be further limited by our ongoing clinical development activities. If our manufacturers, collaborators or we are unable to purchase or produce sufficient quantities of raw materials or of our product candidate after regulatory approval has been obtained for our product candidate, the commercial launch of our product candidate could be delayed or there could be a shortage in supply, which in either case, would impair our ability to generate revenues from the sale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rely on our manufacturers and other subcontractors to comply with and respect the proprietary rights of others in conducting their contractual obligations for us. If our manufacturers or other subcontractors fail to acquire the proper licenses or otherwise infringe third-party proprietary rights in the course of completing their contractual obligations to us, we may have to find alternative manufacturers or defend against claims of infringement, either of which would significantly impact our ability to develop, obtain regulatory approval for, or market our product candidate,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operations of our suppliers are subject to additional risks that are beyond our control and that could harm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rely on and engage third-party manufacturers to provide critical raw materials, all of the active pharmaceutical ingredients (“APIs”), and the final drug product formulation of our product candidate that are being used in our clinical trials and preclinical studies. If a replacement manufacturer became necessary in the future, we may incur added costs and delays in identifying and qualifying another manufacturer. As a result of our global suppliers, we may be subject to risks associated with doing business abroad,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geopolitical tensions, political unrest, terrorism, labor disputes, and economic instability resulting in the disruption of trade from foreign countries in which our products are manufactured;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new laws and regulations, including those relating to labor conditions, quality,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challenges and increased costs with enforcing and periodically auditing or reviewing our suppliers’ and manufacturers’ compliance with cGMPs or status acceptable to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including trademark protection, in some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operations due to global, regional, or local epidemics, pandemics, public health crises or other emergencies or natural disasters;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or delays in shipments;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conditions in countries where our manufacturers or suppliers are located.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Defense Authorization Act for Fiscal Year 2026 enacted in December 2025 includes a section titled, “Prohibition on Contracting with Certain Biotechnology Providers,” also known as the BIOSECURE Act, aimed at discouraging federal contracting with certain biotechnology companies for biotechnology equipment or services in China and other countries of concern. The statute prohibits federal executive agencies from procuring any biotechnology equipment or service from a biotechnology company of concern, or BCC, or contracting with any such company or any entity that procures or uses equipment or services from a BCC. Any company on the Department of Defense’s Chinese Military Companies List (1260H list) is considered a BCC under the new law and the White House Office of Management and Budget also is empowered to designate companies as BCCs based on consultations with Cabinet Secretaries and other key leaders from the executive branch. This legislation may have the effect of restricting the ability of biopharmaceutical companies that enter into contracts with or receive funding from U.S. federal agencies from purchasing services or equipment from certain and other foreign Chinese biotechnology companies.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240" w:after="0"/>
        <w:jc w:val="left"/>
        <w:rPr>
          <w:rFonts w:ascii="Times New Roman" w:hAnsi="Times New Roman"/>
          <w:sz w:val="20"/>
        </w:rPr>
      </w:pPr>
      <w:r>
        <w:rPr>
          <w:rFonts w:ascii="Times New Roman" w:hAnsi="Times New Roman"/>
          <w:sz w:val="20"/>
        </w:rPr>
        <w:t xml:space="preserve">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In addition, we will likely need to change or expand our CDMO network for manufacturing our product candidates to one that can support commercial-scale manufacturing. Such changes carry the risk that they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achieve these intended objectives. Any of these changes could cause our product candidate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 and jeopardize our ability to commence sales, if approved, and generate revenue.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multiple manufacturing risks, any of which could substantially increase our costs and limit supply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manufacturing our engineered TIL product candidates is complex, time-consuming, highly regulated, and subject to several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cellular therapies is complicated and tightly regulated by the FDA and comparable regulatory authorities around the world, and although alternative third-party suppliers with the necessary manufacturing and regulatory expertise and facilities exist, it could be expensive and take a significant amount of time to arrange for alternative suppliers, transfer manufacturing procedures to these alternative suppliers, and demonstrate comparability of material produced by such new suppliers. New manufacturers of any product candidate or intermediate would be required to qualify under applicable regulatory requirements. These manufacturers may not be able to manufacture our product candidates at costs, or in sufficient quantities, or in a timely manner necessary to complete development of our product candidates or make commercially successful products. If we are unable to arrange for alternative third-party manufacturing sources, or to do so on commercially reasonable terms or in a timely manner, we may not be able to complete development of our product candidates, or market or distribute them. In addition, should the FDA or comparable regulatory authorities not agree with our product candidate specifications and comparability assessments for these materials, further clinical development of our product candidates could be substantially delayed and we would incur substantial additional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likely continue to expand our CDMO network for manufacturing our product candidate to meet clinical and commercial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expand and develop relationships with suppliers of critical starting materials or reagents, increase the scale of production and demonstrate comparability of the material produced at these facilities to the material that was previously produced. Transferring manufacturing processes and know-how is complex and involves review and incorporation of both documented and undocumented knowledge that may have evolved over time. In addition, transferring production to different facilities may require utilization of new or different processes to meet the specific requirements of a given facility. We would expect additional comparability work will also need to be conducted to support the transfer of certain manufacturing processes and process improvements. We cannot be certain that all relevant know-how and data have been adequately incorporated into the manufacturing process until the completion of studies and the related evaluations intended to demonstrate the comparability. If we are not able to successfully transfer and produce comparable product candidates, our ability to further develop and manufacture our product candidates may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facilities in which our products are made could be adversely affected by equipment failures, labor and raw material shortages, natural disasters, power failures, and numerous other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differences in tumor procurement across sites may give us a suboptimal starting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may be difficult to meet comparability standards across multiple CDMOs;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OBX-115 product candidate comprises a live cell suspension of autologous TIL derived from the patient’s tumor that have been engineered to express mbIL15. As an autologous cell therapy, the manufacture of our OBX-115 product candidate involves complex processes, including tumor collection, tumor processing, pre-Rapid Expansion Protocol (“Pre-REP”), harvest and cryopreservation, LN2 storage, Pre-REP thaw, activation, transduction, Rapid Expansion Protocol (“REP”), harvest, and cryopreservation, LN2 storage, quality testing and release, LN2 shipment, clinical site receipt, thaw and patient administration. Our manufacturing process may be susceptible to product loss or failure due to logistical issues associated with collection of the patients’ tumor materials, shipping such material to the manufacturing site, shipping the final product back to the patient, and infusing the patient with the finished cell therapy product. Product loss or failure may also be caused by manufacturing issues associated with the variability in patient starting material, differences in tumor procurement across clinical sites, interruptions in the manufacturing process, contamination, equipment or utility failure, assay failures, improper installation or operation of equipment, vendor or operator error, GMP issues, inconsistency in cell growth, and variability in product characteristics. Even minor deviations from normal manufacturing processes could result in reduced production yields, product defects, and other supply disruptions. </w:t>
      </w:r>
    </w:p>
    <w:p>
      <w:pPr>
        <w:pStyle w:val="TextBody"/>
        <w:bidi w:val="0"/>
        <w:spacing w:before="240" w:after="0"/>
        <w:jc w:val="left"/>
        <w:rPr>
          <w:rFonts w:ascii="Times New Roman" w:hAnsi="Times New Roman"/>
          <w:sz w:val="20"/>
        </w:rPr>
      </w:pPr>
      <w:r>
        <w:rPr>
          <w:rFonts w:ascii="Times New Roman" w:hAnsi="Times New Roman"/>
          <w:sz w:val="20"/>
        </w:rPr>
        <w:t xml:space="preserve">We may also make changes to our manufacturing processes at various points during development, for a number of reasons, such as improving process performance, introducing new raw materials, decreasing processing time, increasing manufacturing success rate, costs improvement, achieving scale, or other reasons. Such changes carry the risk that they will not achieve their intended objectives, and any of these changes could cause our product candidate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we are ultimately unable to obtain regulatory approval for our product candidate,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or maintain approval, may change during the course of a product candidate’s clinical development and may vary among jurisdictions.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We are considering these and other policy changes as they relate to our programs. </w:t>
      </w:r>
    </w:p>
    <w:p>
      <w:pPr>
        <w:pStyle w:val="TextBody"/>
        <w:bidi w:val="0"/>
        <w:spacing w:before="240" w:after="0"/>
        <w:jc w:val="left"/>
        <w:rPr>
          <w:rFonts w:ascii="Times New Roman" w:hAnsi="Times New Roman"/>
          <w:sz w:val="20"/>
        </w:rPr>
      </w:pPr>
      <w:r>
        <w:rPr>
          <w:rFonts w:ascii="Times New Roman" w:hAnsi="Times New Roman"/>
          <w:sz w:val="20"/>
        </w:rPr>
        <w:t xml:space="preserve">We have not obtained regulatory approval for any of our product candidates.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current and future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has an acceptable risk-benefit profile in the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the facility in which a product candidate is manufactured meets standards designed to assure that the product candidate is safe, pure, and potent;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clinical trials or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 may not be sufficient to support the submission of a BLA to the FDA or regulatory submissions to comparable regulatory authorities to obtain regulatory approval in such jurisdiction;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our manufacturing processes or facility or the manufacturing processes or facilities of third-party manufacturers with which we contract for clinical and commercial supplies.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ongoing and future clinical trials of our product candidates are promising, such data may not be sufficient to support approval by the FDA or any other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 Even if we obtain regulatory approval for our product candidate, we will be required to submit new or supplemental applications and obtain approval for certain changes to the approved product, product labeling, or manufacturing process and the FDA or comparable foreign regulatory authority may refuse to approve such applications or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Disruptions at the FDA and other government agencies caused by funding shortages or global health concerns could hinder their ability to hire, retain, or deploy personnel, and substantial leadership, personnel and policy changes or otherwise, could prevent new or modified products from being developed, approved, or commercialized in a timely manner or at all, which could negatively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the appropriation of adequate funding to federal agencies, our business operations related to our product development activities for the U.S. market could be impacted.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substantial leadership, personnel, and policy changes, may also slow the time necessary for biological products or modifications to approved biological products to be reviewed and/or approved by necessary government agencies, which would adversely affect our business. Changes and cuts in FDA staffing during 2025 have been seen as resulting in delays in the FDA’s responsiveness or in its ability to review IND submissions or marketing applications, issue regulations or guidance, or implement or enforce regulatory requirements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With the change in the U.S. presidential administration in 2025, there is substantial uncertainty as to the extent and manner in which the administration will continue to seek to modify or revise the requirements and policies of the FDA and other regulatory agencies with jurisdiction over our product candidates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therapeutics candidates. Also, state governments may seek to address or react to changes at the federal level with changes to their regulatory frameworks in a manner that could impact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suspend, repeat, or terminate our clinical trials if they are not conducted in accordance with regulatory requirements, the results are negative or inconclusive, or the trials are not well designed.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must be conducted in accordance with GCP requirements, which are regulations and guidelines enforced by the FDA, the competent authorities of the member states of the EEA, and comparable foreign regulatory authorities. 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requirements. Clinical trials may be suspended by the FDA, other foreign regulatory authorities, us, or by an IRB or ethics committee with respect to a particular clinical trial site, for various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conduct of the clinical trials, including failure to conduct the clinical trial in accordance with regulatory requirements or trial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clinical trial operations or trial sites;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adverse side effects or the emergence of undue risks to trial subjects;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the trial design necessary to demonstrate efficacy;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candidate may not appear to offer benefits over current therapies;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the product candidate may fall below acceptable standards.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Even if we receive marketing approval of our product candidate, we will be subject to ongoing regulatory obligations and continued regulatory review, which may result in significant additional expenses.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Any marketing approvals that we receive for any current or future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quality control, labeling, packaging, distribution, tracking and tracing,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regulations and with GCP requirements for any clinical trials that we may conduct post-approval. Problems with our or our third-party manufacturers’ manufacturing processes or facilities, or failure to comply with regulatory requirements,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or imposition of restrictions on, the marketing or manufacturing of the product,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inspectional observations (FDA Form 483s), Warning Letters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production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monetary penalties, refusal to permit the import or export of the product, or placement on Import Alert;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permanent injunctions and consent decrees including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nature of biological product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Moreover, the FDA and the U.S. Department of Justice strictly regulate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 </w:t>
      </w:r>
    </w:p>
    <w:p>
      <w:pPr>
        <w:pStyle w:val="TextBody"/>
        <w:bidi w:val="0"/>
        <w:spacing w:before="240" w:after="0"/>
        <w:jc w:val="left"/>
        <w:rPr>
          <w:rFonts w:ascii="Times New Roman" w:hAnsi="Times New Roman"/>
          <w:sz w:val="20"/>
        </w:rPr>
      </w:pPr>
      <w:r>
        <w:rPr>
          <w:rFonts w:ascii="Times New Roman" w:hAnsi="Times New Roman"/>
          <w:sz w:val="20"/>
        </w:rPr>
        <w:t xml:space="preserve">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 or maintain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w:t>
      </w:r>
    </w:p>
    <w:p>
      <w:pPr>
        <w:pStyle w:val="TextBody"/>
        <w:bidi w:val="0"/>
        <w:spacing w:before="240" w:after="0"/>
        <w:jc w:val="left"/>
        <w:rPr>
          <w:rFonts w:ascii="Times New Roman" w:hAnsi="Times New Roman"/>
          <w:sz w:val="20"/>
        </w:rPr>
      </w:pPr>
      <w:r>
        <w:rPr>
          <w:rFonts w:ascii="Times New Roman" w:hAnsi="Times New Roman"/>
          <w:sz w:val="20"/>
        </w:rPr>
        <w:t xml:space="preserve">OBX-115 has been granted Fast Track and RMAT designation from the FDA for the treatment of patients with unresectable or metastatic melanoma that is resistant ICI therapy. We may seek designations for other indications, or for future product candidates. However, there can be no assurance that we will successfully obtain such designations for any additional indications or future product candidates, or that we will be able to maintain the designations we have been granted.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additional indications or for our other potential product candidates. If a therapy is intended for the treatment of a serious or life-threatening condition and its nonclinical or clinical data demonstrates the potential to address unmet medical needs for this condition, the therapy sponsor may apply for Fast Track Designation. The FDA has broad discretion whether to grant this designation, so even if we believe a particular product candidate is eligible for this designation, there can be no assurance that the FDA would decide to grant it. Even if Fast Track Designation has been granted, we may not experience a faster development process, review or approval compared to conventional FDA procedures, and receiving a Fast Track Designation does not provide assurance of the product’s ultimate FDA approval. In addition, the FDA may withdraw Fast Track Designation if it believes that the designation is no longer supported by data from our clinical development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seek a RMAT designation for additional indications or for our other potential product candidates. RMAT is defined as cell therapies, therapeutic tissue engineering products, human cell and tissue products, and combination products using any such therapies or products, with limited expectations.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U.S. Federal Food, Drug, and Cosmetic Act (“FDCA”), we will need to request a rare pediatric disease PRV in our original marketing application for any eligible potential product candidates. The FDA may determine that a marketing application for any such product candidate,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Congress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biologic over available therapy may not be a direct therapeutic advantage, but is a clinically important improvement from a patient and public health perspective. If granted, accelerated approval may be contingent on the sponsor’s agreement to conduct, in a diligent manner, additional post-approval confirmatory studies to verify and describe the biologic’s clinical benefit. In case of an accelerated BLA approval, FDA may mandate a Phase 4 clinical trial prior to full approval.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FDORA also requires sponsors to send updates to the FDA every 180 days on the status of such studies, including progress toward enrollment targets, and the FDA must promptly post this information publicly. FDORA also gives the FDA increased authority to withdraw approval of a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240" w:after="0"/>
        <w:jc w:val="left"/>
        <w:rPr>
          <w:rFonts w:ascii="Times New Roman" w:hAnsi="Times New Roman"/>
          <w:sz w:val="20"/>
        </w:rPr>
      </w:pPr>
      <w:r>
        <w:rPr>
          <w:rFonts w:ascii="Times New Roman" w:hAnsi="Times New Roman"/>
          <w:sz w:val="20"/>
        </w:rPr>
        <w:t xml:space="preserve">If the FDA determines that a product candidate offers a treatment for a serious condition and, if approved, the product would provide a significant improvement in safety or effectiveness, the FDA may designate the product candidate’s marketing application for priority review. A priority review designation means that the goal for the FDA to review an application is six months from the filing date, rather than the standard review period of ten months. We may request priority review for the product candidates that we develop.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European Union, we may seek to participate in the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small-and medium-sized enterprises may qualify for earlier entry into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commercial success of our product candidate or any future product candidates will depend upon the degree of market acceptance of such product candidates by physicians, patients, healthcare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 and any future product candidates may not be commercially successful. Even if our product candidate or any future product candidates receive regulatory approval, they may not gain market acceptance among physicians, patients, healthcare payors, or the medical community. The commercial success of our lead product candidate OBX-115 or any future product candidates will depend significantly on the broad adoption and use of the resulting marketed product by these individuals and organizations for approved indications. The degree of market acceptance of our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indications for which our product candidate or any future product candidates are approved,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of our targeted patient population and other limitations or warnings contained in any FDA-approved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cost-effectiveness of our products, as well as the cost of treatment with our products in relation to alternative treatments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products,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products as well as availability, safety, and efficacy of competitive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or any current or future collaborators’ sales and marketing strategies;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the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opportunities for any current or future product candidate we develop, if approved, may be limited to those patients who are ineligible for established therapies or for whom prior therapies have failed, and may be small. </w:t>
      </w:r>
    </w:p>
    <w:p>
      <w:pPr>
        <w:pStyle w:val="TextBody"/>
        <w:bidi w:val="0"/>
        <w:spacing w:before="240" w:after="0"/>
        <w:jc w:val="left"/>
        <w:rPr>
          <w:rFonts w:ascii="Times New Roman" w:hAnsi="Times New Roman"/>
          <w:sz w:val="20"/>
        </w:rPr>
      </w:pPr>
      <w:r>
        <w:rPr>
          <w:rFonts w:ascii="Times New Roman" w:hAnsi="Times New Roman"/>
          <w:sz w:val="20"/>
        </w:rPr>
        <w:t xml:space="preserve">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 The number of patients who have the types of cancer or autoimmune diseases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 </w:t>
      </w:r>
    </w:p>
    <w:p>
      <w:pPr>
        <w:pStyle w:val="TextBody"/>
        <w:bidi w:val="0"/>
        <w:spacing w:before="240" w:after="0"/>
        <w:jc w:val="left"/>
        <w:rPr>
          <w:rFonts w:ascii="Times New Roman" w:hAnsi="Times New Roman"/>
          <w:sz w:val="20"/>
        </w:rPr>
      </w:pPr>
      <w:r>
        <w:rPr>
          <w:rFonts w:ascii="Times New Roman" w:hAnsi="Times New Roman"/>
          <w:sz w:val="20"/>
        </w:rPr>
        <w:t xml:space="preserve">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patients who receive first-line treatment, and the prognosis of patients who receive second- or third-line treatment is often poorer than that of patients who receive first-line treatment. </w:t>
      </w:r>
    </w:p>
    <w:p>
      <w:pPr>
        <w:pStyle w:val="TextBody"/>
        <w:bidi w:val="0"/>
        <w:spacing w:before="240" w:after="0"/>
        <w:jc w:val="left"/>
        <w:rPr>
          <w:rFonts w:ascii="Times New Roman" w:hAnsi="Times New Roman"/>
          <w:sz w:val="20"/>
        </w:rPr>
      </w:pPr>
      <w:r>
        <w:rPr>
          <w:rFonts w:ascii="Times New Roman" w:hAnsi="Times New Roman"/>
          <w:sz w:val="20"/>
        </w:rPr>
        <w:t xml:space="preserve">We may initially seek approval for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approved, our product candidate that is regulated as a biological product, or biologic, may face competition from biosimilars approved through an abbreviated regulatory pathway. </w:t>
      </w:r>
    </w:p>
    <w:p>
      <w:pPr>
        <w:pStyle w:val="TextBody"/>
        <w:bidi w:val="0"/>
        <w:spacing w:before="240" w:after="0"/>
        <w:jc w:val="left"/>
        <w:rPr>
          <w:rFonts w:ascii="Times New Roman" w:hAnsi="Times New Roman"/>
          <w:sz w:val="20"/>
        </w:rPr>
      </w:pPr>
      <w:r>
        <w:rPr>
          <w:rFonts w:ascii="Times New Roman" w:hAnsi="Times New Roman"/>
          <w:sz w:val="20"/>
        </w:rPr>
        <w:t xml:space="preserve">The Biologics Price Competition and Innovation Act of 2009 (“BPCIA”), established an abbreviated pathway for the approval of biosimilar and interchangeable biologics with an FDA-licensed reference biologic product.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and is not submitted as a biosimilar application. Certain changes and supplements to an approved BLA, and subsequent applications filed by the same sponsor, manufacturer, licensor, predecessor in interest, or other related entity do not qualify for the 12-year exclusivity period. The law is complex and any new policies or processes adopted by the FDA could have a material adverse effect on the future commercial prospects for our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biosimilars compete with, and in some circumstances may be deemed under state law to be substitutable for, the previously approved reference product. The approval of a biosimilar of our product candidate could have a material adverse impact on our business due to increased competition and pricing pressure. It is also possible that payors will give reimbursement preference to biosimilars over reference biological products, even absent a determination of interchangeability.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biological product. Any market entry of competing products to our product candidate in these other regions could adversely affect our business in those regions.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receive any anticipated periods of regulatory exclusivity for our current product candidate or any future product candidates it could adversely affect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 If we are not successful in commercializing any approved products, our future product revenue will suffer and we may incur significant additional losses.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be able to develop in-house sales and distribution capabilities or establish or maintain relationships with third-party collaborators to commercialize any product in the United States, Canada or overseas. Any failure or delay in the development of our internal or a third parties’ sales, marketing and distribution capabilities would adversely impact the commercialization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Off-label use or misuse of our product candidate may harm our reputation in the marketplace or result in injuries that lead to costly product liability suits.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 OBX-115 or any future product candidates are approved by the FDA, we may only promote or market such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we or any third-party manufacturer we engage now or in the future fails to comply with environmental, health, and safety laws and regulations, we could become subject to fines or penalties or incur costs or liabilities that could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ability to compete may decline if we do not adequately protect our proprietary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obtaining and maintaining patents and other forms of intellectual property rights for our technology, including product candidates (including clinical product candidates and preclinical product candidates), methods used to produce, purify, and manufacture those product candidates, and methods of utilizing the product candidates, including methods for treating patients, among other aspects of our technology or on licensing-in such rights. Failure to protect or to obtain, maintain, or extend adequate patent and other intellectual property rights could materially adversely affect our ability to develop and market our product candidates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strategy depends in part on our ability to identify and seek patent protection for our discoveries. The patent prosecution process is time-consuming and expensive, and we and our current or future licensors, licensees, or collaborators may not be able to prepare, file, and prosecute all necessary or desirable patent applications at a reasonable cost or in a timely manner in all jurisdictions where protection may be commercially advantageous. It is also possible that we or our current or future licensors, licensees, or collaborators will fail to identify patentable aspects of inventions made in the course of development activities before it is too late to obtain patent protection on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standards which the USPTO and its foreign counterparts use to grant patents are not always applied predictably or uniformly and can change in the future. There is also no uniform, worldwide policy regarding the subject matter and scope of claims granted or allowable. The laws of some foreign countries do not protect proprietary information to the same extent as the laws of the United States. Outside the United States, patent protection must be sought in individual jurisdictions, further adding to the cost and uncertainty of obtaining adequate patent protection outside of the United States. Accordingly, the issuance, scope, validity, enforceability, and commercial value of our and our current or future licensors’, licensees’, or collaborators’ current and future patent rights are highly uncertain. We cannot predict whether additional patents protecting our technology will issue in the United States or in foreign jurisdictions, or whether any patents that do issue will have claims of adequate scope to provide a competitive advantage. Our and our current or future licensors’, licensees’, or collaborators’ pending and future patent applications may not result in patents being issued which protect our product candidates or other technology, in whole or in part, or which effectively prevent others from commercializing competitive products and technology. The patent examination process may require us or our current or future licensors, licensees, or collaborators to narrow the scope of the claims of our or our current or future licensors’, licensees’, or collaborators’ pending and future patent applications, which may limit the scope of patent protection that may be obtained. </w:t>
      </w:r>
    </w:p>
    <w:p>
      <w:pPr>
        <w:pStyle w:val="TextBody"/>
        <w:bidi w:val="0"/>
        <w:spacing w:before="240" w:after="0"/>
        <w:jc w:val="left"/>
        <w:rPr>
          <w:rFonts w:ascii="Times New Roman" w:hAnsi="Times New Roman"/>
          <w:sz w:val="20"/>
        </w:rPr>
      </w:pPr>
      <w:r>
        <w:rPr>
          <w:rFonts w:ascii="Times New Roman" w:hAnsi="Times New Roman"/>
          <w:sz w:val="20"/>
        </w:rPr>
        <w:t xml:space="preserve">We cannot confirm that all of the potentially relevant prior art relating to our patents and patent applications has been found. If such prior art exists, it can invalidate a patent or prevent a patent from issuing from a pending patent application. Even if patents do successfully issue, or have issued and even if such patents cover a product candidate, and/or other technologies, third parties may initiate an adversarial proceeding including opposition, interference, re-examination, post-grant review, inter partes review, litigation, nullification, or derivation action before patent offices or in court, or similar proceedings challenging the validity, enforceability, or scope, inventorship, or ownership of such patents, which may result in the patent claims being narrowed, invalidated, or held unenforceable or unavailable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Patent applications in the United States and many foreign jurisdictions are typically not published until 18 months after the filing of the first priority application, or in some cases not at all, and publications of discoveries in scientific literature lag behind actual discoveries. As such,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changes in, or different interpretations of, patent laws in the United States and other countries may permit others to use our discoveries or to develop and commercialize our technology and products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Finally, our and our current and future licensors’, licensees’ or collaborators’ patent applications cannot be enforced against third parties practicing the claimed technology in such applications unless and until a patent issues from such application(s), and then only to the extent the issued claims cover the technology in the relevant jurisdiction, and, if applicable, until the patent survives an opposition, interference, re-examination, inter partes review, and the like with claims that continue to cover the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240" w:after="0"/>
        <w:jc w:val="left"/>
        <w:rPr>
          <w:rFonts w:ascii="Times New Roman" w:hAnsi="Times New Roman"/>
          <w:sz w:val="20"/>
        </w:rPr>
      </w:pPr>
      <w:r>
        <w:rPr>
          <w:rFonts w:ascii="Times New Roman" w:hAnsi="Times New Roman"/>
          <w:sz w:val="20"/>
        </w:rPr>
        <w:t xml:space="preserve">Filing, prosecuting, and defending patents on our product candidate or any future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As such, we will not file for patent protection in all national and regional jurisdictions in the world where such protection may be available. </w:t>
      </w:r>
    </w:p>
    <w:p>
      <w:pPr>
        <w:pStyle w:val="TextBody"/>
        <w:bidi w:val="0"/>
        <w:spacing w:before="240" w:after="0"/>
        <w:jc w:val="left"/>
        <w:rPr>
          <w:rFonts w:ascii="Times New Roman" w:hAnsi="Times New Roman"/>
          <w:sz w:val="20"/>
        </w:rPr>
      </w:pPr>
      <w:r>
        <w:rPr>
          <w:rFonts w:ascii="Times New Roman" w:hAnsi="Times New Roman"/>
          <w:sz w:val="20"/>
        </w:rPr>
        <w:t xml:space="preserve">Accordingly, competitors may use our and our existing or future licensors’, licensees’, or collaborators’ technologies in jurisdictions where we have not obtained patent protection to develop their own products and, further, may export otherwise infringing products to territories where we and our existing or future licensors, licensees, or collaborators have patent protection, but enforcement is not as strong as that in the United States. These products may compete with our product candidate or other technologies, and our and our existing or future licensors’, licensees’, or collaborators’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foreign countries do not protect intellectual property rights to the same extent as the laws of the United States. Patent protection must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w:t>
      </w:r>
    </w:p>
    <w:p>
      <w:pPr>
        <w:pStyle w:val="TextBody"/>
        <w:bidi w:val="0"/>
        <w:spacing w:before="240" w:after="0"/>
        <w:jc w:val="left"/>
        <w:rPr>
          <w:rFonts w:ascii="Times New Roman" w:hAnsi="Times New Roman"/>
          <w:sz w:val="20"/>
        </w:rPr>
      </w:pPr>
      <w:r>
        <w:rPr>
          <w:rFonts w:ascii="Times New Roman" w:hAnsi="Times New Roman"/>
          <w:sz w:val="20"/>
        </w:rPr>
        <w:t xml:space="preserve">Furthermore, proceedings to enforce our patent rights and other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Issued patents covering our product candidates and related technology could be found invalid or unenforceable if challenged in court or before a patent office. </w:t>
      </w:r>
    </w:p>
    <w:p>
      <w:pPr>
        <w:pStyle w:val="TextBody"/>
        <w:bidi w:val="0"/>
        <w:spacing w:before="240" w:after="0"/>
        <w:jc w:val="left"/>
        <w:rPr>
          <w:rFonts w:ascii="Times New Roman" w:hAnsi="Times New Roman"/>
          <w:sz w:val="20"/>
        </w:rPr>
      </w:pPr>
      <w:r>
        <w:rPr>
          <w:rFonts w:ascii="Times New Roman" w:hAnsi="Times New Roman"/>
          <w:sz w:val="20"/>
        </w:rPr>
        <w:t xml:space="preserve">Issued patents may be challenged, narrowed, invalidated, or circumvented. We may from time to time need to resort to litigation (or other adversarial proceedings) to enforce or defend any patents or other intellectual property right owned by or licensed to us, or to determine or challenge the scope or validity of patents or other intellectual property rights of third parties. As enforcement of intellectual property rights is difficult, unpredictable, and expensive, we may fail in enforcing our rights-in which case our competitors may be permitted to use our technology without being enjoined, required to pay us any license fees, or compensate us for lost profits or reasonable royalty. In addition, litigation involving our patents carries the risk that one or more of our patents will be held invalid (in whole or in part, on a claim-by-claim basis) or held unenforceable. Such an adverse court ruling could allow third parties to commercialize technology covered by our patents we seek to enforce, such as those covering our product candidates and related methods, among other technologies, and then compete directly with us, without payment to us.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initiate legal proceedings against a third party to enforce a patent covering our product candidates or other technologies, the defendant could counterclaim that our patent is invalid and/or unenforceable, which is commonplace in patent litigation in the United States and in other foreign jurisdictions. Grounds for a validity challenge could be an alleged failure to meet any of several statutory requirements for patentability, for example, lack of utility, novelty, obviousness, non-enablement, or lack of written description or as constituting unpatentable subject matter. Grounds for an unenforceability assertion could be an allegation that someone substantively involved in prosecution of the patent withheld but-for material information from the USPTO or engaged in affirmatively egregious misconduct, during prosecution, with a specific intent to deceive the USPTO. </w:t>
      </w:r>
    </w:p>
    <w:p>
      <w:pPr>
        <w:pStyle w:val="TextBody"/>
        <w:bidi w:val="0"/>
        <w:spacing w:before="240" w:after="0"/>
        <w:jc w:val="left"/>
        <w:rPr>
          <w:rFonts w:ascii="Times New Roman" w:hAnsi="Times New Roman"/>
          <w:sz w:val="20"/>
        </w:rPr>
      </w:pPr>
      <w:r>
        <w:rPr>
          <w:rFonts w:ascii="Times New Roman" w:hAnsi="Times New Roman"/>
          <w:sz w:val="20"/>
        </w:rPr>
        <w:t xml:space="preserve">The outcome following legal assertions of invalidity and unenforceability during patent litigation (or other adversarial proceedings)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could lose at least part, and perhaps all, of the patent protection on our product candidate or other technology. Such a loss of patent protection could have a material adverse impact on our business. Even if we have valid and enforceable patents, these patents still may not provide protection against competing products or processes sufficient to achieve our business objectives. Patents and other intellectual property rights also will not protect our technology if competitors design around our protected technology without infringing our patents or other intellectual property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unsuccessful in defending against claims by competitors or others that we are infringing upon their intellectual property rights, our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will depend, in part, on our ability to operate without infringing the proprietary rights of third parties. Other entities may have or obtain patents or other proprietary rights that could limit our ability to make, use, sell, offer for sale, or import a product candidate, a future approved product, or impair our competitive position. There may be issued patents and/or pending patent applications held by third parties that could be alleged as covering our product candidate, irrespective of the merits. Although we believe that these patents are not infringed, and/or are invalid and/or unenforceable, if a court should find that they cover our product candidates and we are unable to invalidate such patents, or if licenses for them are not available or on commercially reasonable terms, our business could be harmed, perhaps materially.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if such patents or patent applications were asserted against us, we would have counterclaims and defenses against such claims, including non-infringement, the affirmative defense of safe harbor designed to protect activity undertaken to obtain federal regulatory approval of a cell therapy, including under 35 U.S.C. § 271(e) and similar foreign exceptions to infringement, and defenses concerning patent invalidity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unenforceability. However, if such counterclaims and defenses are not successful and such patents are successfully asserted against us such that they are found to be valid and enforceable, and infringed, unless we obtain a license to such patents, which may not be available or on commercially reasonable terms or at all, we could be prevented from continuing to develop or commercialize our product candidate. We could also be required to pay substantial damages. We cannot confirm that we will ultimately prevail if any such third-party intellectual property is asserted against us. </w:t>
      </w:r>
    </w:p>
    <w:p>
      <w:pPr>
        <w:pStyle w:val="TextBody"/>
        <w:bidi w:val="0"/>
        <w:spacing w:before="240" w:after="0"/>
        <w:jc w:val="left"/>
        <w:rPr>
          <w:rFonts w:ascii="Times New Roman" w:hAnsi="Times New Roman"/>
          <w:sz w:val="20"/>
        </w:rPr>
      </w:pPr>
      <w:r>
        <w:rPr>
          <w:rFonts w:ascii="Times New Roman" w:hAnsi="Times New Roman"/>
          <w:sz w:val="20"/>
        </w:rPr>
        <w:t xml:space="preserve">In the biotechnology industry, significant litigation and other proceedings regarding patents, patent applications, trademarks, and other intellectual property rights have become commonplace. The types of situations in which we may become a party to such litigation or proceedings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collaborators may initiate litigation or other adversarial proceedings against third parties seeking to invalidate the patents held by those third parties or to obtain a judgment that our products or processes do not infringe those third parties’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 parties initiate litigation claiming that our processes or products infringe their patent or other intellectual property rights, we and our collaborators will need to defend against such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lawsuits (or other adversarial proceedings) would be costly and could affect our results of operations and divert the attention of our management and scientific personnel. 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breadth or strength of protection provided by our or our present or future licensors’, collaborators’, or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240" w:after="0"/>
        <w:jc w:val="left"/>
        <w:rPr>
          <w:rFonts w:ascii="Times New Roman" w:hAnsi="Times New Roman"/>
          <w:sz w:val="20"/>
        </w:rPr>
      </w:pPr>
      <w:r>
        <w:rPr>
          <w:rFonts w:ascii="Times New Roman" w:hAnsi="Times New Roman"/>
          <w:sz w:val="20"/>
        </w:rPr>
        <w:t xml:space="preserve">Third-party intellectual property right holders, including our competitors, may actively bring infringement claims against us. We may not be able to successfully settle, license (including on commercially acceptable terms), or otherwise resolve such potential infringement claims. If we are unable to successfully settle future claims on terms acceptable to us, we may be required to engage or continue costly, unpredictable, and time-consuming litigation and may be prevented from or experience substantial delays in marketing any approved products. If we fail in any such dispute, in addition to being forced to potentially pay damages, we or our collaborators may be temporarily or permanently prohibited from commercializing our product candidates that are held to be infringing or be forced to redesign product candidates so that we no longer infringe the third-party’s intellectual property rights. Any of these events, even if we were ultimately to prevail, could require us to divert substantial financial and management resources that we would otherwise be able to devote to our business, research, and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biotechnology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patented claims of the relevant patent or that the patented claims are invalid, and we may not be able to do this. Proving invalidity can be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 to market, and be precluded from manufacturing or selling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in our evaluation of third-party intellectual property, we failed to identify relevant patents or applications. We cannot guarantee that any of our patent searches or analyses, including but not limited to the identification of relevant patents, the scope of patented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patented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 Our failure to identify and correctly interpret relevant patents may negatively impact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For example, U.S. applications filed before November 29, 2000 and certain U.S. applications filed after that date that will not be filed outside the United States remain confidential until the patent issues. Patent applications in the United States and elsewhere are published approximately 18 months after the earliest filing for which priority is claimed, with such earliest filing date being commonly referred to as the priority date. Furthermore, we operate in a highly competitive field, and given our limited resources, it is unreasonable to monitor all patent applications purporting to claim broad coverage in the areas in which we are active. Additionally, pending patent applications which have been published can, subject to certain limitations, be later amended in a manner that could cover our product candidate or related technology. We cannot predict whether third parties will be able to successfully obtain claims or the breadth of such claims.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become involved in lawsuits involving our intellectual property, including patents, to protect or enforce our patents, which could be expensive, time consuming, and unsuccessful.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become a party to litigation and other adversarial proceedings or disputes involving intellectual property in the US and in other jurisdictions. Such litigation (or other adversarial proceedings or disputes) include instances where we are asserting our intellectual property against third parties, or we are defending against an allegation of infringement. Even if such litigation (or other adversarial proceedings or disputes) is resolved in our favor, litigation or other legal proceedings relating to intellectual property claims may cause us to incur significant expenses and could distract our technical and management personnel from their normal responsibilities. In addition, there will be public announcements of the results of hearings, motions or other interim proceedings or developments and if securities analysts or investors perceive these results to be negative, this could have a substantial adverse effect on the price of our common shares. Such litigation or proceedings and the legal costs associated with them,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comply with our obligations under our intellectual property licenses with third parties, we could lose license rights that are important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party to intellectual property license agreements. These license agreements impose, and we expect that future license agreements may impose, various obligations on us. For example, we have entered into patent and know-how license agreements with the Board of Regents of The University of Texas System that grant us the right to use certain technologies related to our clinical product candidates and related methods. If we fail to comply with our obligations under the licenses, the licensor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rights in some intellectual property that have been discovered through United States government funded programs and thus are subject to federal regulations such as “march-in” rights, certain reporting requirements, and a preference for U.S. industry. </w:t>
      </w:r>
    </w:p>
    <w:p>
      <w:pPr>
        <w:pStyle w:val="TextBody"/>
        <w:bidi w:val="0"/>
        <w:spacing w:before="240" w:after="0"/>
        <w:jc w:val="left"/>
        <w:rPr>
          <w:rFonts w:ascii="Times New Roman" w:hAnsi="Times New Roman"/>
          <w:sz w:val="20"/>
        </w:rPr>
      </w:pPr>
      <w:r>
        <w:rPr>
          <w:rFonts w:ascii="Times New Roman" w:hAnsi="Times New Roman"/>
          <w:sz w:val="20"/>
        </w:rPr>
        <w:t xml:space="preserve">We have rights in some intellectual property that was developed through U.S. government funded programs and thus are subject to federal regulations such as “march-in” rights, certain reporting requirements, and a preference for U.S. industry. For example, some of the intellectual property rights licensed to us under our M.D. Anderson License Agreement were generated using U.S. government funds. As a result, the U.S. government has certain rights to intellectual property embodied in certain current or future products pursuant to the Bayh-Dole Act of 1980. These U.S. government rights in certain inventions developed under government-funded programs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U.S. government-funded programs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This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unsuccessful in licensing or acquiring third-party intellectual property that may be required to develop and commercialize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have rights, through patents that we have in-licensed or own, to the intellectual property to develop our product candidates. Because our programs may involve additional product candidates that may require the use of intellectual property or proprietary rights held by third parties, the growth of our business may depend in part on our ability to acquire, in-license, or use such intellectual property and proprietary rights of others. We may be unable to acquire or in-license any third-party intellectual property or proprietary rights or to do so on commercially reasonable terms. For example, we sometimes collaborate with public or private academic institutions to accelerate our research or development under written agreements with these institutions. Typically, these institutions provide us with an option to negotiate a license to any of the institution’s rights in technology resulting from the strategic collaboration. Regardless of such option,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 The same situation may occur with a present or future development partner.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and proprietary rights is a competitive area, and a number of more established companies are also pursuing strategies to license or acquire third-party intellectual property and proprietary rights that we may consider attractive or necessary. These established companies may have a competitive advantage over us due to their size and greater capital resources and development and commercialization capabilities. In addition, companies that perceive us to be a competitor may be unwilling to assign or license intellectual property and proprietary rights to us.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successfully acquire or in-license rights to required third-party intellectual property and proprietary rights or maintain our intellectual property and proprietary rights, we may have to cease development of the relevant program, product, or product candidate, which could have a material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USPTO and various foreign patent offices require compliance with a number of procedural, documentary, fee payment, and other similar provisions during the patent prosecution and post grant or issuance. We employ reputable law firms and other professionals to help us comply. Additionally, periodic maintenance fees, renewal fees, annuity fees, and various other governmental fees on patents and/or patent applications will be due to the USPTO and various foreign patent offices at various points over the lifetime of our patents and/or patent applications. We rely on our outside counsel or our agents to pay these fees when due.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such an event were to occur, it could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we may be responsible for the payment of patent fees for patent rights that we license from third parties. If any licensor of these patents does not itself elect to make these payments, and we fail to do so, we may be liable to the licensor for any costs and consequences of any resulting loss of patent rights. If we or our existing or future licensors fail to maintain the patents and patent applications covering our product candidates, our competitors might be able to enter the market, which would have an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do not obtain protection under the Hatch-Waxman Amendments and similar foreign legislation for extending the term of patents covering each of our product candidates, our business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Patents typically have a limited lifespan. In the United States and in most ex-U.S. jurisdictions, if all maintenance fees are timely paid, the natural expiration of a patent is generally 20 years from its earliest non-provisional filing date, not including potential patent term extensions or adjustments that may be available in the United States, and under comparable laws applicable outside the United States, where certain conditions are met. Various extensions may be available, but the life of a patent, and the protection it affords, is limited. Even if patents covering our product candidates are obtained, once the patent life has expired for a product candidate, we may be open to competition from competitive cell therapies.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causing our revenue from applicable products to be reduced, possibly materially, and potentially harming our ability to recover our investment in such product or obtain a reasonable return on that investment.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conditions of FDA marketing approval of our product candidates or any future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by third parties asserting that our employees or we have misappropriated their intellectual property, or claiming ownership of what we regard as our own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or are concurrently employed at other biotechnology or pharmaceutical companies, universities, and/or research institutions and the like, including our competitors or potential competitors. We may be subject to claims that these employees, or we, have inadvertently or otherwise used or disclosed trade secrets or other proprietary information of their former or concurrent employers, or that patents and applications we have filed to protect inventions of these employees, even those related to our product candidate, are rightfully owned by their former or concurrent employer.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to defend against these claims. Even if we are successful in defending against these claims, litigation could result in substantial costs and be a distraction to management.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or on commercially reasonable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Any trademarks we have obtained or may obtain may be infringed or successfully challenged, resulting in harm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rely on trademarks as one means to distinguish our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we propose to use with any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an alternate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Healthcare, Insurance and Legal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Product liability lawsuits against us could cause us to incur substantial liabilities and to limit commercialization of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We face an inherent risk of product liability exposure related to the testing of our product candidate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clinical trial sites or entire trial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time and 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subjects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and scientific resources from our business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 candidates that we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we currently hold product liability insurance coverage for clinical trials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successful commercialization of our product candidate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 </w:t>
      </w:r>
    </w:p>
    <w:p>
      <w:pPr>
        <w:pStyle w:val="TextBody"/>
        <w:bidi w:val="0"/>
        <w:spacing w:before="240" w:after="0"/>
        <w:jc w:val="left"/>
        <w:rPr>
          <w:rFonts w:ascii="Times New Roman" w:hAnsi="Times New Roman"/>
          <w:sz w:val="20"/>
        </w:rPr>
      </w:pPr>
      <w:r>
        <w:rPr>
          <w:rFonts w:ascii="Times New Roman" w:hAnsi="Times New Roman"/>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more information, see the section of this information statement/prospectus entitled “</w:t>
      </w:r>
      <w:r>
        <w:rPr>
          <w:rFonts w:ascii="Times New Roman" w:hAnsi="Times New Roman"/>
          <w:i/>
          <w:sz w:val="20"/>
        </w:rPr>
        <w:t>Information Regarding Obsidian-Coverage, Pricing and Reimbursement</w:t>
      </w:r>
      <w:r>
        <w:rPr>
          <w:rFonts w:ascii="Times New Roman" w:hAnsi="Times New Roman"/>
          <w:sz w:val="20"/>
        </w:rPr>
        <w:t xml:space="preserve">” beginning on page 257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(including products administered in the clinical setting), obtaining coverage and adequate reimbursement may be particularly difficult because of the higher prices often associated with such drugs. Additionally, separate reimbursement for the product itself or the administration of the product, or the treatment or procedure in which the product is used may not be available, which may impact physician utilization.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 candidate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and Medicaid beneficiaries,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to existing requirements or the adoption of new requirements or policies, or if we are not able to maintain regulatory compliance, our product candidate may lose any marketing approval that may have been obtained and we may not achieve or sustain profitability, which would adversely affect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Our business operations and current and future arrangements with investigators, healthcare professionals, consultants, third-party payors, patient organizations, and customers may expose us to broadly applicable foreign, federal, and state fraud and abuse and other healthcare laws and regulations. These laws may constrain the business or financial arrangements and relationships through which we conduct our operations, including how we research, and plan to market, sell, and distribute any products for which we obtain regulatory approval. In particular, the research of our product candidates, as well as the promotion, sales and marketing of our product candidates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about the applicable federal, state and foreign healthcare laws and regulations that may affect our ability to operate, see the section of this information statement/prospectus entitled “</w:t>
      </w:r>
      <w:r>
        <w:rPr>
          <w:rFonts w:ascii="Times New Roman" w:hAnsi="Times New Roman"/>
          <w:i/>
          <w:sz w:val="20"/>
        </w:rPr>
        <w:t>Information Regarding Galera-Government Regulation-Other U.S. Healthcare Laws and Compliance Requirements</w:t>
      </w:r>
      <w:r>
        <w:rPr>
          <w:rFonts w:ascii="Times New Roman" w:hAnsi="Times New Roman"/>
          <w:sz w:val="20"/>
        </w:rPr>
        <w:t xml:space="preserve">” beginning on page 201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Current and future healthcare reform legislation or regulation may increase the difficulty and cost for us to obtain coverage for and commercialize our product candidate or any future product candidates and may adversely affect the prices we may set.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our product candidate or any future product candidates for which we obtain regulatory approval. In particular, there have been and continue to be a number of initiatives at the U.S. federal and state levels that seek to reduce healthcare costs and improve the quality of healthcare. For example, the Inflation Reduction Act of 2022 (“IRA”) includes several provisions that will impact our business to varying degrees, including provisions that allow the U.S. government to negotiate Medicare Part B and Part D pricing for certain high-cost drugs and biologics without generic or biosimilar competition, among others. Our lead product candidate, OBX-115, is being developed in indications that may rely on Medicare reimbursement. Accordingly, these price-negotiation provisions may have a negative impact on our future revenue and profits. Further, the IRA also imposed rebates with respect to certain drugs and biologics covered under Medicare Part B or Medicare Part D to penalize price increases that outpace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One Big Beautiful Bill Act of 2025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 of this information statement/prospectus entitled “</w:t>
      </w:r>
      <w:r>
        <w:rPr>
          <w:rFonts w:ascii="Times New Roman" w:hAnsi="Times New Roman"/>
          <w:i/>
          <w:sz w:val="20"/>
        </w:rPr>
        <w:t>Information Regarding Galera-Government Regulation-Healthcare Reform</w:t>
      </w:r>
      <w:r>
        <w:rPr>
          <w:rFonts w:ascii="Times New Roman" w:hAnsi="Times New Roman"/>
          <w:sz w:val="20"/>
        </w:rPr>
        <w:t xml:space="preserve">” beginning on page 203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 and any future product candidates, if approved, or put pressure on our product pricing, which could negatively affect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these existing laws and other federal and state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 or any future product candidates, if approved. </w:t>
      </w:r>
    </w:p>
    <w:p>
      <w:pPr>
        <w:pStyle w:val="TextBody"/>
        <w:bidi w:val="0"/>
        <w:spacing w:before="240" w:after="0"/>
        <w:jc w:val="left"/>
        <w:rPr>
          <w:rFonts w:ascii="Times New Roman" w:hAnsi="Times New Roman"/>
          <w:b/>
          <w:i/>
          <w:sz w:val="20"/>
        </w:rPr>
      </w:pPr>
      <w:r>
        <w:rPr>
          <w:rFonts w:ascii="Times New Roman" w:hAnsi="Times New Roman"/>
          <w:b/>
          <w:i/>
          <w:sz w:val="20"/>
        </w:rPr>
        <w:t xml:space="preserve">Failure to comply with laws and regulations related to the protection of research subjects could result in fines, penalties, and litigation, and have a material adverse effect upon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regulation under international, federal, state, and local laws and regulations relating to the protection of research subjects. Federally funded human-subject research in the United States, including the collection of identifiable human biospecimens, is governed by 45 CFR Part 46, also known as the Health and Human Services Policy for Protection of Human Research Subjects or the “Common Rule.” Use of biospecimens in certain other research is subject to FDA regulations for the Protection of Human Subjects and Institutional Review Boards at 21 CFR Parts 50 and 56. While we believe that we are in compliance with these laws, we may not be aware of all such laws or may fail to properly audit and identify gaps in compliance. Similarly, we may find errors in our product candidate and processes and may fail to properly match the compliance requirements of our researchers to the compliance requirements of our suppliers. Failure of our company or our suppliers to comply with international, federal, state, and local laws and regulations could subject us to denial of the right to conduct business, fines, criminal penalties, and/or other enforcement actions which could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ability to develop product candidates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members of our executive team. The loss of the services of any of them may adversely impact the achievement of our objectives. The loss of services of any of these individuals could delay or prevent the successful development of our product candidate, completion of our planned clinical trials, or the commercialization of our product candidate and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success also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 Historically, we have experienced significant turnover in our research and development workforce and have operated with a limited team of scientific and technical personnel. Given the specialized nature of engineered TIL technology and our approach, there is an inherent scarcity of experienced personnel in these fields. As we continue developing our product candidate in our pipeline, we will require personnel with medical, scientific, or technical qualifications specific to each program. The loss of key personnel, in particular our 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our recruitment and retention efforts are unsuccessful in the future, it may be difficult for us to implement our business strategy, which would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our internal development efforts effectively, including the clinical and FDA review process for our current product candidates and any future product candidates we develop, while complying with our contractual obligations to contractors and other third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improving our operational, financial, and management controls, reporting systems,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future financial performance and our ability to advance development of and, if approved, commercialize our current product candidates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current product candidates and any future product candidates we develop and, accordingly, may not achieve our research, development and commercialization goals. </w:t>
      </w:r>
    </w:p>
    <w:p>
      <w:pPr>
        <w:pStyle w:val="TextBody"/>
        <w:bidi w:val="0"/>
        <w:spacing w:before="360" w:after="0"/>
        <w:jc w:val="left"/>
        <w:rPr>
          <w:rFonts w:ascii="Times New Roman" w:hAnsi="Times New Roman"/>
          <w:b/>
          <w:sz w:val="20"/>
        </w:rPr>
      </w:pPr>
      <w:r>
        <w:rPr>
          <w:rFonts w:ascii="Times New Roman" w:hAnsi="Times New Roman"/>
          <w:b/>
          <w:sz w:val="20"/>
        </w:rPr>
        <w:t xml:space="preserve">Other General Risks </w:t>
      </w:r>
    </w:p>
    <w:p>
      <w:pPr>
        <w:pStyle w:val="TextBody"/>
        <w:bidi w:val="0"/>
        <w:spacing w:before="120" w:after="0"/>
        <w:jc w:val="left"/>
        <w:rPr>
          <w:rFonts w:ascii="Times New Roman" w:hAnsi="Times New Roman"/>
          <w:b/>
          <w:i/>
          <w:sz w:val="20"/>
        </w:rPr>
      </w:pPr>
      <w:r>
        <w:rPr>
          <w:rFonts w:ascii="Times New Roman" w:hAnsi="Times New Roman"/>
          <w:b/>
          <w:i/>
          <w:sz w:val="20"/>
        </w:rPr>
        <w:t>If the Galera merger and the Obsidian merger, taken together, do not qualify as a transaction described in Section 351 of the Code (or, in the case of the Obsidian stockholders, if the Obsidian merger, by itself, does not qualify as a reorganization within the meaning of Section 368(a) of the Code), Obsidian stockholders may recognize substantial taxable gain as a result of the mergers, and may be required to pay substantial additional U.S. federal income taxes, in the taxable year in which the transactions occur.</w:t>
      </w:r>
    </w:p>
    <w:p>
      <w:pPr>
        <w:pStyle w:val="TextBody"/>
        <w:bidi w:val="0"/>
        <w:spacing w:before="120" w:after="0"/>
        <w:jc w:val="left"/>
        <w:rPr>
          <w:rFonts w:ascii="Times New Roman" w:hAnsi="Times New Roman"/>
          <w:sz w:val="20"/>
        </w:rPr>
      </w:pPr>
      <w:r>
        <w:rPr>
          <w:rFonts w:ascii="Times New Roman" w:hAnsi="Times New Roman"/>
          <w:sz w:val="20"/>
        </w:rPr>
        <w:t xml:space="preserve">The Galera merger and the Obsidian merger, taken together, are intended to qualify as a transaction described in Section 351 of the Code. The Obsidian merger, by itself, is intended to qualify as a reorganization within the meaning of Section 368(a) of the Code. The positions of Galera and Obsidian are not binding on the IRS or the courts, and the parties do not intend to request a ruling from the IRS with respect to the transactions described in the merger agreement. Accordingly, there can be no assurance that the IRS will not challenge the qualification of the Galera merger and the Obsidian merger taken together, as a transaction described in Section 351 of the Code or that a court will not sustain such a challenge. If the IRS were to be successful in any such contention, or if for any other reason the Galera merger and the Obsidian merger, taken together, were not treated as a transaction described in Section 351 of the Code (and if the Obsidian merger does not qualify as a reorganization within the meaning of Section 368(a) of the Code), then the Obsidian stockholders would not be entitled to defer any portion of the gain realized as a result of receiving shares of Parent common stock in the transactions and may be required to pay substantial additional U.S. federal income taxes with respect to the taxable year in which such transactions occur. </w:t>
      </w:r>
    </w:p>
    <w:p>
      <w:pPr>
        <w:pStyle w:val="TextBody"/>
        <w:bidi w:val="0"/>
        <w:spacing w:before="240" w:after="0"/>
        <w:jc w:val="left"/>
        <w:rPr>
          <w:rFonts w:ascii="Times New Roman" w:hAnsi="Times New Roman"/>
          <w:b/>
          <w:i/>
          <w:sz w:val="20"/>
        </w:rPr>
      </w:pPr>
      <w:r>
        <w:rPr>
          <w:rFonts w:ascii="Times New Roman" w:hAnsi="Times New Roman"/>
          <w:b/>
          <w:i/>
          <w:sz w:val="20"/>
        </w:rPr>
        <w:t xml:space="preserve">Unfavorable global economic and geopolitical conditions could adversely affect our business, financial condition, stock price,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current administration or any new administration have impacted and may in the future impact, among other things, the U.S. and global economy, international trade relations, unemployment, immigration, healthcare, taxation, the U.S. regulatory environment, inflation and other areas. For example, in 2025, the United States imposed tariffs on imports on its trading partners, including Canada, Mexico, the EU and China.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global credit and financial markets have also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ongoing conflicts between Russia and Ukraine, the conflicts in the Middle East, terrorism, or other geopolitical events.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natural disasters, public health crises, or other business interruptions and our business continuity and disaster recovery plans may not adequately protect us from a serious disaster. </w:t>
      </w:r>
    </w:p>
    <w:p>
      <w:pPr>
        <w:pStyle w:val="TextBody"/>
        <w:bidi w:val="0"/>
        <w:spacing w:before="240" w:after="0"/>
        <w:jc w:val="left"/>
        <w:rPr>
          <w:rFonts w:ascii="Times New Roman" w:hAnsi="Times New Roman"/>
          <w:sz w:val="20"/>
        </w:rPr>
      </w:pPr>
      <w:r>
        <w:rPr>
          <w:rFonts w:ascii="Times New Roman" w:hAnsi="Times New Roman"/>
          <w:sz w:val="20"/>
        </w:rPr>
        <w:t xml:space="preserve">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 it may be difficult or, in certain cases, impossible for us to continue our business for a substantial period of time.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information technology systems, or those used by our CROs or other contractors or consultants, may fail or suffer cybersecurity incidents or breaches, which could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our information technology systems and data and those of our current or future CROs or other contractors and consultants are vulnerable to compromise or damage from computer hacking, computer viruses, social engineering (e.g. phishing attacks) and malware (e.g., ransomware malicious software),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constantly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period of time. Even if identified, we may be unable to adequately investigate or remediate cybersecurity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IT personnel, periodic cyber security awareness trainings, and improvements to IT infrastructure and controls, and conduct regular testing of our systems, there can be no assurance that our efforts will prevent service interruptions or cybersecurity incidents or breaches. </w:t>
      </w:r>
    </w:p>
    <w:p>
      <w:pPr>
        <w:pStyle w:val="TextBody"/>
        <w:bidi w:val="0"/>
        <w:spacing w:before="240" w:after="0"/>
        <w:jc w:val="left"/>
        <w:rPr>
          <w:rFonts w:ascii="Times New Roman" w:hAnsi="Times New Roman"/>
          <w:sz w:val="20"/>
        </w:rPr>
      </w:pPr>
      <w:r>
        <w:rPr>
          <w:rFonts w:ascii="Times New Roman" w:hAnsi="Times New Roman"/>
          <w:sz w:val="20"/>
        </w:rPr>
        <w:t xml:space="preserve">We and certain of our service providers are from time to time subject to cyberattack attempts or incidents and cybersecurity incidents. Any cybersecurity incident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cybersecurity incident or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require attention from management. Further, a cybersecurity incident may disrupt our business or damage our reputation, which could have a material adverse effect on our business, prospects, operating results, share price and stockholder value, and financial condition. We could also incur substantial remediation costs, including the costs of investigating the incident, repairing, or replacing damaged systems, restoring normal business operations, implementing increased cybersecurity protections, and paying increased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loss of clinical trial data from completed, ongoing, or future clinical trials could result in delays in our regulatory approval efforts and significantly increase our costs to recover or reproduce the data. If a cybersecurity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 and other third parties for the manufacture of our product candidate and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cybersecurity incident or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 could be delayed, result in substantial costs and require attention from 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not currently required to comply with the rules of the SEC implementing Section 404 of the Sarbanes-Oxley Act and are therefore not required to make a formal assessment of the effectiveness of our internal control over financial reporting for that purpose. 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principles. In connection with this offering, we intend to begin the process of documenting, reviewing, and improving our internal controls and procedures for compliance with Sections 302 and 404 of the Sarbanes-Oxley Act, which will require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the mergers.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the mergers and concurrent financing,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use our net operating loss carryforwards and other tax attributes may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we had approximately $186.5 million of federal net operating losses (“NOLs”). Federal NOLs generated in taxable years ending after December 31, 2017, may be carried forward indefinitely, but the deductibility of such federal NOLs is limited to 80% of our taxable income. As of December 31, 2025, we had approximately $171.0 million of state NOLs. Of the state NOLs, some are of indefinite life, but most are of definite life with various expiration dates, beginning in 2037. As of December 31, 2025, we had approximately $17.1 million of federal research and development tax credit carryforwards. Federal tax credit carryforwards expire at various dates, beginning in 2037. As of December 31, 2025, we had approximately $7.7 million of state research and development tax credit carryforwards. The state tax credits, which have various carryforward rules, begin to expire in 2031. Our ability to utilize these NOLs and tax credits to offset future tax liabilities depends on the successful development of our product candidates and future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acquisitions of assets and as a result of the mergers and concurrent financing and/or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tax law could adversely affect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including with respect to NOLs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United States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become involved in securities class action litigation, which is expensive, and could divert management’s attention and harm our business, and insurance coverage may not be sufficient to cover all costs and damages. </w:t>
      </w:r>
    </w:p>
    <w:p>
      <w:pPr>
        <w:pStyle w:val="TextBody"/>
        <w:bidi w:val="0"/>
        <w:spacing w:before="240" w:after="0"/>
        <w:jc w:val="left"/>
        <w:rPr>
          <w:rFonts w:ascii="Times New Roman" w:hAnsi="Times New Roman"/>
          <w:sz w:val="20"/>
        </w:rPr>
      </w:pPr>
      <w:r>
        <w:rPr>
          <w:rFonts w:ascii="Times New Roman" w:hAnsi="Times New Roman"/>
          <w:sz w:val="20"/>
        </w:rPr>
        <w:t xml:space="preserve">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TextBody"/>
        <w:bidi w:val="0"/>
        <w:spacing w:before="0" w:after="0"/>
        <w:jc w:val="right"/>
        <w:rPr>
          <w:rFonts w:ascii="Times New Roman" w:hAnsi="Times New Roman"/>
          <w:b/>
          <w:sz w:val="20"/>
        </w:rPr>
      </w:pPr>
      <w:bookmarkStart w:id="46" w:name="d309963dex993.htm"/>
      <w:bookmarkStart w:id="47" w:name="ksd309963dex993"/>
      <w:bookmarkEnd w:id="46"/>
      <w:bookmarkEnd w:id="47"/>
      <w:r>
        <w:rPr>
          <w:rFonts w:ascii="Times New Roman" w:hAnsi="Times New Roman"/>
          <w:b/>
          <w:sz w:val="20"/>
        </w:rPr>
        <w:t xml:space="preserve">Exhibit 99.3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“we,” “us,” “our” and the “Company” refer to Obsidian.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harnessing novel protein-regulation technology to develop engineered tumor infiltrating lymphocyte, or TIL, cell therapies for the treatment of patients with solid tumors. Our proprietary cytoDRiVE platform is highly versatile and allows us to leverage drug responsive domains, or DRDs, to control protein function, with our initial focus on TIL cell therapies developed from this platform, or cytoTILs. Our lead product candidate, OBX-115, is a novel, genetically engineered, autologous TIL cell therapy currently in a Phase 2 clinical trial for the treatment of advanced melanoma and a Phase 1 clinical trial for the treatment of non-small cell lung cancer, or NSCLC. Our proprietary cytoDRiVE platform has enabled OBX-115 to have the potential to drive superior tumor-killing activity with a significantly more tolerable safety profile. In contrast to other TIL approaches, OBX-115 is designed with regulatable membrane-bound IL15, or mbIL15, which drives TIL persistence, eliminates the need to dose toxic interleukin-2, or IL2, and enables outpatient administration of low-dose lymphodepletion. We currently own or in-license the intellectual property rights to OBX-115 and own the intellectual property to our proprietary cytoDRiVE platform. Furthermore, OBX-115 can be manufactured using tumor tissue procurement from an outpatient, minimally invasive core needle biopsy. Across a cohort of fifteen patients with treatment-resistant or refractory melanoma in our Phase 1/2 clinical trial, OBX-115 administration at the recommended Phase 2 dose demonstrated a 67% confirmed objective response rate, or ORR, and significant tumor burden reduction, including two confirmed complete responses, or CRs. This response rate, to our knowledge, is the highest current ORR shown in this setting across modalities. We believe that, if approved, the more favorable product profile will support rapid market adoption of OBX-115 relative to currently available TIL cell therapies. OBX-115 has been granted Fast Track and Regenerative Medicine Advanced Therapy, or RMAT, designations from the U.S. Food and Drug Administration, or FDA, for the treatment of patients with unresectable or metastatic melanoma that is resistant to immune checkpoint inhibitor, or ICI, therapy. These designations are advantageous to facilitate and expedite the review of therapies, allow for more frequent meetings with FDA to discuss the development plan for the product candidate, and enable potential eligibility for rolling review and priority review, however such designations do not guarantee marketing approval, either on an accelerated basis or otherwise. In our Phase 1 clinical trial in NSCLC, early clinical results show robust tumor shrinkage and include multiple confirmed partial responses, or PRs. We expect additional NSCLC Phase 1 clinical data will be available in the first half of 2027 and expect to announce melanoma registration-enabling data by the end of 2027. We believe our product candidates are distinct from current cell therapies and have the potential to significantly impact the treatment of solid tumors and clinical outcomes of patients with cancer. </w:t>
      </w:r>
    </w:p>
    <w:p>
      <w:pPr>
        <w:pStyle w:val="TextBody"/>
        <w:bidi w:val="0"/>
        <w:spacing w:before="240" w:after="0"/>
        <w:jc w:val="left"/>
        <w:rPr>
          <w:rFonts w:ascii="Times New Roman" w:hAnsi="Times New Roman"/>
          <w:sz w:val="20"/>
        </w:rPr>
      </w:pPr>
      <w:r>
        <w:rPr>
          <w:rFonts w:ascii="Times New Roman" w:hAnsi="Times New Roman"/>
          <w:sz w:val="20"/>
        </w:rPr>
        <w:t xml:space="preserve">Cell therapies have delivered transformational benefits in treating hematological malignancies; however, their impact in treating solid tumors has been limited. Approved chimeric antigen receptor, or CAR-T, cell therapies or engineered T-cell receptor, or TCR-T, cell therapies, which target single antigens, have demonstrated limited efficacy in solid tumors while leading to significant toxicities. Solid tumors present formidable barriers to immune and cell therapies, including antigen heterogeneity, physical exclusion of immune cells, immunosuppressive tumor microenvironments, and adverse effects due to overlapping expression of tumor targets in tumor cells with non-tumor host cells. Furthermore, while immunotherapies such as ICIs have improved outcomes for patients, more than 85% of cancer patients fail to respond to ICI therapy. As such, solid tumors represent an area of high unmet clinical need, accounting for over 90% of cancer deaths.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using TIL, which are immune cells extracted from a patient’s own tumor, and our cytoDRiVE platform to develop OBX-115, we will be able to overcome the challenges faced by traditional cell therapies. As TIL contain T cells that recognize a broad spectrum of tumor antigens, the potential for loss of antitumor activity due to antigen heterogeneity is limited. In addition, TIL, being tumor-derived, has an advantage over T cell therapies manufactured from circulating T cells based on their ability to migrate to tumors.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Clinical trials with standard non-engineered TIL, the first generation of TIL cell therapy that involves isolation and expansion of all TIL in the tumor sample, have shown objective responses in clinical trials in limited solid tumor types. OBX-115 cells are engineered TIL expressing pharmacologically regulatable mbIL15, which has been shown to enhance their inherent tumor homing and broaden their targeting. </w:t>
      </w:r>
    </w:p>
    <w:p>
      <w:pPr>
        <w:pStyle w:val="TextBody"/>
        <w:bidi w:val="0"/>
        <w:spacing w:before="240" w:after="0"/>
        <w:jc w:val="left"/>
        <w:rPr>
          <w:rFonts w:ascii="Times New Roman" w:hAnsi="Times New Roman"/>
          <w:sz w:val="20"/>
        </w:rPr>
      </w:pPr>
      <w:r>
        <w:rPr>
          <w:rFonts w:ascii="Times New Roman" w:hAnsi="Times New Roman"/>
          <w:sz w:val="20"/>
        </w:rPr>
        <w:t xml:space="preserve">We have a growing library of internally discovered DRDs of varying sizes and purposes, and our cytoDRiVE platform is designed to enable rapid optimization of tunable and functional proteins. We have developed an extensive synthetic biology engineering toolkit to potentially optimize protein functionality in any cell type, including but not limited to, type I/II membrane proteins, membrane-tethered cytokines, intracellular proteins, secreted proteins, and genome editing proteins. In addition to the development of our cytoTILs, we are exploring the breadth of our cytoDRiVE platform by developing novel approaches that expand its potential applications to additional cell therapies, including the ability to regulate secreted proteins and expression of messenger RNA, or mRNA, or small interfering RNA, or siRNA. cytoDRiVE is highly versatile and can be applied across a broad range of therapeutic applications, including to broaden the reach of cell therapies (including CAR-T) and gene therapies outside of oncology. Our cytoDRiVE platform has led to the development of our lead cytoTIL product candidate, OBX-115, with carbonic anhydrase 2, or CA2, as the DRD which is pharmacologically regulated by acetazolamide, or ACZ, to allow for control of mbIL15 expression. </w:t>
      </w:r>
    </w:p>
    <w:p>
      <w:pPr>
        <w:pStyle w:val="TextBody"/>
        <w:bidi w:val="0"/>
        <w:spacing w:before="360" w:after="0"/>
        <w:jc w:val="left"/>
        <w:rPr>
          <w:rFonts w:ascii="Times New Roman" w:hAnsi="Times New Roman"/>
          <w:b/>
          <w:sz w:val="20"/>
        </w:rPr>
      </w:pPr>
      <w:r>
        <w:rPr>
          <w:rFonts w:ascii="Times New Roman" w:hAnsi="Times New Roman"/>
          <w:b/>
          <w:sz w:val="20"/>
        </w:rPr>
        <w:t>Our Product Candidate: OBX-115</w:t>
      </w:r>
    </w:p>
    <w:p>
      <w:pPr>
        <w:pStyle w:val="TextBody"/>
        <w:bidi w:val="0"/>
        <w:spacing w:before="120" w:after="0"/>
        <w:jc w:val="left"/>
        <w:rPr>
          <w:rFonts w:ascii="Times New Roman" w:hAnsi="Times New Roman"/>
          <w:sz w:val="20"/>
        </w:rPr>
      </w:pPr>
      <w:r>
        <w:rPr>
          <w:rFonts w:ascii="Times New Roman" w:hAnsi="Times New Roman"/>
          <w:sz w:val="20"/>
        </w:rPr>
        <w:t xml:space="preserve">Our lead product candidate, OBX-115, is designed to significantly improve upon existing cell therapies, including non-engineered TIL cell therapies, that have demonstrated limited success due to moderate efficacy, unfavorable adverse event profile, and manufacturing challenges. We designed our proprietary manufacturing process to ensure OBX-115 would contain tumor-reactive TIL with high antitumor activity and phenotypically enriched for expansion and persistence. In addition, we have optimized our manufacturing process across the continuum of pre-Rapid Expansion Protocol, or Pre-REP, activation, transduction of CA2-mbIL15 construct, Rapid Expansion Protocol, or REP, and cryopreservation to potentially allow for robustness, reproducibility, and a high manufacturing success rate. By leveraging our cytoDRiVE and our robust proprietary manufacturing process, we believe OBX-115 has key attributes required to address the unmet need in the treatment of solid tumors and to meaningfully expand the targetable patient population. These attributes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Transduced to express mbIL15</w:t>
            </w:r>
            <w:r>
              <w:rPr>
                <w:rFonts w:ascii="Times New Roman" w:hAnsi="Times New Roman"/>
                <w:sz w:val="20"/>
              </w:rPr>
              <w:t xml:space="preserve">: We utilize ACZ, an oral, FDA approved drug, to regulate the expression of mbIL15 on OBX-115. The presence of ACZ, both in our manufacturing process and in patients, stabilizes our mbIL15 construct, allowing it to be expressed on the cell surface where it can activate T cells as well as other immune cells such as natural killer, or NK, cells. This dosing schedule also enables longer term cell persistence. In the absence of ACZ, mbIL15 is degraded by the cell’s disposal mechanism, known as the cellular proteasome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i/>
                <w:sz w:val="20"/>
              </w:rPr>
              <w:t>No IL</w:t>
            </w:r>
            <w:r>
              <w:rPr>
                <w:rFonts w:ascii="Times New Roman" w:hAnsi="Times New Roman"/>
                <w:b/>
                <w:sz w:val="20"/>
              </w:rPr>
              <w:t xml:space="preserve">2 </w:t>
            </w:r>
            <w:r>
              <w:rPr>
                <w:rFonts w:ascii="Times New Roman" w:hAnsi="Times New Roman"/>
                <w:b/>
                <w:i/>
                <w:sz w:val="20"/>
              </w:rPr>
              <w:t>needed during REP nor after TIL infusion</w:t>
            </w:r>
            <w:r>
              <w:rPr>
                <w:rFonts w:ascii="Times New Roman" w:hAnsi="Times New Roman"/>
                <w:b/>
                <w:sz w:val="20"/>
              </w:rPr>
              <w:t>:</w:t>
            </w:r>
            <w:r>
              <w:rPr>
                <w:rFonts w:ascii="Times New Roman" w:hAnsi="Times New Roman"/>
                <w:sz w:val="20"/>
              </w:rPr>
              <w:t xml:space="preserve"> Regulated mbIL15 expression drives TIL persistence, eliminating the need for IL2 both during the REP of manufacturing and after TIL infusion. IL2 stimulation of T cells during the REP causes T cell exhaustion, which may translate to reduced T cell persistence after infusion and activation-induced cell death, a form of programmed cell death. Use of IL2 also leads to expansion of regulatory T cells, or Tregs, immune cells that have the potential to suppress T cell cytotoxicity. Further, systemic administration of IL2 has been shown to induce severe toxicities, including capillary leak syndrome with potential for multi-organ failure, myocardial infarction, acute renal failure, and immune-mediated neuropathy.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Utilizes low-dose lymphodepletion</w:t>
            </w:r>
            <w:r>
              <w:rPr>
                <w:rFonts w:ascii="Times New Roman" w:hAnsi="Times New Roman"/>
                <w:b/>
                <w:sz w:val="20"/>
              </w:rPr>
              <w:t>:</w:t>
            </w:r>
            <w:r>
              <w:rPr>
                <w:rFonts w:ascii="Times New Roman" w:hAnsi="Times New Roman"/>
                <w:sz w:val="20"/>
              </w:rPr>
              <w:t xml:space="preserve"> Presence of regulated mbIL15 enables the use of low-dose lymphodepletion for OBX-115. As compared to non-engineered TIL, treatment with OBX-115 utilizes approximately 50% less cyclophosphamide and is compatible with outpatient administration. Standard-dose lymphodepletion has approximately four times more cyclophosphamide than CAR-T regimens and predominantly requires inpatient administration. The administration of standard-dose lymphodepletion and high-dose IL2 in first generation, non-engineered, approved TIL cell therapies further elevates risk of adverse event severity.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More convenient tissue procurement and reduced burden on patients</w:t>
            </w:r>
            <w:r>
              <w:rPr>
                <w:rFonts w:ascii="Times New Roman" w:hAnsi="Times New Roman"/>
                <w:b/>
                <w:sz w:val="20"/>
              </w:rPr>
              <w:t>:</w:t>
            </w:r>
            <w:r>
              <w:rPr>
                <w:rFonts w:ascii="Times New Roman" w:hAnsi="Times New Roman"/>
                <w:sz w:val="20"/>
              </w:rPr>
              <w:t xml:space="preserve"> Our clinical data has shown that our optimized manufacturing process allows us to utilize core needle biopsy for tumor tissue procurement, which is an outpatient procedure with minimal scheduling complexity compared to surgical resection.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Manufacturing innovation driving superior phenotype: </w:t>
            </w:r>
            <w:r>
              <w:rPr>
                <w:rFonts w:ascii="Times New Roman" w:hAnsi="Times New Roman"/>
                <w:sz w:val="20"/>
              </w:rPr>
              <w:t xml:space="preserve">Optimization and innovation of our manufacturing process, including the use of 4-1BB agonism, engineered iFeeder cells, and pharmacologically regulatable mbIL15 creates a drug product that consists of minimally exhausted, memory-rich CD8+ cells. These attributes allow for robust expansion and persistence with enhanced cytotoxicity of OBX-115 post-infusion into the patient.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Together, we believe the innovation of regulated mbIL15 engineering, along with the proprietary technology and optimization of our manufacturing process, drives a differentiated product profile with a potentially decreased treatment burden for patients, while demonstrating multiple profile advantages over other cell therapies. </w:t>
      </w:r>
    </w:p>
    <w:p>
      <w:pPr>
        <w:pStyle w:val="TextBody"/>
        <w:bidi w:val="0"/>
        <w:spacing w:before="240" w:after="0"/>
        <w:jc w:val="left"/>
        <w:rPr>
          <w:rFonts w:ascii="Times New Roman" w:hAnsi="Times New Roman"/>
          <w:sz w:val="20"/>
        </w:rPr>
      </w:pPr>
      <w:r>
        <w:rPr>
          <w:rFonts w:ascii="Times New Roman" w:hAnsi="Times New Roman"/>
          <w:sz w:val="20"/>
        </w:rPr>
        <w:t xml:space="preserve">In our Phase 1/2 trial, in a cohort of 15 patients with advanced melanoma and confirmed radiological progression post-ICI therapy, an indication of high unmet medical need, treatment with OBX-115 at the recommended Phase 2 dose, or RP2D, led to an unprecedented ORR of 67% with rapid and durable tumor regression. Furthermore, there was no treatment-related mortality, or TRM, dose-limiting toxicities, or DLTs, or discontinuations due to adverse events. There were no cases of immune effector-cell associated neurotoxicity syndromes, or ICANS. Our optimized regimen enables outpatient administration of low dose lymphodepletion. </w:t>
      </w:r>
    </w:p>
    <w:p>
      <w:pPr>
        <w:pStyle w:val="TextBody"/>
        <w:bidi w:val="0"/>
        <w:spacing w:before="240" w:after="0"/>
        <w:jc w:val="left"/>
        <w:rPr>
          <w:rFonts w:ascii="Times New Roman" w:hAnsi="Times New Roman"/>
          <w:sz w:val="20"/>
        </w:rPr>
      </w:pPr>
      <w:r>
        <w:rPr>
          <w:rFonts w:ascii="Times New Roman" w:hAnsi="Times New Roman"/>
          <w:sz w:val="20"/>
        </w:rPr>
        <w:t xml:space="preserve">Amtagvi®, or lifileucel, was the first TIL cell therapy to receive accelerated FDA approval in 2024 for the treatment of adult patients with unresectable or metastatic melanoma previously treated with a PD-1 blocking antibody, and if B-Raf proto-oncogene, or BRAF, V600 mutation positive, a BRAF inhibitor with or without a mitogen-activated protein kinase enzyme, or MEK, inhibitor. Amtagvi’s approval was based on a 31.5% ORR and the label carries a boxed warning for multiple serious risks, including 7.5% rate of TRM, prolonged severe cytopenia, internal organ hemorrhage, and severe infections. During Amtagvi’s registrational clinical trial, capillary leak syndrome occurred in 13.5% and encephalopathy in 17.3% of Amtagvi treated patients. Additionally,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 OBX-115 treatment regimen does not include standard-dose lymphodepletion or IL2 and it has a zero rate of TRM and a 10% rate of ≥ Grade 3 febrile neutropenia. Additionally, there have been no cases of capillary leak syndrome or encephalopathy, nor have any ICU transfers occurred among patients with melanoma treated with OBX115. </w:t>
      </w:r>
    </w:p>
    <w:p>
      <w:pPr>
        <w:pStyle w:val="TextBody"/>
        <w:bidi w:val="0"/>
        <w:spacing w:before="240" w:after="0"/>
        <w:jc w:val="left"/>
        <w:rPr>
          <w:rFonts w:ascii="Times New Roman" w:hAnsi="Times New Roman"/>
          <w:sz w:val="20"/>
        </w:rPr>
      </w:pPr>
      <w:r>
        <w:rPr>
          <w:rFonts w:ascii="Times New Roman" w:hAnsi="Times New Roman"/>
          <w:sz w:val="20"/>
        </w:rPr>
        <w:t xml:space="preserve">The U.S. incidence of second-line advanced melanoma is about 10,300 with about 8,500 deaths annually. Our analyses suggest that based on its favorable product profile, OBX-115 has the potential to double the number of treatment-eligible patients with advanced melanoma compared to existing non-engineered TILs. </w:t>
      </w:r>
    </w:p>
    <w:p>
      <w:pPr>
        <w:pStyle w:val="TextBody"/>
        <w:bidi w:val="0"/>
        <w:spacing w:before="240" w:after="0"/>
        <w:jc w:val="left"/>
        <w:rPr>
          <w:rFonts w:ascii="Times New Roman" w:hAnsi="Times New Roman"/>
          <w:sz w:val="20"/>
        </w:rPr>
      </w:pPr>
      <w:r>
        <w:rPr>
          <w:rFonts w:ascii="Times New Roman" w:hAnsi="Times New Roman"/>
          <w:sz w:val="20"/>
        </w:rPr>
        <w:t xml:space="preserve">The FDA granted OBX-115 Fast Track and RMAT designations for the treatment of patients with unresectable or metastatic melanoma that is resistant to ICI therapy. Candidates receiving RMAT designation may also be eligible for accelerated approval and priority review. We plan to initiate our registration-enabling study for OBX-115 in second-line advanced melanoma in support of an accelerated approval in mid-2026, with a potential regulatory filing as early as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encouraging clinical trial results demonstrated to date, we believe OBX-115’s product profile may enable the application for earlier lines of therapy. We intend to evaluate the feasibility of OBX-115 in the first-line setting in patients with advanced melanoma. </w:t>
      </w:r>
    </w:p>
    <w:p>
      <w:pPr>
        <w:pStyle w:val="TextBody"/>
        <w:bidi w:val="0"/>
        <w:spacing w:before="240" w:after="0"/>
        <w:jc w:val="left"/>
        <w:rPr>
          <w:rFonts w:ascii="Times New Roman" w:hAnsi="Times New Roman"/>
          <w:sz w:val="20"/>
        </w:rPr>
      </w:pPr>
      <w:r>
        <w:rPr>
          <w:rFonts w:ascii="Times New Roman" w:hAnsi="Times New Roman"/>
          <w:sz w:val="20"/>
        </w:rPr>
        <w:t xml:space="preserve">Advanced NSCLC is another attractive indication to pursue with OBX-115 as it is an immune sensitive tumor with a prevalence approximately ten times greater than that of advanced melanoma. In our Phase 1 regimen optimization NSCLC trial, OBX-115 has shown reductions in tumor burden, including multiple PRs in patients that had previously been treated with ICI. We believe OBX-115 has an optimal product profile to drive greater applicability and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We are building an innovative pipeline of genetically engineered TIL cell therapies, led by OBX-115, for the treatment of solid tumors. We own worldwide rights to OBX-115 and our earlier stage product candidates. Our current pipeline is summarized in the diagram below. </w:t>
      </w:r>
    </w:p>
    <w:p>
      <w:pPr>
        <w:pStyle w:val="TextBody"/>
        <w:bidi w:val="0"/>
        <w:spacing w:before="36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9275" cy="12192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5629275" cy="12192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leverage our cytoDRiVE platform to unlock the full potential of cell therapies to treat solid tumors. We believe that our ability to dynamically regulate the activity of our cell therapies in the body using our cytoDRiVE platform is key to achieving this goal. Our strategy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OBX-115 for the treatment of melanoma and NSCLC. Clinical results in patients with second-line advanced melanoma with previous ICI experience provide compelling support for the differentiated antitumor and tolerability profile of OBX-115. We plan to initiate our registration-enabling study for OBX-115 in second-line advanced melanoma in pursuit of an accelerated approval in mid-2026 with a potential regulatory filing as early as 2028.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We also intend to initiate a clinical trial to evaluate the potential of OBX-115 as part of first-line treatment of advanced melanoma. In NSCLC, early clinical results in patients previously treated with ICIs suggest that OBX-115 has the potential to deliver meaningful antitumor activity in NSCLC while maintaining a generally well-tolerated profile. We intend to continue enrolling patients in our ongoing trial and, upon review of the Phase 1 clinical data in the first half of 2027, potentially further advance the clinical development in NSCLC. Similar to melanoma, we believe that the observed tolerability profile of OBX-115 may provide an opportunity to evaluate the potential of OBX-115 earlier in the course of disease.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Evaluate the potential of OBX-115 for the treatment of other solid tumors.</w:t>
            </w:r>
            <w:r>
              <w:rPr>
                <w:rFonts w:ascii="Times New Roman" w:hAnsi="Times New Roman"/>
                <w:sz w:val="20"/>
              </w:rPr>
              <w:t xml:space="preserve"> OBX-115 may be applicable to additional solid tumor types where scientific rationale or prior TIL activity supports development, including tumors with prognostic TIL associations, supportive preclinical findings, or clinical responses to non-engineered TIL. This rationale extends to tumor types with FDA approved ICI therapies, where endogenous TIL activity is a mediator of response and progression following ICI therapy may indicate exhaustion of TIL function. By leveraging cytoDRiVE and our proprietary manufacturing process, in contrast to what is currently feasible with non-engineered TIL, OBX-115 may be manufactured from these tumors, whether they harbor suppressed tumor reactive TIL that regulatable mbIL-15 may functionally enhance or fewer TIL overall that are potentially expandable in the REP phase leading to robust cell dose yields.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 our manufacturing capabilities in anticipation of our biologics license application, or BLA, and, if approved, commercial launch. </w:t>
            </w:r>
            <w:r>
              <w:rPr>
                <w:rFonts w:ascii="Times New Roman" w:hAnsi="Times New Roman"/>
                <w:sz w:val="20"/>
              </w:rPr>
              <w:t xml:space="preserve">We believe our proprietary manufacturing process enables advantages in phenotype, yield, process robustness, and tumor procurement flexibility. We collaborate with leading contract development manufacturing organizations, or CDMOs, with cell therapies expertise to manufacture OBX-115, and plan to expand our capacity with these partners as we approach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Commercialize OBX-115 in the United States and evaluate partnership opportunities in other regions. </w:t>
            </w:r>
            <w:r>
              <w:rPr>
                <w:rFonts w:ascii="Times New Roman" w:hAnsi="Times New Roman"/>
                <w:sz w:val="20"/>
              </w:rPr>
              <w:t xml:space="preserve">We intend to retain commercial rights to OBX-115 in the United States and opportunistically evaluate strategic collaborations to maximize the commercial potential of OBX-115 in other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invest in our cytoDRiVE platform and intellectual property for our cytoTIL product candidates while actively exploring strategic partnerships and collaborations for other applications of our platform. </w:t>
            </w:r>
            <w:r>
              <w:rPr>
                <w:rFonts w:ascii="Times New Roman" w:hAnsi="Times New Roman"/>
                <w:sz w:val="20"/>
              </w:rPr>
              <w:t xml:space="preserve">Our cytoDRiVE platform is designed to be highly versatile and fit-for-purpose, with the ability to drive on- or off-activity across multiple classes of proteins and cell types. We believe there are potential next-generation applications across oncology and broader therapeutic areas. This abundance of potential treatment opportunities may enable us to selectively enter strategic collaborations involving our cytoDRiVE platform to maximize the patient benefit and long-term value of our research and development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History and Team </w:t>
      </w:r>
    </w:p>
    <w:p>
      <w:pPr>
        <w:pStyle w:val="TextBody"/>
        <w:bidi w:val="0"/>
        <w:spacing w:before="120" w:after="0"/>
        <w:jc w:val="left"/>
        <w:rPr>
          <w:rFonts w:ascii="Times New Roman" w:hAnsi="Times New Roman"/>
          <w:sz w:val="20"/>
        </w:rPr>
      </w:pPr>
      <w:r>
        <w:rPr>
          <w:rFonts w:ascii="Times New Roman" w:hAnsi="Times New Roman"/>
          <w:sz w:val="20"/>
        </w:rPr>
        <w:t xml:space="preserve">Obsidian was founded in 2015 by Atlas Venture to enable a new generation of cell therapies. We are led by a management team with extensive experience in cell therapy, including TIL cell therapies. Madan Jagasia, M.D., our Chief Executive Officer, previously served as Executive Vice President, Medical Affairs at Iovance Biotherapeutics, or Iovance. Prior to Iovance, Dr. Jagasia was Chief Medical Officer and Executive Medical Director of Cancer Patient Care Center, Vanderbilt-Ingram Cancer Center. Parameswaran Hari, M.D., our Chief Medical Officer, has decades of experience leading cell and gene therapy programs. Dr. Hari previously served as Senior Vice President, Clinical Science at Iovance; Chief of Hematology and Oncology at the Medical College of Wisconsin and Secretary of the American Society of Transplantation and Cellular Therapy. Dana Alexander, our Chief Technical Officer, has over 25 years of experience across cell, gene therapy and biologics process development and chemistry, manufacturing, and controls, or CMC, from Phase 1 through commercialization, including serving as Senior Vice President of Technical Operations at AlloVir. Julie Feder, our Chief Financial Officer, has extensive experience in driving the financial and corporate growth of life sciences companies, including serving as Chief Financial Officer for Aura Biosciences, Verastem Oncology, and the Clinton Health Access Initiative.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raised over $335 million from leading institutional investors, including: Atlas Venture, Celgene Corporation, Deep Track Biotechnology Master Fund and TCG Crossover Fund. Prospective investors should not rely on the investment decisions of our existing investors, as these investors may have different risk tolerances and have received their shares in prior offerings at prices lower than the price offered to the public in connection with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Background on Solid Tumors and Cell Therapies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Solid Tumors: A Remaining Unmet Need in Cancer </w:t>
      </w:r>
    </w:p>
    <w:p>
      <w:pPr>
        <w:pStyle w:val="TextBody"/>
        <w:bidi w:val="0"/>
        <w:spacing w:before="120" w:after="0"/>
        <w:jc w:val="left"/>
        <w:rPr>
          <w:rFonts w:ascii="Times New Roman" w:hAnsi="Times New Roman"/>
          <w:sz w:val="20"/>
        </w:rPr>
      </w:pPr>
      <w:r>
        <w:rPr>
          <w:rFonts w:ascii="Times New Roman" w:hAnsi="Times New Roman"/>
          <w:sz w:val="20"/>
        </w:rPr>
        <w:t xml:space="preserve">Despite advances across the treatment landscape, solid tumors remain a significant unmet medical need, with mortality and clinical outcomes generally worsening as disease advances. In 2026, there will be an estimated 2.1 million new cancer cases and 600,000 cancer deaths in the United States, with approximately 90% attributable to solid tumors, according to the American Cancer Society. Several key factors such as tumor heterogeneity, as well as challenging tumor microenvironments, have made solid tumors very difficult to treat. When tumors become refractory to early lines of treatment, options for further therapy are currently limited to alternate forms of chemotherapy, clinical trials of agents in development or palliative care. Each of these alternatives presents a low likelihood of cure, while generally exposing patients to safety and tolerability concerns. As a result, metastatic solid tumors where the disease has progressed after initial therapy continue to account for a disproportionate share of cancer-related mortality.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Existing Cell Therapies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Overview of cell therapies and their limitations </w:t>
      </w:r>
    </w:p>
    <w:p>
      <w:pPr>
        <w:pStyle w:val="TextBody"/>
        <w:bidi w:val="0"/>
        <w:spacing w:before="120" w:after="0"/>
        <w:jc w:val="left"/>
        <w:rPr>
          <w:rFonts w:ascii="Times New Roman" w:hAnsi="Times New Roman"/>
          <w:sz w:val="20"/>
        </w:rPr>
      </w:pPr>
      <w:r>
        <w:rPr>
          <w:rFonts w:ascii="Times New Roman" w:hAnsi="Times New Roman"/>
          <w:sz w:val="20"/>
        </w:rPr>
        <w:t xml:space="preserve">Cellular immunotherapies leverage the innate abilities of immune effector cell, such as tumor trafficking, expansion, and persistence, and address the limitations of conventional cancer treatments. Autologous cell therapies reengineer a patient’s own immune system to recognize tumors with high specificity and enable long-term immune surveillance and durable responses. FDA-approved autologous cell therapies have achieved major advances in multiple hematologic malignancies, including B-cell lymphomas, leukemias, and myeloma, as well as in two solid tumor types: metastatic melanoma and synovial sarcoma. Current autologous approaches fall into three primary categories: CAR-T, TCR-T, and TIL cell therapies. </w:t>
      </w:r>
    </w:p>
    <w:p>
      <w:pPr>
        <w:pStyle w:val="TextBody"/>
        <w:bidi w:val="0"/>
        <w:spacing w:before="240" w:after="0"/>
        <w:jc w:val="left"/>
        <w:rPr>
          <w:rFonts w:ascii="Times New Roman" w:hAnsi="Times New Roman"/>
          <w:sz w:val="20"/>
        </w:rPr>
      </w:pPr>
      <w:r>
        <w:rPr>
          <w:rFonts w:ascii="Times New Roman" w:hAnsi="Times New Roman"/>
          <w:sz w:val="20"/>
        </w:rPr>
        <w:t xml:space="preserve">The central challenge for cellular immunotherapies is to achieve cancer-specific cell killing while sparing normal healthy tissues. The immune system distinguishes normal from abnormal cells through two major recognition mechanisms. Antibodies or antibody fragments bind with high specificity to antigens such as cell surface proteins, whereas T cells use their receptors, or TCRs, to detect peptide fragments derived primarily from the breakdown of intracellular proteins and presented on the surface by major histocompatibility complex, or MHC, molecules. Because MHC displays a broad repertoire of intracellular peptides, TCR-based recognition enables deeper surveillance of cellular abnormalities than antibody binding alone. In cancer immunity, professional antigen presenting cells can produce specific cancer directed CD8 T cell responses by presenting tumor-derived antigens derived from dying cancer cells. TIL cell therapies and TCR-T therapies use TCR mediated recognition to mediate cancer cell specific cytotoxicity. </w:t>
      </w:r>
    </w:p>
    <w:p>
      <w:pPr>
        <w:pStyle w:val="TextBody"/>
        <w:bidi w:val="0"/>
        <w:spacing w:before="240" w:after="0"/>
        <w:jc w:val="left"/>
        <w:rPr>
          <w:rFonts w:ascii="Times New Roman" w:hAnsi="Times New Roman"/>
          <w:sz w:val="20"/>
        </w:rPr>
      </w:pPr>
      <w:r>
        <w:rPr>
          <w:rFonts w:ascii="Times New Roman" w:hAnsi="Times New Roman"/>
          <w:sz w:val="20"/>
        </w:rPr>
        <w:t xml:space="preserve">CAR-T cells are engineered T cells that rely on an antibody-derived binding domain to recognize target cells. The antigenic targets of currently available CAR-T therapies reflect the normal cell lineages from which the cancer arose. This approach has had major success in certain hematologic malignancies, where B cell or plasma cell lineage restricted surface antigens such as CD20 or BCMA can be safely targeted because the hematologic system can regenerate itself and thereby tolerate the toxicity arising from temporary off-tumor toxicity. However, in most solid tumors, truly tumor-specific surface antigens are uncommon, increasing the risk of on-target, off-tumor toxicity and limiting the application of CAR-T therapies. </w:t>
      </w:r>
    </w:p>
    <w:p>
      <w:pPr>
        <w:pStyle w:val="TextBody"/>
        <w:bidi w:val="0"/>
        <w:spacing w:before="240" w:after="0"/>
        <w:jc w:val="left"/>
        <w:rPr>
          <w:rFonts w:ascii="Times New Roman" w:hAnsi="Times New Roman"/>
          <w:sz w:val="20"/>
        </w:rPr>
      </w:pPr>
      <w:r>
        <w:rPr>
          <w:rFonts w:ascii="Times New Roman" w:hAnsi="Times New Roman"/>
          <w:sz w:val="20"/>
        </w:rPr>
        <w:t xml:space="preserve">As solid tumors account for approximately 90% of cancer deaths, the lack of tumor specific CAR-T targetable surface antigens reflects a substantial unmet need. Therefore, researchers have continued to investigate ways to redirect T cells, driven by their native TCRs, to recognize and kill tumor cells with greater specificity and reduced off-tumor toxicity. Leveraging the TCR offers the key advantage of enabling immune cells to target intracellular tumor antigens that cannot be accessed by antibody-based approaches or CAR-T cells. Tecelra®, approved by the FDA in 2024, is the first approved engineered TCR therapy. Tecelra recognizes MAGE-A4, an intracellular protein that is generally absent in healthy tissues. However, the potential of TCR-engineered T cell therapies is limited because of two main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MHC molecules exist in numerous variants known as allelic variants within individuals and vary extensively between individuals, and each allele presents a distinct peptide repertoire. As a result, TCR therapies can only be administered to patients who express MHC alleles compatible with the engineered receptor.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Engineered TCR-T therapies target a single antigen and therefore cannot address the heterogeneity of tumor antigen expression within a tumor. Loss or downregulation of the targeted antigen is a common immune-evasion strategy in cancer which can render the therapy ineffective.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contrast, TIL cell therapies offer a broader TCR-based approach. By expanding a patient’s own tumor-derived T cell population, which naturally recognizes a diverse set of intracellular peptides presented by MHC, TIL offer a breadth of antigen recognition, reduces vulnerability to single-antigen loss and are not subject to MHC allele restriction constraints of TCR-T therapies. </w:t>
      </w:r>
    </w:p>
    <w:p>
      <w:pPr>
        <w:pStyle w:val="TextBody"/>
        <w:bidi w:val="0"/>
        <w:spacing w:before="240" w:after="0"/>
        <w:jc w:val="left"/>
        <w:rPr>
          <w:rFonts w:ascii="Times New Roman" w:hAnsi="Times New Roman"/>
          <w:sz w:val="20"/>
        </w:rPr>
      </w:pPr>
      <w:r>
        <w:rPr>
          <w:rFonts w:ascii="Times New Roman" w:hAnsi="Times New Roman"/>
          <w:sz w:val="20"/>
        </w:rPr>
        <w:t xml:space="preserve">Table 1 below summarizes certain characteristics of existing cell therapy modalities, including CAR-T, TCR-T and non-engineered TIL cell therapies, and highlights key differences in targeting, safety considerations and practical limitations.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2348"/>
        <w:gridCol w:w="102"/>
        <w:gridCol w:w="3471"/>
        <w:gridCol w:w="101"/>
        <w:gridCol w:w="2552"/>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CAR-T Therapy</w:t>
            </w:r>
          </w:p>
        </w:tc>
        <w:tc>
          <w:tcPr>
            <w:tcW w:w="102"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TCR-T Therapy</w:t>
            </w:r>
          </w:p>
        </w:tc>
        <w:tc>
          <w:tcPr>
            <w:tcW w:w="101" w:type="dxa"/>
            <w:tcBorders/>
            <w:vAlign w:val="bottom"/>
          </w:tcPr>
          <w:p>
            <w:pPr>
              <w:pStyle w:val="TableContents"/>
              <w:bidi w:val="0"/>
              <w:spacing w:before="0" w:after="283"/>
              <w:jc w:val="left"/>
              <w:rPr/>
            </w:pPr>
            <w:r>
              <w:rPr/>
              <w:t> </w:t>
            </w:r>
          </w:p>
        </w:tc>
        <w:tc>
          <w:tcPr>
            <w:tcW w:w="25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Non-Engineered TIL Cell</w:t>
            </w:r>
          </w:p>
          <w:p>
            <w:pPr>
              <w:pStyle w:val="TableContents"/>
              <w:bidi w:val="0"/>
              <w:spacing w:before="0" w:after="20"/>
              <w:jc w:val="center"/>
              <w:rPr>
                <w:rFonts w:ascii="Times New Roman" w:hAnsi="Times New Roman"/>
                <w:b/>
                <w:sz w:val="16"/>
              </w:rPr>
            </w:pPr>
            <w:r>
              <w:rPr>
                <w:rFonts w:ascii="Times New Roman" w:hAnsi="Times New Roman"/>
                <w:b/>
                <w:sz w:val="16"/>
              </w:rPr>
              <w:t>Therapy</w:t>
            </w:r>
          </w:p>
        </w:tc>
      </w:tr>
      <w:tr>
        <w:trPr/>
        <w:tc>
          <w:tcPr>
            <w:tcW w:w="1530" w:type="dxa"/>
            <w:tcBorders/>
          </w:tcPr>
          <w:p>
            <w:pPr>
              <w:pStyle w:val="TableContents"/>
              <w:bidi w:val="0"/>
              <w:spacing w:before="0" w:after="283"/>
              <w:jc w:val="left"/>
              <w:rPr/>
            </w:pPr>
            <w:r>
              <w:rPr/>
              <w:t>Advantages</w:t>
            </w:r>
          </w:p>
        </w:tc>
        <w:tc>
          <w:tcPr>
            <w:tcW w:w="101"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Target antigens beyond peptides on cell surface independent of MHC</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Lower cumulative cyclophosphamide dose in lymphodepletion regimen compared to non-engineered TIL cell therapy</w:t>
            </w:r>
          </w:p>
        </w:tc>
        <w:tc>
          <w:tcPr>
            <w:tcW w:w="102"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Accessibility to intracellular target through MHC</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Utilizes natural TCR signaling pathways for potentially better effect</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-Lower cumulative cyclophosphamide dose in lymphodepletion regimen compared to non-engineered TIL cell therapy</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Broad repertoire of TCRs that target both defined and undefined tumor antigens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Because TIL are isolated from tumors, they are enriched with T cells that specifically recognize tumor cells and have demonstrated the ability to traffic to, and survive in, the tumor microenvironment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573"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Disadvantages</w:t>
            </w:r>
          </w:p>
        </w:tc>
        <w:tc>
          <w:tcPr>
            <w:tcW w:w="101"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Limited availability of truly tumor-exclusive surface antigens and antigen heterogeneity in solid tumors can limit efficacy and increase on-target/off-tumor toxicity risk</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Evasion by loss of target antigen surface expression</w:t>
            </w:r>
          </w:p>
        </w:tc>
        <w:tc>
          <w:tcPr>
            <w:tcW w:w="102"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Treatment limited by HLA type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Target single antigens and may not address antigen heterogeneity within a single tumor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Can cross-react with off-target peptides in healthy tissues and cause toxicities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Evasion by loss of antigen presentation machinery can render the therapy ineffective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Some TCR-Ts require IL-2 dosing</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Require surgical tumor resection for T cell isolation and cause delays in generating TIL</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Need for IL-2 dosing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Higher cumulative cyclophosphamide dose in lymphodepletion regimen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30"/>
        <w:gridCol w:w="102"/>
        <w:gridCol w:w="2347"/>
        <w:gridCol w:w="102"/>
        <w:gridCol w:w="3470"/>
        <w:gridCol w:w="102"/>
        <w:gridCol w:w="2552"/>
      </w:tblGrid>
      <w:tr>
        <w:trPr/>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CAR-T Therapy</w:t>
            </w:r>
          </w:p>
        </w:tc>
        <w:tc>
          <w:tcPr>
            <w:tcW w:w="102" w:type="dxa"/>
            <w:tcBorders/>
            <w:vAlign w:val="bottom"/>
          </w:tcPr>
          <w:p>
            <w:pPr>
              <w:pStyle w:val="TableContents"/>
              <w:bidi w:val="0"/>
              <w:spacing w:before="0" w:after="283"/>
              <w:jc w:val="left"/>
              <w:rPr/>
            </w:pPr>
            <w:r>
              <w:rPr/>
              <w:t> </w:t>
            </w:r>
          </w:p>
        </w:tc>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TCR-T Therapy</w:t>
            </w:r>
          </w:p>
        </w:tc>
        <w:tc>
          <w:tcPr>
            <w:tcW w:w="102" w:type="dxa"/>
            <w:tcBorders/>
            <w:vAlign w:val="bottom"/>
          </w:tcPr>
          <w:p>
            <w:pPr>
              <w:pStyle w:val="TableContents"/>
              <w:bidi w:val="0"/>
              <w:spacing w:before="0" w:after="283"/>
              <w:jc w:val="left"/>
              <w:rPr/>
            </w:pPr>
            <w:r>
              <w:rPr/>
              <w:t> </w:t>
            </w:r>
          </w:p>
        </w:tc>
        <w:tc>
          <w:tcPr>
            <w:tcW w:w="25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Non-Engineered TIL Cell</w:t>
            </w:r>
          </w:p>
          <w:p>
            <w:pPr>
              <w:pStyle w:val="TableContents"/>
              <w:bidi w:val="0"/>
              <w:spacing w:before="0" w:after="20"/>
              <w:jc w:val="center"/>
              <w:rPr>
                <w:rFonts w:ascii="Times New Roman" w:hAnsi="Times New Roman"/>
                <w:b/>
                <w:sz w:val="16"/>
              </w:rPr>
            </w:pPr>
            <w:r>
              <w:rPr>
                <w:rFonts w:ascii="Times New Roman" w:hAnsi="Times New Roman"/>
                <w:b/>
                <w:sz w:val="16"/>
              </w:rPr>
              <w:t>Therapy</w:t>
            </w:r>
          </w:p>
        </w:tc>
      </w:tr>
      <w:tr>
        <w:trPr/>
        <w:tc>
          <w:tcPr>
            <w:tcW w:w="1530" w:type="dxa"/>
            <w:tcBorders/>
          </w:tcPr>
          <w:p>
            <w:pPr>
              <w:pStyle w:val="TableContents"/>
              <w:bidi w:val="0"/>
              <w:spacing w:before="0" w:after="283"/>
              <w:jc w:val="left"/>
              <w:rPr/>
            </w:pPr>
            <w:r>
              <w:rPr/>
              <w:t>Target Antigen</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left"/>
              <w:rPr/>
            </w:pPr>
            <w:r>
              <w:rPr/>
              <w:t>Lineage-specific surface antigens also expressed by normal cells (e.g., CD19, BCMA)</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0"/>
              <w:jc w:val="left"/>
              <w:rPr>
                <w:rFonts w:ascii="Times New Roman" w:hAnsi="Times New Roman"/>
                <w:sz w:val="20"/>
              </w:rPr>
            </w:pPr>
            <w:r>
              <w:rPr>
                <w:rFonts w:ascii="Times New Roman" w:hAnsi="Times New Roman"/>
                <w:sz w:val="20"/>
              </w:rPr>
              <w:t>Intracellular tumor-associated antigens bound to MHC</w:t>
            </w:r>
          </w:p>
          <w:p>
            <w:pPr>
              <w:pStyle w:val="TableContents"/>
              <w:bidi w:val="0"/>
              <w:spacing w:before="0" w:after="20"/>
              <w:jc w:val="left"/>
              <w:rPr>
                <w:rFonts w:ascii="Times New Roman" w:hAnsi="Times New Roman"/>
                <w:sz w:val="20"/>
              </w:rPr>
            </w:pPr>
            <w:r>
              <w:rPr>
                <w:rFonts w:ascii="Times New Roman" w:hAnsi="Times New Roman"/>
                <w:sz w:val="20"/>
              </w:rPr>
              <w:t>(e.g., NY-ESO-1, MAGE-A4)</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Neoantigens or tumor-associated antigens bound to MHC</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Tumor Cell Specificity</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left"/>
              <w:rPr/>
            </w:pPr>
            <w:r>
              <w:rPr/>
              <w:t>Low</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High</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High</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HLA Restriction</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left"/>
              <w:rPr/>
            </w:pPr>
            <w:r>
              <w:rPr/>
              <w:t>No</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Yes</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No</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Tumor Types</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Hematological malignancies (e.g., B-cell leukemia,</w:t>
            </w:r>
          </w:p>
          <w:p>
            <w:pPr>
              <w:pStyle w:val="TableContents"/>
              <w:bidi w:val="0"/>
              <w:spacing w:before="0" w:after="20"/>
              <w:jc w:val="left"/>
              <w:rPr>
                <w:rFonts w:ascii="Times New Roman" w:hAnsi="Times New Roman"/>
                <w:sz w:val="20"/>
              </w:rPr>
            </w:pPr>
            <w:r>
              <w:rPr>
                <w:rFonts w:ascii="Times New Roman" w:hAnsi="Times New Roman"/>
                <w:sz w:val="20"/>
              </w:rPr>
              <w:t>lymphoma) Solid tumors with limited efficacy</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Solid tumors and hematological malignancies</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Solid tumors, including melanoma, NSCLC, ovarian, cervical and sarcoma</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Toxicity</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left"/>
              <w:rPr/>
            </w:pPr>
            <w:r>
              <w:rPr/>
              <w:t>Cytokine release syndrome (CRS), neurotoxicity</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Off-target effects, CRS</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Lymphodepletion and IL-2-related toxicities</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TIL cell therapy for the treatment of solid tumors </w:t>
      </w:r>
    </w:p>
    <w:p>
      <w:pPr>
        <w:pStyle w:val="TextBody"/>
        <w:bidi w:val="0"/>
        <w:spacing w:before="120" w:after="0"/>
        <w:jc w:val="left"/>
        <w:rPr>
          <w:rFonts w:ascii="Times New Roman" w:hAnsi="Times New Roman"/>
          <w:sz w:val="20"/>
        </w:rPr>
      </w:pPr>
      <w:r>
        <w:rPr>
          <w:rFonts w:ascii="Times New Roman" w:hAnsi="Times New Roman"/>
          <w:sz w:val="20"/>
        </w:rPr>
        <w:t xml:space="preserve">One of the earliest demonstrations of the antitumor potential of cell therapies came from the work of Steven Rosenberg, M.D., Ph.D. and colleagues at the National Institutes of Health in the 1980s, before the discovery of ICIs. These researchers found that TIL from melanoma patients could be expanded </w:t>
      </w:r>
      <w:r>
        <w:rPr>
          <w:rFonts w:ascii="Times New Roman" w:hAnsi="Times New Roman"/>
          <w:i/>
          <w:sz w:val="20"/>
        </w:rPr>
        <w:t>ex vivo</w:t>
      </w:r>
      <w:r>
        <w:rPr>
          <w:rFonts w:ascii="Times New Roman" w:hAnsi="Times New Roman"/>
          <w:sz w:val="20"/>
        </w:rPr>
        <w:t xml:space="preserve"> in cell culture to boost their antitumor activity. TIL cell therapy offers a way to potentially avoid the limited effectiveness of CAR-T therapies in solid tumors while taking advantage of the ability of the TCR to more specifically recognize tumor cells. Because TIL are isolated from tumors, they are enriched with T cells that specifically recognize tumor cells and have demonstrated the ability to traffic to, and survive in, the tumor microenvironment. Furthermore, TIL contain polyclonal T cells that are capable of recognizing a spectrum of tumor-specific antigens that may be present in any given tumor. </w:t>
      </w:r>
    </w:p>
    <w:p>
      <w:pPr>
        <w:pStyle w:val="TextBody"/>
        <w:bidi w:val="0"/>
        <w:spacing w:before="240" w:after="0"/>
        <w:jc w:val="left"/>
        <w:rPr>
          <w:rFonts w:ascii="Times New Roman" w:hAnsi="Times New Roman"/>
          <w:sz w:val="20"/>
        </w:rPr>
      </w:pPr>
      <w:r>
        <w:rPr>
          <w:rFonts w:ascii="Times New Roman" w:hAnsi="Times New Roman"/>
          <w:sz w:val="20"/>
        </w:rPr>
        <w:t xml:space="preserve">The first FDA-approved TIL cell therapy, Amtagvi, received accelerated approval in 2024 to treat patients with unresectable or metastatic melanoma who have been previously treated with a PD-1 blocking antibody, and if BRAF V600 mutation positive, a BRAF inhibitor with or without a MEK inhibitor. Amtagvi was approved based on 31.5% ORR, including three complete responses. The median overall survival, or OS, from a follow-up analysis of patients in this trial was 13.9 months, with a five-year OS of 19.7%.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limitations of current TIL cell therapies </w:t>
      </w:r>
    </w:p>
    <w:p>
      <w:pPr>
        <w:pStyle w:val="TextBody"/>
        <w:bidi w:val="0"/>
        <w:spacing w:before="120" w:after="0"/>
        <w:jc w:val="left"/>
        <w:rPr>
          <w:rFonts w:ascii="Times New Roman" w:hAnsi="Times New Roman"/>
          <w:sz w:val="20"/>
        </w:rPr>
      </w:pPr>
      <w:r>
        <w:rPr>
          <w:rFonts w:ascii="Times New Roman" w:hAnsi="Times New Roman"/>
          <w:sz w:val="20"/>
        </w:rPr>
        <w:t xml:space="preserve">Traditional TIL cell therapies, such as Amtagvi, which use TIL that are not genetically modified, have a number of limitations that result in increased morbidity and mortality.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Manufacturing challenges.</w:t>
            </w:r>
            <w:r>
              <w:rPr>
                <w:rFonts w:ascii="Times New Roman" w:hAnsi="Times New Roman"/>
                <w:sz w:val="20"/>
              </w:rPr>
              <w:t xml:space="preserve"> Non-engineered TIL cell therapies require that tumor tissue be obtained by surgical resection. The need for an invasive surgical procedure poses challenges such as ensuring a patient is eligible for anesthesia and surgery and ensuring availability of specialized surgeons (e.g. thoracic surgeons) for the area of surgical biopsy. These requirements result in significant tumor tissue harvest delays because it requires scheduling with a surgeon trained in the appropriate specialty. Furthermore, the number of TIL generated using these processes is not always sufficient to deliver effective therapy to patients. Of the 111 patients who underwent tumor resection in the Amtagvi registrational trial, 22 (20%) were not infused with Amtagvi for clinical or manufacturing reasons. Of the 89 patients who were infused, seven patients were excluded from the primary efficacy analysis because their infused product did not meet product specification or comparability criteria. An additional nine infused patients received Amtagvi at a dose below the lower bound of the recommended dosing range of 7.5 x 10 viable cells. Thus, 34% of patients were not included in the primary efficacy population within the recommended dosing range.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Use of IL2 for </w:t>
            </w:r>
            <w:r>
              <w:rPr>
                <w:rFonts w:ascii="Times New Roman" w:hAnsi="Times New Roman"/>
                <w:b/>
                <w:i/>
                <w:sz w:val="20"/>
              </w:rPr>
              <w:t>ex vivo</w:t>
            </w:r>
            <w:r>
              <w:rPr>
                <w:rFonts w:ascii="Times New Roman" w:hAnsi="Times New Roman"/>
                <w:sz w:val="20"/>
              </w:rPr>
              <w:t xml:space="preserve"> </w:t>
            </w:r>
            <w:r>
              <w:rPr>
                <w:rFonts w:ascii="Times New Roman" w:hAnsi="Times New Roman"/>
                <w:b/>
                <w:sz w:val="20"/>
              </w:rPr>
              <w:t>TIL expansion.</w:t>
            </w:r>
            <w:r>
              <w:rPr>
                <w:rFonts w:ascii="Times New Roman" w:hAnsi="Times New Roman"/>
                <w:sz w:val="20"/>
              </w:rPr>
              <w:t xml:space="preserve"> IL2 is a powerful cytokine that critically affects the features and effectiveness of T cells. IL2 drives T cell expansion and leads to their ability to maximally secrete interferon gamma, or IFN</w:t>
            </w:r>
            <w:r>
              <w:rPr>
                <w:rFonts w:ascii="SYMBOL" w:hAnsi="SYMBOL"/>
                <w:sz w:val="20"/>
              </w:rPr>
              <w:t>g</w:t>
            </w:r>
            <w:r>
              <w:rPr>
                <w:rFonts w:ascii="Times New Roman" w:hAnsi="Times New Roman"/>
                <w:sz w:val="20"/>
              </w:rPr>
              <w:t xml:space="preserve">, in response to antigen stimulation. Hence, IL2 is used throughout the manufacturing process for non-engineered TIL, including the REP. However, IL2 stimulation of T cells during the REP can cause T cell exhaustion and may translate to reduced T cell persistence after infusion. Use of IL2 also leads to expansion of Tregs which have the potential to suppress T cell cytotoxicity. Although the use of IL2 during the REP can drive rapid expansion of TIL, the cytotoxicity of the expanded product may be compromised.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Need for lymphodepletion.</w:t>
            </w:r>
            <w:r>
              <w:rPr>
                <w:rFonts w:ascii="Times New Roman" w:hAnsi="Times New Roman"/>
                <w:sz w:val="20"/>
              </w:rPr>
              <w:t xml:space="preserve"> Treatment with non-engineered TIL cell therapies requires that the patient first undergo standard lymphodepletion, which is generally administered using fludarabine and cyclophosphamide. Lymphodepletion serves a number of purposes including eliminating potentially suppressive endogenous T cells, reducing suppressive cytokines, and creating a regenerative immune niche that administered cells could colonize. It has been shown that lymphodepletion is essential for cellular immunotherapies of cancer. However, not all patients are eligible to undergo standard lymphodepletion. Because individuals with poor organ function, poor performance status or active infections are ineligible for the standard lymphodepletion procedure, these individuals are unable to receive non-engineered TIL cell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Requirement for inpatient IL2 dosing after TIL infusion. </w:t>
            </w:r>
            <w:r>
              <w:rPr>
                <w:rFonts w:ascii="Times New Roman" w:hAnsi="Times New Roman"/>
                <w:sz w:val="20"/>
              </w:rPr>
              <w:t xml:space="preserve">In conventional TIL regimens, physicians administer several doses of high-dose IL2 intravenously in the inpatient setting after delivering TIL cells. For this to be effective, high doses of IL2 are required due to the lower affinity of the IL2 receptor on cytotoxic T cells. High dose IL2 has been associated with life-threatening adverse events, such as capillary leak syndrome, hypotension and tachycardia. </w:t>
            </w:r>
          </w:p>
        </w:tc>
      </w:tr>
    </w:tbl>
    <w:p>
      <w:pPr>
        <w:pStyle w:val="TextBody"/>
        <w:bidi w:val="0"/>
        <w:spacing w:before="360" w:after="0"/>
        <w:jc w:val="left"/>
        <w:rPr>
          <w:rFonts w:ascii="Times New Roman" w:hAnsi="Times New Roman"/>
          <w:b/>
          <w:sz w:val="20"/>
        </w:rPr>
      </w:pPr>
      <w:r>
        <w:rPr>
          <w:rFonts w:ascii="Times New Roman" w:hAnsi="Times New Roman"/>
          <w:b/>
          <w:sz w:val="20"/>
        </w:rPr>
        <w:t>Our Solution: OBX-115</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advancing OBX-115, an engineered cytoTIL cell therapy for the treatment of advanced melanoma and NSCLC. OBX-115 was developed using our proprietary cytoDRiVE platform technology and designed to overcome the limitations of existing therapies. A key differentiating feature of OBX-115 is the introduction of a genetic construct that encodes a mbIL15 protein whose expression can be regulated using ACZ, an orally available FDA approved drug. The expression of IL15 by OBX-115 eliminates the need for IL2 in the treatment regimen in both the REP phase of manufacturing and inpatient treatment. In a cohort of 15 patients with advanced melanoma and confirmed radiological progression post-ICI inhibitor therapy, treatment with OBX-115 at the RP2D led to an ORR of 67% with rapid and durable tumor regression. Also notable is that robust antitumor responses were obtained using low dose lymphodepletion and, in some patients, with core needle biopsies instead of surgical resections. There was no TRM and there were no DLTs or discontinuations due to adverse events. OBX-115 has Fast Track and RMAT designations from the FDA for the treatment of patients with unresectable or metastatic melanoma that is resistant to ICI therapy. In our Phase 1 clinical trial in NSCLC, early clinical results show robust tumor shrinkage and include multiple confirmed PRs.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enroll patients with melanoma in our Phase 2 trial and NSCLC patients in our Phase 1 trial. We plan to initiate our registration-enabling study in advanced melanoma in mid-2026 and potentially initiate a subsequent study in NSCLC after review of the Phase 1 clinical data, which is expected in the first half of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Engineering OBX-115 with mbIL15 </w:t>
      </w:r>
    </w:p>
    <w:p>
      <w:pPr>
        <w:pStyle w:val="TextBody"/>
        <w:bidi w:val="0"/>
        <w:spacing w:before="120" w:after="0"/>
        <w:jc w:val="left"/>
        <w:rPr>
          <w:rFonts w:ascii="Times New Roman" w:hAnsi="Times New Roman"/>
          <w:sz w:val="20"/>
        </w:rPr>
      </w:pPr>
      <w:r>
        <w:rPr>
          <w:rFonts w:ascii="Times New Roman" w:hAnsi="Times New Roman"/>
          <w:sz w:val="20"/>
        </w:rPr>
        <w:t xml:space="preserve">By utilizing our cytoDRiVE technology and incorporating mbIL15 into OBX-115, we are able to eliminate the need for IL2 in the treatment regimen. IL15 and IL2 are structurally related cytokines that share common receptor subunits. Similar to IL2, IL15 expands cytotoxic T cells and NK cells. Unlike IL2, IL15 does not preferentially expand Tregs, which are associated with an immunosuppressive tumor microenvironment. A further advantage of IL15 is that it promotes survival and maintenance of long-lived memory CD8 T cells, including subsets with stem-cell like properties. By contrast, IL2 leads to higher activation of short-lived effector T cells which are predisposed to terminal exhaustion both during manufacturing and </w:t>
      </w:r>
      <w:r>
        <w:rPr>
          <w:rFonts w:ascii="Times New Roman" w:hAnsi="Times New Roman"/>
          <w:i/>
          <w:sz w:val="20"/>
        </w:rPr>
        <w:t>in vivo</w:t>
      </w:r>
      <w:r>
        <w:rPr>
          <w:rFonts w:ascii="Times New Roman" w:hAnsi="Times New Roman"/>
          <w:sz w:val="20"/>
        </w:rPr>
        <w:t xml:space="preserve"> after infusion.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IL2 has been approved by the FDA for the treatment of cancer, notwithstanding its association with significant toxicities, no systemic IL15 therapy has received FDA regulatory approval to date. Clinical experience with the administration of exogenous soluble IL15 found that it led to robust T cell proliferation, but its therapeutic benefit was limited with no responses among patients with melanoma. Additionally, a number of severe toxicities were observed including hypotension, thrombocytopenia and elevated liver enzymes. These limitations have prevented the clinical development of soluble exogenous IL15 in a therapeutic context. To leverage the benefits of IL15 while avoiding these undesired effects, OBX-115 has membrane bound expression of IL15 with its levels regulated via our cytoDRiVE platform. </w:t>
      </w:r>
    </w:p>
    <w:p>
      <w:pPr>
        <w:pStyle w:val="TextBody"/>
        <w:bidi w:val="0"/>
        <w:spacing w:before="240" w:after="0"/>
        <w:jc w:val="left"/>
        <w:rPr>
          <w:rFonts w:ascii="Times New Roman" w:hAnsi="Times New Roman"/>
          <w:sz w:val="20"/>
        </w:rPr>
      </w:pPr>
      <w:r>
        <w:rPr>
          <w:rFonts w:ascii="Times New Roman" w:hAnsi="Times New Roman"/>
          <w:sz w:val="20"/>
        </w:rPr>
        <w:t xml:space="preserve">OBX-115 is engineered to express a proprietary IL15 construct with two key features: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IL15 is anchored to the membrane through a flexible linker (“mbIL15”). The linker of mbIL15 has been engineered to avoid shedding of mbIL15 and thereby limit systemic exposure. Further, the linker length was optimized such that mbIL15 possesses the ability to both act </w:t>
            </w:r>
            <w:r>
              <w:rPr>
                <w:rFonts w:ascii="Times New Roman" w:hAnsi="Times New Roman"/>
                <w:i/>
                <w:sz w:val="20"/>
              </w:rPr>
              <w:t xml:space="preserve">in cis </w:t>
            </w:r>
            <w:r>
              <w:rPr>
                <w:rFonts w:ascii="Times New Roman" w:hAnsi="Times New Roman"/>
                <w:sz w:val="20"/>
              </w:rPr>
              <w:t xml:space="preserve">to directly activate transduced TIL cells, as shown in Figure 1 below (blue, left panel), and </w:t>
            </w:r>
            <w:r>
              <w:rPr>
                <w:rFonts w:ascii="Times New Roman" w:hAnsi="Times New Roman"/>
                <w:i/>
                <w:sz w:val="20"/>
              </w:rPr>
              <w:t>in trans</w:t>
            </w:r>
            <w:r>
              <w:rPr>
                <w:rFonts w:ascii="Times New Roman" w:hAnsi="Times New Roman"/>
                <w:sz w:val="20"/>
              </w:rPr>
              <w:t xml:space="preserve"> to activate other immune cells such as NK cells shown in Figure 1 below (red, right panel). Figure 1. mbIL15 activation of TIL and NK cells.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Figure 1. mbIL15 activation of TIL and NK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6581775" cy="45529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8"/>
                    <a:stretch>
                      <a:fillRect/>
                    </a:stretch>
                  </pic:blipFill>
                  <pic:spPr bwMode="auto">
                    <a:xfrm>
                      <a:off x="0" y="0"/>
                      <a:ext cx="6581775" cy="4552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The expression of mbIL15 is regulated by ACZ, an orally available FDA-approved drug</w:t>
            </w:r>
            <w:r>
              <w:rPr>
                <w:rFonts w:ascii="Times New Roman" w:hAnsi="Times New Roman"/>
                <w:sz w:val="20"/>
              </w:rPr>
              <w:t xml:space="preserve">. Our mbIL15 construct was designed to be regulated by cytoDRiVE. In the absence of ACZ, known as the “basal state” in the left panel in Figure 2 below, the DRD is degraded in the cell by the proteasome, thus limiting mbIL15 expression. As shown on the right panel of Figure 2 below, cytoDRiVE regulation enables the CA2-DRD construct to be stabilized in the presence of a paired ligand, ACZ, which enables dose-dependent, reversible mbIL15 expression on the TIL cell surface. ACZ is a CA2 inhibitor that functions as a diuretic for the treatment of edema and elevated intraocular pressure and is used to treat altitude sickness. It has been used in the clinic for over fifty years. This ability to alter the expression of mbIL15 using an oral drug is designed to dynamically regulate its expression to achieve an appropriate balance between efficacy while minimizing potential adverse events. Should a patient’s lymphocytes expand more than desired which may be associated with certain toxicities, mbIL15 expression can be suspended by stopping ACZ administration.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2. Regulation of mbIL15 activity using ACZ.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7375" cy="22288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9"/>
                    <a:stretch>
                      <a:fillRect/>
                    </a:stretch>
                  </pic:blipFill>
                  <pic:spPr bwMode="auto">
                    <a:xfrm>
                      <a:off x="0" y="0"/>
                      <a:ext cx="5667375" cy="22288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Proprietary Manufacturing Process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manufacturing process to ensure OBX-115 would contain tumor-reactive TIL with high antitumor activity and phenotypically enriched for expansion and persistence. In addition, we have optimized our manufacturing process across the continuum of Pre-REP, activation, transduction of CA2-mbIL15 construct, REP, and cryopreservation to potentially allow for robustness, reproducibility and a high manufacturing success rate. Our manufacturing process for OBX-115 delivers consistently robust cell yield and high process consistency with a greater than 95% demonstrated success rate. By leveraging our cytoDRiVE platform and our proprietary manufacturing process, we believe OBX-115 has key attributes required to address the unmet need in the treatment of solid tumors and to meaningfully expand the targetable patient population. </w:t>
      </w:r>
    </w:p>
    <w:p>
      <w:pPr>
        <w:pStyle w:val="TextBody"/>
        <w:bidi w:val="0"/>
        <w:spacing w:before="240" w:after="0"/>
        <w:jc w:val="left"/>
        <w:rPr>
          <w:rFonts w:ascii="Times New Roman" w:hAnsi="Times New Roman"/>
          <w:sz w:val="20"/>
        </w:rPr>
      </w:pPr>
      <w:r>
        <w:rPr>
          <w:rFonts w:ascii="Times New Roman" w:hAnsi="Times New Roman"/>
          <w:sz w:val="20"/>
        </w:rPr>
        <w:t xml:space="preserve">Figure 3 below summarizes the various challenges in the manufacturing process of non-engineered TIL cell therapies and illustrates the potential opportunities to expand access and improve outcomes. </w:t>
      </w:r>
    </w:p>
    <w:p>
      <w:pPr>
        <w:pStyle w:val="TextBody"/>
        <w:bidi w:val="0"/>
        <w:spacing w:before="360" w:after="0"/>
        <w:jc w:val="left"/>
        <w:rPr>
          <w:rFonts w:ascii="Times New Roman" w:hAnsi="Times New Roman"/>
          <w:b/>
          <w:sz w:val="20"/>
        </w:rPr>
      </w:pPr>
      <w:r>
        <w:rPr>
          <w:rFonts w:ascii="Times New Roman" w:hAnsi="Times New Roman"/>
          <w:b/>
          <w:sz w:val="20"/>
        </w:rPr>
        <w:t xml:space="preserve">Figure 3. Manufacturing process of non-engineered TIL cell therapies.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0" cy="24669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0"/>
                    <a:stretch>
                      <a:fillRect/>
                    </a:stretch>
                  </pic:blipFill>
                  <pic:spPr bwMode="auto">
                    <a:xfrm>
                      <a:off x="0" y="0"/>
                      <a:ext cx="5734050" cy="2466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manufacturing process can be divided into five stages, as summarized in Figure 4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Tissue acquisition.</w:t>
            </w:r>
            <w:r>
              <w:rPr>
                <w:rFonts w:ascii="Times New Roman" w:hAnsi="Times New Roman"/>
                <w:sz w:val="20"/>
              </w:rPr>
              <w:t xml:space="preserve"> OBX-115 is a patient-specific product that requires isolation of TIL from a patient’s tumor. We have used tumor tissue, both from surgical resections or from minimally invasive core needle biopsies to manufacture OBX-115 in our clinical trials with no differential impact on cell dose or product phenotype. An advantage of core needle biopsies is that they can typically be obtained in an interventional radiology procedure under local anesthesia, which is faster than surgical excision. Surgical procedures may delay treatment by several weeks due to the need to coordinate schedules with a surgeon, anesthesiologist and operating room.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Pre-REP.</w:t>
            </w:r>
            <w:r>
              <w:rPr>
                <w:rFonts w:ascii="Times New Roman" w:hAnsi="Times New Roman"/>
                <w:sz w:val="20"/>
              </w:rPr>
              <w:t xml:space="preserve"> In Pre-REP stage, we isolate the TIL from the tissue sample and treat them with an antibody that serves as an agonist for 4-1BB. This process optimization has been shown to increase TIL expansion, enrich for putative tumor-specific clones and enhance antitumor cytotoxicity.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Activation and transduction. </w:t>
            </w:r>
            <w:r>
              <w:rPr>
                <w:rFonts w:ascii="Times New Roman" w:hAnsi="Times New Roman"/>
                <w:sz w:val="20"/>
              </w:rPr>
              <w:t xml:space="preserve">We transduce the patient’s TIL with a genetically inactivated viral vector containing our CA2-mbIL15 construct and activate them using a CD3 antibody.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REP. </w:t>
            </w:r>
            <w:r>
              <w:rPr>
                <w:rFonts w:ascii="Times New Roman" w:hAnsi="Times New Roman"/>
                <w:sz w:val="20"/>
              </w:rPr>
              <w:t xml:space="preserve">The expansion stage of TIL cell therapy manufacturing process typically involves two components: IL2 and feeder cells. We do not use IL2 in this stage to generate OBX-115 and instead induce expression of our mbIL15 construct using ACZ. Also, whereas the feeder cells used to generate other TIL cell therapies consist of irradiated allogeneic peripheral blood mononuclear cells, or PBMCs, from healthy donors, OBX-115 is manufactured using an irradiated engineered cell line that expresses both IL21 and 4-1BB ligand, or iFeeder cells, and use of this cell line improves our ability to expand TIL to generate OBX-115 with a more favorable phenotype while reducing the cost and variability associated with using donor PBMCs. These REP process modifications drive further amplification of the CD8+ memory rich T cell phenotype.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Cryopreservation. </w:t>
            </w:r>
            <w:r>
              <w:rPr>
                <w:rFonts w:ascii="Times New Roman" w:hAnsi="Times New Roman"/>
                <w:sz w:val="20"/>
              </w:rPr>
              <w:t xml:space="preserve">Through optimization of our processes, we are able to cryopreserve OBX-115 while maintaining potency. This provides us with the ability to ship our finished drug product from central manufacturing facilities to treatment centers. </w:t>
            </w:r>
          </w:p>
        </w:tc>
      </w:tr>
    </w:tbl>
    <w:p>
      <w:pPr>
        <w:pStyle w:val="TextBody"/>
        <w:bidi w:val="0"/>
        <w:spacing w:before="360" w:after="0"/>
        <w:jc w:val="left"/>
        <w:rPr>
          <w:rFonts w:ascii="Times New Roman" w:hAnsi="Times New Roman"/>
          <w:sz w:val="20"/>
        </w:rPr>
      </w:pPr>
      <w:r>
        <w:rPr>
          <w:rFonts w:ascii="Times New Roman" w:hAnsi="Times New Roman"/>
          <w:b/>
          <w:sz w:val="20"/>
        </w:rPr>
        <w:t>Figure 4. Overview of the OBX-115</w:t>
      </w:r>
      <w:r>
        <w:rPr>
          <w:rFonts w:ascii="Times New Roman" w:hAnsi="Times New Roman"/>
          <w:sz w:val="20"/>
        </w:rPr>
        <w:t> </w:t>
      </w:r>
      <w:r>
        <w:rPr>
          <w:rFonts w:ascii="Times New Roman" w:hAnsi="Times New Roman"/>
          <w:b/>
          <w:i/>
          <w:sz w:val="20"/>
        </w:rPr>
        <w:t>ex vivo</w:t>
      </w:r>
      <w:r>
        <w:rPr>
          <w:rFonts w:ascii="Times New Roman" w:hAnsi="Times New Roman"/>
          <w:sz w:val="20"/>
        </w:rPr>
        <w:t xml:space="preserve"> </w:t>
      </w:r>
      <w:r>
        <w:rPr>
          <w:rFonts w:ascii="Times New Roman" w:hAnsi="Times New Roman"/>
          <w:b/>
          <w:sz w:val="20"/>
        </w:rPr>
        <w:t xml:space="preserve">manufacturing stages.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924300" cy="20288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1"/>
                    <a:stretch>
                      <a:fillRect/>
                    </a:stretch>
                  </pic:blipFill>
                  <pic:spPr bwMode="auto">
                    <a:xfrm>
                      <a:off x="0" y="0"/>
                      <a:ext cx="3924300" cy="20288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Anti-CD3 Ab; retroviral vector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Melanoma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Melanoma is the fifth most common malignancy in the United States and the most lethal form of skin cancer. The National Cancer Institute estimates that there were approximately 105,000 diagnoses of melanoma and approximately 8,500 deaths from melanoma in the United States in 2025. While most patients diagnosed with localized melanoma have an excellent prognosis, advanced melanoma is associated with widespread metastasis and has a five-year survival rate of only 34.6%.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primary risk factor for developing melanoma is exposure to ultraviolet light, including sunlight and tanning beds. Ultraviolet light and other environmental insults can cause DNA damage, which in turn leads to an increased rate of mutations. Melanoma is one of the most highly mutated cancers. It has frequent driver mutations, such as mutations in the gene for BRAF, that directly contribute to tumorigenesis, as well as a wide array of passenger mutations, which accumulate but do not directly alter the propensity of the tumor to grow or spread. These mutations, both driver and passenger mutations, are a differentiating feature between melanoma cells and healthy cells that have led to the development of a number of therapies. </w:t>
      </w:r>
    </w:p>
    <w:p>
      <w:pPr>
        <w:pStyle w:val="TextBody"/>
        <w:bidi w:val="0"/>
        <w:spacing w:before="240" w:after="0"/>
        <w:jc w:val="left"/>
        <w:rPr>
          <w:rFonts w:ascii="Times New Roman" w:hAnsi="Times New Roman"/>
          <w:sz w:val="20"/>
        </w:rPr>
      </w:pPr>
      <w:r>
        <w:rPr>
          <w:rFonts w:ascii="Times New Roman" w:hAnsi="Times New Roman"/>
          <w:sz w:val="20"/>
        </w:rPr>
        <w:t xml:space="preserve">In patients who are diagnosed early and have few cancerous lesions, surgical excision can lead to long-term cures. In patients with more advanced and metastatic disease, unfortunately, surgical treatment has more limited benefit. Two types of systemic therapies are commonly used to treat these patients: ICIs and inhibitors of the BRAF pathway. Other approved systemic therapies, including combinations that target multiple immune checkpoints, have further expanded options for select patients. </w:t>
      </w:r>
    </w:p>
    <w:p>
      <w:pPr>
        <w:pStyle w:val="TextBody"/>
        <w:bidi w:val="0"/>
        <w:spacing w:before="240" w:after="0"/>
        <w:jc w:val="left"/>
        <w:rPr>
          <w:rFonts w:ascii="Times New Roman" w:hAnsi="Times New Roman"/>
          <w:sz w:val="20"/>
        </w:rPr>
      </w:pPr>
      <w:r>
        <w:rPr>
          <w:rFonts w:ascii="Times New Roman" w:hAnsi="Times New Roman"/>
          <w:sz w:val="20"/>
        </w:rPr>
        <w:t xml:space="preserve">Multiple immunotherapies including inhibitors of the PD-1/PD-L1 and CTLA-4 checkpoints have been approved to treat metastatic melanoma. These groundbreaking therapies have changed the treatment landscape for metastatic melanoma and dramatically improved both response and survival rates for patients. Treatment of patients with previously untreated unresectable melanoma with a combination of nivolumab and ipilimumab had an ORR of 58% and a median OS of 72.1 months. Grade 3/4 treatment-related AEs were reported in roughly 55% of patients, including 41.5% of patients with Grade 3/4 immune-related AEs. </w:t>
      </w:r>
    </w:p>
    <w:p>
      <w:pPr>
        <w:pStyle w:val="TextBody"/>
        <w:bidi w:val="0"/>
        <w:spacing w:before="240" w:after="0"/>
        <w:jc w:val="left"/>
        <w:rPr>
          <w:rFonts w:ascii="Times New Roman" w:hAnsi="Times New Roman"/>
          <w:sz w:val="20"/>
        </w:rPr>
      </w:pPr>
      <w:r>
        <w:rPr>
          <w:rFonts w:ascii="Times New Roman" w:hAnsi="Times New Roman"/>
          <w:sz w:val="20"/>
        </w:rPr>
        <w:t xml:space="preserve">Despite the immense improvement of survival upon ICI therapy, a significant subgroup of metastatic melanoma patients see no tumor response or subsequently lose initial response. Up to 60% of patients treated first-line with PD-1 monotherapy and up to 40% of those treated with PD-1 plus CTLA-4 combination do not respond to ICI treatment. 72% of patients do not respond to second-line CTLA-4 plus ICI combination therapy in the post ICI setting. </w:t>
      </w:r>
    </w:p>
    <w:p>
      <w:pPr>
        <w:pStyle w:val="TextBody"/>
        <w:bidi w:val="0"/>
        <w:spacing w:before="240" w:after="0"/>
        <w:jc w:val="left"/>
        <w:rPr>
          <w:rFonts w:ascii="Times New Roman" w:hAnsi="Times New Roman"/>
          <w:sz w:val="20"/>
        </w:rPr>
      </w:pPr>
      <w:r>
        <w:rPr>
          <w:rFonts w:ascii="Times New Roman" w:hAnsi="Times New Roman"/>
          <w:sz w:val="20"/>
        </w:rPr>
        <w:t xml:space="preserve">Approximately half of cutaneous melanomas have a mutation in the BRAF gene resulting in constitutive or always-on BRAF activity, which in turn promotes cancer cell proliferation. Treatment with inhibitors of BRAF has been shown to lead to an OS rate of about 70% at one year. Combination therapy using a BRAF inhibitor and a MEK inhibitor provides additional suppression of BRAF signaling and delays the development of resistance resulting in a slight increase in OS to about 75% at one year. However, responses to BRAF and MEK inhibitors have limited durability because resistance typically develops at around twelve months post-treatment. </w:t>
      </w:r>
    </w:p>
    <w:p>
      <w:pPr>
        <w:pStyle w:val="TextBody"/>
        <w:bidi w:val="0"/>
        <w:spacing w:before="240" w:after="0"/>
        <w:jc w:val="left"/>
        <w:rPr>
          <w:rFonts w:ascii="Times New Roman" w:hAnsi="Times New Roman"/>
          <w:sz w:val="20"/>
        </w:rPr>
      </w:pPr>
      <w:r>
        <w:rPr>
          <w:rFonts w:ascii="Times New Roman" w:hAnsi="Times New Roman"/>
          <w:sz w:val="20"/>
        </w:rPr>
        <w:t xml:space="preserve">Until recently, there was no FDA-approved therapy for patients with melanoma who are refractory to or have relapsed following treatments such as ICI and BRAF inhibitors. In 2024, Amtagvi, the first FDA-approved TIL cell therapy, received accelerated approval for the treatment of these patients. The ORR in a single-arm open-label trial of Amtagvi in 73 patients was 31.5%. Non-engineered TIL, including Amtagvi, have multiple safety and logistical challenges, including regimen complexity and inpatient resource utilization, that impact broader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NSCLC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Globally, an estimated 1.8 million people die of lung cancer each year. It is the leading cause of cancer-related death, accounting for approximately 18% of all cancer deaths. There were an estimated 227,000 new cases of lung cancer diagnosed and 125,000 deaths in the United States in 2025. NSCLC is the most common subtype of lung cancer, accounting for approximately 80 to 85% of lung cancers. The treatment paradigm for NSCLC has significantly changed over the past few years. Previously patients were primarily treated with radiation therapy or combinations of cytotoxic drugs. Recent developments have led to the emergence of targeted therapies based on alteration in the genes for epidermal growth factor receptor, or EGFR, and anaplastic lymphoma kinase gene, or ALK, and ICI for those without actionable gene mutations.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introduction of ICI, the five-year OS rate for patients with metastatic NSCLC was approximately 5%. Current standard of care front-line treatment for patients with metastatic NSCLC and no targetable mutations consists of ICI therapy alone or in combination platinum-based chemotherapy with ICI with or without anti-angiogenic therapy; however, response rates are at between 48% to 58% based on histologic subtype. Even if achieved, responses are generally short-lived, and durable responses are relatively uncommon. Standard treatment after progression on ICI-based treatment typically entails single-agent chemotherapies, which have modest response rates (approximately 16%), and are typically not durable (median progression free survival, 2.9 months). An unmet need thus continues to exist for patients with metastatic NSCLC without actionable mutations whose disease is relapsed or refractory to ICI-based treatments. Similarly, in the case of patients with targetable mutations, the unmet need is for effective and safe therapy after the mutation targeted agents are no longer effective. </w:t>
      </w:r>
    </w:p>
    <w:p>
      <w:pPr>
        <w:pStyle w:val="TextBody"/>
        <w:bidi w:val="0"/>
        <w:spacing w:before="360" w:after="0"/>
        <w:jc w:val="left"/>
        <w:rPr>
          <w:rFonts w:ascii="Times New Roman" w:hAnsi="Times New Roman"/>
          <w:b/>
          <w:i/>
          <w:sz w:val="20"/>
        </w:rPr>
      </w:pPr>
      <w:r>
        <w:rPr>
          <w:rFonts w:ascii="Times New Roman" w:hAnsi="Times New Roman"/>
          <w:b/>
          <w:i/>
          <w:sz w:val="20"/>
        </w:rPr>
        <w:t>Clinical Trials with OBX-115</w:t>
      </w:r>
    </w:p>
    <w:p>
      <w:pPr>
        <w:pStyle w:val="TextBody"/>
        <w:bidi w:val="0"/>
        <w:spacing w:before="120" w:after="0"/>
        <w:jc w:val="left"/>
        <w:rPr>
          <w:rFonts w:ascii="Times New Roman" w:hAnsi="Times New Roman"/>
          <w:sz w:val="20"/>
        </w:rPr>
      </w:pPr>
      <w:r>
        <w:rPr>
          <w:rFonts w:ascii="Times New Roman" w:hAnsi="Times New Roman"/>
          <w:sz w:val="20"/>
        </w:rPr>
        <w:t xml:space="preserve">We are conducting Agni-01, an ongoing, multicenter Phase 1/2 clinical study evaluating cryopreserved OBX-115 in patients with advanced solid tumors, including melanoma and NSCLC. In melanoma, dose optimization has established our recommended Phase 2 dose with encouraging antitumor activity observed in patients, and Phase 2 enrollment is ongoing to support a potential registrational path. In NSCLC, dose escalation through dose level three, or DL3, has been completed, with continued regimen optimization underway to inform a Phase 2 study. Collectively, our results to date demonstrate clinical activity supporting continued advancement of OBX-115 in melanoma and NSCLC.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Clinical antitumor activity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OBX-115 was first tested in the clinic in a first-in-human Phase 1 trial initially with fresh non-cryopreserved (n=8) and then cryopreserved (n=9) OBX-115 product at The University of Texas M.D. Anderson Cancer Center. This study treated 17 patients with advanced melanoma who had relapsed or who were refractory to ICI therapy. After lymphodepletion, patients received a single intravenous infusion of OBX-115 followed by oral treatment(s) with ACZ to drive the expression of mbIL15 using our cytoDRiVE technology. The Phase 1 trial was designed to optimize the cell dose cap of OBX-115 as well as the dosing regimen of ACZ. The primary and secondary endpoints for this trial were safety and tolerability of OBX-115 and investigator-assessed preliminary efficacy, respectively. and both endpoints were met Despite the exploratory nature of this trial, an ORR of 40%, including two CRs, was observed in the first ten evaluable patients, providing strong evidence of the antitumor potential of OBX-115. The safety profile indicated no DLTs or Grade 4 nonhematologic treatment related adverse events and three Grade 3 nonhematologic treatment-emergent adverse events in two patients (abdominal pain, ALT elevation, syncope) and no substantive difference between fresh and cryopreserved products. </w:t>
      </w:r>
    </w:p>
    <w:p>
      <w:pPr>
        <w:pStyle w:val="TextBody"/>
        <w:bidi w:val="0"/>
        <w:spacing w:before="240" w:after="0"/>
        <w:jc w:val="left"/>
        <w:rPr>
          <w:rFonts w:ascii="Times New Roman" w:hAnsi="Times New Roman"/>
          <w:sz w:val="20"/>
        </w:rPr>
      </w:pPr>
      <w:r>
        <w:rPr>
          <w:rFonts w:ascii="Times New Roman" w:hAnsi="Times New Roman"/>
          <w:sz w:val="20"/>
        </w:rPr>
        <w:t xml:space="preserve">We then initiated Agni-01, a multicenter, Company-sponsored Phase 1/2 trial of cryopreserved OBX-115 in patients with treatment relapsed or refractory advanced melanoma. We identified three parameters to further optimize in the Phase 1 portion of this trial: the maximal number of OBX-115 cells to be infused; the daily and cumulative dose of ACZ; and the dosing schedule for ACZ. As shown in Figure 5 below, in the DL1 cohort which consisted of three patients, OBX-115 dose was capped at 30 × 109 cells and ACZ 250 mg daily for up to 14 days. In DL2, which consisted of two patients, OBX-115 dose was capped at 100 × 109 cells and ACZ 250 mg daily for up to 14 days. DL3, which consisted of 15 patients across the Phase 1 and Phase 2 arms, targeted OBX-115 dose cap of 100 × 109 cells and ACZ 500 mg daily for two 7-day periods (Week 1 and Week 3), separated by a 7-day break with no ACZ. Patients in DL3 received 7 days of ACZ at 6-week intervals starting approximately at week 5-6. In addition, for patients in DL1, DL2 and DL3, protocol guided treatment consisted of additional 7-day periods of ACZ at 6 week intervals starting approximately weeks 5 to 6. DL3 was found to lead to maximal TIL expansion in patients while minimizing toxicities and was chosen as the recommended Phase 2 dose, or RP2D.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5. Design of the Agni-01 Phase 1/2 trial in melanoma.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3875" cy="2333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2"/>
                    <a:stretch>
                      <a:fillRect/>
                    </a:stretch>
                  </pic:blipFill>
                  <pic:spPr bwMode="auto">
                    <a:xfrm>
                      <a:off x="0" y="0"/>
                      <a:ext cx="4333875" cy="2333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Ten of the fifteen patients treated with DL3 / RP2D dosing achieved either a complete (n=2) or partial response (n=8), resulting in an ORR of 67%. We believe that the demonstrated frequency of antitumor responses observed to date with OBX-115 is attributable to both our mbIL15 cytoDRiVE engineering and our differentiated manufacturing processes. </w:t>
      </w:r>
    </w:p>
    <w:p>
      <w:pPr>
        <w:pStyle w:val="TextBody"/>
        <w:bidi w:val="0"/>
        <w:spacing w:before="240" w:after="0"/>
        <w:jc w:val="left"/>
        <w:rPr>
          <w:rFonts w:ascii="Times New Roman" w:hAnsi="Times New Roman"/>
          <w:sz w:val="20"/>
        </w:rPr>
      </w:pPr>
      <w:r>
        <w:rPr>
          <w:rFonts w:ascii="Times New Roman" w:hAnsi="Times New Roman"/>
          <w:sz w:val="20"/>
        </w:rPr>
        <w:t xml:space="preserve">OBX-115 treatment was associated with significant antitumor activity across these 15 patients with ongoing responses in eight patients as of January 22, 2026 (~18 weeks median follow-up). Of note, robust antitumor activity was observed using OBX-115 created from surgical resections as well as from core needle biopsies independent of the anatomic site of tumor procurement or doses manufactured and infused. We believe that the ability to use core needle biopsies for patients as the source of their TIL provides the opportunity to significantly shorten the time from the decision of the clinician to treat with OBX-115 to the ability to deliver the manufactured product to patients. We believe core needle biopsies will further enhance adoption and improve patient outcomes with increased operational efficiency relative to approaches that typically rely on surgical tumor resection. Our optimized regimen enables outpatient administration of low dose lymphodepletion. All the melanoma patients treated with OBX-115 at the RP2D had four-day low dose lymphodepletion regimen consisting of cyclophosphamide 750 mg/m2/day for three days and Fludarabine 30 mg/m2/day for four days. On average, this lymphodepletion regimen represents an approximate 50% reduction in cyclophosphamide dose.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 Agni-01 trial is currently evaluating the potential of various dosing regimens of OBX-115 in both melanoma and NSCLC as summarized in Figure 6 below. In our NSCLC cohort, one patient received OBX-115 at DL1, one patient at DL2 and four patients at DL3. The patients treated at DL3 could not tolerate similar ACZ dosing intensity as in melanoma DL3 patients due to inflammatory pulmonary toxicity or pneumonitis leading to ACZ withdrawal. We addressed this issue by introducing an intermediate cell dose cap of 60 billion cells. At this dose cap, the tolerability issues due to ACZ were alleviated. In addition, we have augmented the extended ACZ redosing regimen and dosed patients with ACZ for seven days every other week after week three. By contrast, in the melanoma DL3 cohort, ACZ was administered every six weeks beyond week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6. Melanoma and NSCLC patient dosing in the Agni-01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229225" cy="326707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3"/>
                    <a:stretch>
                      <a:fillRect/>
                    </a:stretch>
                  </pic:blipFill>
                  <pic:spPr bwMode="auto">
                    <a:xfrm>
                      <a:off x="0" y="0"/>
                      <a:ext cx="5229225" cy="3267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also modified the low-dose lymphodepletion regimen used with OBX-115 in NSCLC to include a single dose of gemcitabine which enables a further 66% reduction in cyclophosphamide dose as compared to the current low dose lymphodepletion with the intent of improving tolerability. Optimization of dosing and treatment regimen are still under investigation in NSCLC. </w:t>
      </w:r>
    </w:p>
    <w:p>
      <w:pPr>
        <w:pStyle w:val="TextBody"/>
        <w:bidi w:val="0"/>
        <w:spacing w:before="240" w:after="0"/>
        <w:jc w:val="left"/>
        <w:rPr>
          <w:rFonts w:ascii="Times New Roman" w:hAnsi="Times New Roman"/>
          <w:sz w:val="20"/>
        </w:rPr>
      </w:pPr>
      <w:r>
        <w:rPr>
          <w:rFonts w:ascii="Times New Roman" w:hAnsi="Times New Roman"/>
          <w:sz w:val="20"/>
        </w:rPr>
        <w:t xml:space="preserve">Of the six efficacy evaluable patients across both DL3 regimens shown in Figure 7 below, there were two cases where rapid tumor shrinkage was observed by week six. In patient 43L (DL3 intermediate cell dose cap), levels of circulating tumor DNA, or ctDNA, were undetectable on day 14 and day 42. Three patients who received an intermediate cell dose of OBX-115 did not require prolonged corticosteroid dosing for inflammatory adverse events, they demonstrated lymphocyte expansion in peripheral blood and were able to receive augmented longitudinal ACZ redosing.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Figure 7. Initial antitumor activity in NSCLC patients treated with OBX-115.</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306705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4"/>
                    <a:stretch>
                      <a:fillRect/>
                    </a:stretch>
                  </pic:blipFill>
                  <pic:spPr bwMode="auto">
                    <a:xfrm>
                      <a:off x="0" y="0"/>
                      <a:ext cx="5762625" cy="30670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Safety and tolerability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In all trials observed to date, OBX-115 was generally well-tolerated with no TRM, DLTs or discontinuation due to AEs. In addition, no cases of immune effector-cell associated neurotoxicity syndromes, or ICANS, or capillary leak syndromes have been observed. The most frequently reported events are consistent with the reversible myelosuppression expected with lymphodepletion or electrolyte abnormalities secondary to the known diuretic effect of ACZ, all of which were managed with standard of care supportive measures. Adverse events considered specifically associated with OBX-115 were predominantly low-grade and responsive to protocol-guided ACZ interruption, dose adjustment, or with supportive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In ten Phase 1 NSCLC patients infused with OBX-115, there was no TRM. Expected differences from melanoma were consistent with disease pathophysiology and co-morbidities associated with lung cancer. Consistent with the underlying pulmonary comorbidities, the primary distinction was Grade ≥3 pneumonitis, occurring in three patients (30%), with all cases resolving prior to discharge. One subject in DL3 experienced Grade 3 ICANS, which resolved to baseline following protocol directed management. Grade 3 cytokine release syndrome, or CRS, was observed in four patients (40%). Additional frequent or severe adverse events were aligned with reversible lymphodepletion-related myelosuppression or laboratory changes attributable to the known diuretic effects of ACZ.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Established AE Profile of Non-engineered TIL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The Amtagvi label carries a boxed warning for multiple serious risks, including a 7.5% rate of TRM, prolonged severe cytopenia, internal organ hemorrhage, and severe infections. Amtagvi requires the use of high dose IL2, which has been associated with risks including capillary leak syndrome and neurologic toxicities. Capillary leak syndrome occurred in 13.5% and encephalopathy in 17.3% of Amtagvi treated patients. During Amtagvi’s registrational clinical trial,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 </w:t>
      </w:r>
    </w:p>
    <w:p>
      <w:pPr>
        <w:pStyle w:val="TextBody"/>
        <w:bidi w:val="0"/>
        <w:spacing w:before="36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 largest dataset on non-engineered TIL safety in NSCLC comes from the FDA’s review of 59 patients treated with the lifileucel regimen (as part of the Amtagvi BLA assessment). Grade ≥4 respiratory disorders occurred more frequently in NSCLC than in melanoma cohorts (15.3% vs. 6.9%). In addition, about 12% of NSCLC patients died from respiratory complications within 30 days of starting treatment. Two additional patients died of hemophagocytic lymphohistiocytosis. Other notable adverse events included febrile neutropenia (28.8%) and dyspnea (52.5%).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Pharmacodynamic evidence for the role of mbIL15 in OBX-115 treatment </w:t>
      </w:r>
    </w:p>
    <w:p>
      <w:pPr>
        <w:pStyle w:val="TextBody"/>
        <w:bidi w:val="0"/>
        <w:spacing w:before="120" w:after="0"/>
        <w:jc w:val="left"/>
        <w:rPr>
          <w:rFonts w:ascii="Times New Roman" w:hAnsi="Times New Roman"/>
          <w:sz w:val="20"/>
        </w:rPr>
      </w:pPr>
      <w:r>
        <w:rPr>
          <w:rFonts w:ascii="Times New Roman" w:hAnsi="Times New Roman"/>
          <w:sz w:val="20"/>
        </w:rPr>
        <w:t xml:space="preserve">The pharmacodynamic features of OBX-115, including the nature of mbIL15 that limits shedding to avoid systemic exposure, and the regulatable nature of mbIL15 due to the optimized ACZ dose and schedule drives the early expansion and persistence of OBX-115 in patients after infusion, and may potentially explain the favorable AE profile. </w:t>
      </w:r>
    </w:p>
    <w:p>
      <w:pPr>
        <w:pStyle w:val="TextBody"/>
        <w:bidi w:val="0"/>
        <w:spacing w:before="240" w:after="0"/>
        <w:jc w:val="left"/>
        <w:rPr>
          <w:rFonts w:ascii="Times New Roman" w:hAnsi="Times New Roman"/>
          <w:sz w:val="20"/>
        </w:rPr>
      </w:pPr>
      <w:r>
        <w:rPr>
          <w:rFonts w:ascii="Times New Roman" w:hAnsi="Times New Roman"/>
          <w:sz w:val="20"/>
        </w:rPr>
        <w:t xml:space="preserve">OBX-115 is designed to express mbIL15 using our cytoDRiVE drug-regulated expression technology, which we believe is a key aspect of our safety and tolerability profile. Levels of soluble IL15 were elevated at the time of OBX-115 administration as expected due to lymphodepletion and persisted for the subsequent several days. As shown in the left panel in Figure 8, each line in the graphic is representative of a patient with melanoma, the presence of elevated levels of IL15 in plasma at the time of the first administration of OBX-115 and ACZ is consistent with its induction as a response to lymphodepletion. There was no correlation between activation of mbIL15 expression with ACZ and levels of IL15 in plasma. One of the benefits of lymphodepletion before administration of TIL cell therapy is the reduction in immune suppressor cells which have the potential to counteract the TIL antitumor activity. Another factor that contributes to the importance of lymphodepletion to the success of immune cell therapies is a surge in cytokines, in particular IL15 that occurs in response to immune activation caused by lymphodepletion-related cell death. There was no evidence that mbIL15 expression contributed to IL15 in plasma. </w:t>
      </w:r>
    </w:p>
    <w:p>
      <w:pPr>
        <w:pStyle w:val="TextBody"/>
        <w:bidi w:val="0"/>
        <w:spacing w:before="240" w:after="0"/>
        <w:jc w:val="left"/>
        <w:rPr>
          <w:rFonts w:ascii="Times New Roman" w:hAnsi="Times New Roman"/>
          <w:b/>
          <w:sz w:val="20"/>
        </w:rPr>
      </w:pPr>
      <w:r>
        <w:rPr>
          <w:rFonts w:ascii="Times New Roman" w:hAnsi="Times New Roman"/>
          <w:b/>
          <w:sz w:val="20"/>
        </w:rPr>
        <w:t xml:space="preserve">Figure 8. In patients with melanoma, treatment with OBX-115 and ACZ does not lead to an increase in IL15 levels in plasma (left panel), and OBX-115 at RP2D persisted in peripheral blood for 42 days (right panel).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785620"/>
                <wp:effectExtent l="0" t="0" r="0" b="0"/>
                <wp:wrapSquare wrapText="right"/>
                <wp:docPr id="15" name="Frame4"/>
                <a:graphic xmlns:a="http://schemas.openxmlformats.org/drawingml/2006/main">
                  <a:graphicData uri="http://schemas.microsoft.com/office/word/2010/wordprocessingShape">
                    <wps:wsp>
                      <wps:cNvSpPr txBox="1"/>
                      <wps:spPr>
                        <a:xfrm>
                          <a:off x="0" y="0"/>
                          <a:ext cx="3175000" cy="1785620"/>
                        </a:xfrm>
                        <a:prstGeom prst="rect"/>
                        <a:solidFill>
                          <a:srgbClr val="FFFFFF"/>
                        </a:solidFill>
                      </wps:spPr>
                      <wps:txbx>
                        <w:txbxContent>
                          <w:p>
                            <w:pPr>
                              <w:pStyle w:val="TextBody"/>
                              <w:bidi w:val="0"/>
                              <w:spacing w:before="0" w:after="0"/>
                              <w:jc w:val="center"/>
                              <w:rPr/>
                            </w:pPr>
                            <w:r>
                              <w:rPr/>
                              <w:drawing>
                                <wp:inline distT="0" distB="0" distL="0" distR="0">
                                  <wp:extent cx="2352675" cy="17526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352675" cy="175260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40.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2352675" cy="17526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6"/>
                                    <a:stretch>
                                      <a:fillRect/>
                                    </a:stretch>
                                  </pic:blipFill>
                                  <pic:spPr bwMode="auto">
                                    <a:xfrm>
                                      <a:off x="0" y="0"/>
                                      <a:ext cx="2352675" cy="17526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1922780"/>
                <wp:effectExtent l="0" t="0" r="0" b="0"/>
                <wp:wrapSquare wrapText="right"/>
                <wp:docPr id="18" name="Frame3"/>
                <a:graphic xmlns:a="http://schemas.openxmlformats.org/drawingml/2006/main">
                  <a:graphicData uri="http://schemas.microsoft.com/office/word/2010/wordprocessingShape">
                    <wps:wsp>
                      <wps:cNvSpPr txBox="1"/>
                      <wps:spPr>
                        <a:xfrm>
                          <a:off x="0" y="0"/>
                          <a:ext cx="3110230" cy="1922780"/>
                        </a:xfrm>
                        <a:prstGeom prst="rect"/>
                        <a:solidFill>
                          <a:srgbClr val="FFFFFF"/>
                        </a:solidFill>
                      </wps:spPr>
                      <wps:txbx>
                        <w:txbxContent>
                          <w:p>
                            <w:pPr>
                              <w:pStyle w:val="TextBody"/>
                              <w:bidi w:val="0"/>
                              <w:spacing w:before="0" w:after="0"/>
                              <w:jc w:val="center"/>
                              <w:rPr/>
                            </w:pPr>
                            <w:r>
                              <w:rPr/>
                              <w:drawing>
                                <wp:inline distT="0" distB="0" distL="0" distR="0">
                                  <wp:extent cx="3076575" cy="17145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7"/>
                                          <a:stretch>
                                            <a:fillRect/>
                                          </a:stretch>
                                        </pic:blipFill>
                                        <pic:spPr bwMode="auto">
                                          <a:xfrm>
                                            <a:off x="0" y="0"/>
                                            <a:ext cx="3076575" cy="1714500"/>
                                          </a:xfrm>
                                          <a:prstGeom prst="rect">
                                            <a:avLst/>
                                          </a:prstGeom>
                                        </pic:spPr>
                                      </pic:pic>
                                    </a:graphicData>
                                  </a:graphic>
                                </wp:inline>
                              </w:drawing>
                            </w:r>
                            <w:r>
                              <w:rPr/>
                              <w:t xml:space="preserve"> </w:t>
                            </w:r>
                          </w:p>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1.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center"/>
                        <w:rPr/>
                      </w:pPr>
                      <w:r>
                        <w:rPr/>
                        <w:drawing>
                          <wp:inline distT="0" distB="0" distL="0" distR="0">
                            <wp:extent cx="3076575" cy="1714500"/>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8"/>
                                    <a:stretch>
                                      <a:fillRect/>
                                    </a:stretch>
                                  </pic:blipFill>
                                  <pic:spPr bwMode="auto">
                                    <a:xfrm>
                                      <a:off x="0" y="0"/>
                                      <a:ext cx="3076575" cy="1714500"/>
                                    </a:xfrm>
                                    <a:prstGeom prst="rect">
                                      <a:avLst/>
                                    </a:prstGeom>
                                  </pic:spPr>
                                </pic:pic>
                              </a:graphicData>
                            </a:graphic>
                          </wp:inline>
                        </w:drawing>
                      </w:r>
                      <w:r>
                        <w:rPr/>
                        <w:t xml:space="preserve"> </w:t>
                      </w:r>
                    </w:p>
                    <w:p>
                      <w:pPr>
                        <w:pStyle w:val="TextBody"/>
                        <w:bidi w:val="0"/>
                        <w:spacing w:before="0" w:after="0"/>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shown in the right panel in Figure 8, we observed that the persistence of OBX-115 in peripheral blood was higher using the RP2D dosing regimen in which the two initial seven day periods of ACZ were separated by a week. This dosing regimen enabled a higher overall dose of ACZ to be delivered, which was better tolerated than the continuous two-week dosing regimens in DL1 and DL2. These results demonstrate the regulated expression of mbIL15 using our cytoDRiVE technology without causing high systemic plasma IL15 levels after OBX-115 infusion and ACZ administration. Consistent with the longer persistence of OBX-115, we observed higher antitumor activity in patients with melanoma who received the RP2D dose than DL1 or DL2. </w:t>
      </w:r>
    </w:p>
    <w:p>
      <w:pPr>
        <w:pStyle w:val="TextBody"/>
        <w:bidi w:val="0"/>
        <w:spacing w:before="240" w:after="0"/>
        <w:jc w:val="left"/>
        <w:rPr>
          <w:rFonts w:ascii="Times New Roman" w:hAnsi="Times New Roman"/>
          <w:sz w:val="20"/>
        </w:rPr>
      </w:pPr>
      <w:r>
        <w:rPr>
          <w:rFonts w:ascii="Times New Roman" w:hAnsi="Times New Roman"/>
          <w:sz w:val="20"/>
        </w:rPr>
        <w:t xml:space="preserve">As shown in Figure 9 below, patients with melanoma dosed with OBX-115 and then treated with two seven-day periods of ACZ separated by a week of no treatment did not experience elevations in serum levels of IL6, a cytokine that serves as a biomarker of classical CRS caused by other immunotherapies. Therefore, the treatment of CRS occurring with OBX-115 is different than those occurring with CAR-T therapies and with T-cell engagers, and does not warrant the use of tocilizumab. Treatment may involve transient interruption in ACZ dosing and/or short course of corticosteroids as guided by the protocol. </w:t>
      </w:r>
    </w:p>
    <w:p>
      <w:pPr>
        <w:pStyle w:val="TextBody"/>
        <w:bidi w:val="0"/>
        <w:spacing w:before="240" w:after="0"/>
        <w:jc w:val="left"/>
        <w:rPr>
          <w:rFonts w:ascii="Times New Roman" w:hAnsi="Times New Roman"/>
          <w:b/>
          <w:sz w:val="20"/>
        </w:rPr>
      </w:pPr>
      <w:r>
        <w:rPr>
          <w:rFonts w:ascii="Times New Roman" w:hAnsi="Times New Roman"/>
          <w:b/>
          <w:sz w:val="20"/>
        </w:rPr>
        <w:t xml:space="preserve">Figure 9. In patients with melanoma, treatment with OBX-115 and ACZ does not lead to an increase in IL6 levels in plasma.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160020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9"/>
                    <a:stretch>
                      <a:fillRect/>
                    </a:stretch>
                  </pic:blipFill>
                  <pic:spPr bwMode="auto">
                    <a:xfrm>
                      <a:off x="0" y="0"/>
                      <a:ext cx="3657600" cy="16002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Clinical Development Strategy for OBX-115</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We plan to initiate our registration-enabling study in second-line advanced melanoma in support of an accelerated approval in mid-2026, with a potential regulatory filing as early as 2028. </w:t>
      </w:r>
    </w:p>
    <w:p>
      <w:pPr>
        <w:pStyle w:val="TextBody"/>
        <w:bidi w:val="0"/>
        <w:spacing w:before="240" w:after="0"/>
        <w:jc w:val="left"/>
        <w:rPr>
          <w:rFonts w:ascii="Times New Roman" w:hAnsi="Times New Roman"/>
          <w:sz w:val="20"/>
        </w:rPr>
      </w:pPr>
      <w:r>
        <w:rPr>
          <w:rFonts w:ascii="Times New Roman" w:hAnsi="Times New Roman"/>
          <w:sz w:val="20"/>
        </w:rPr>
        <w:t xml:space="preserve">Based on our RMAT designation and Iovance’s precedent with Amtagvi, as well as the data we have generated in our ongoing Phase 2 trial, we believe that a convincing argument could be made for the FDA to set us on a path toward potential accelerated approval of OBX-115 in advanced melanoma.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We plan to enroll approximately 100 patients in a registration-enabling cohort in the existing multicenter study in melanoma and expect data from this trial by year-end 2027. The registration-enabling cohort will be a single-arm open label study in patients with advanced melanoma progressing after immune checkpoint inhibitor-based therapy with blinded independent reviewer assessed ORR as the primary endpoint. Secondary endpoints include safety, duration of response (DOR), progression-free survival (PFS) and overall survival (OS). </w:t>
      </w:r>
    </w:p>
    <w:p>
      <w:pPr>
        <w:pStyle w:val="TextBody"/>
        <w:bidi w:val="0"/>
        <w:spacing w:before="240" w:after="0"/>
        <w:jc w:val="left"/>
        <w:rPr>
          <w:rFonts w:ascii="Times New Roman" w:hAnsi="Times New Roman"/>
          <w:sz w:val="20"/>
        </w:rPr>
      </w:pPr>
      <w:r>
        <w:rPr>
          <w:rFonts w:ascii="Times New Roman" w:hAnsi="Times New Roman"/>
          <w:sz w:val="20"/>
        </w:rPr>
        <w:t xml:space="preserve">Given the tolerability and antitumor activity observed to date in melanoma, we believe that there is potential for OBX-115 to be used as a first-line treatment as well. We intend to evaluate this by enrolling a cohort of patients in this setting in our ongoing Phase 2 melanoma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In NSCLC, we continue to enroll patients in our Phase 1 trial, and we expect additional clinical data to become available in the first half of 2027. Our current trial in NSCLC is focused on patients who have previously been treated with ICI. The primary endpoint is the incidence of dose limiting toxicities, and investigator-assessed ORR is a secondary endpoint.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observed treatment burden of OBX-115 compared to other TIL cell therapies may provide an opportunity to evaluate the potential of OBX-115 earlier in the course of disease.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w:t>
      </w:r>
    </w:p>
    <w:p>
      <w:pPr>
        <w:pStyle w:val="TextBody"/>
        <w:bidi w:val="0"/>
        <w:spacing w:before="120" w:after="0"/>
        <w:jc w:val="left"/>
        <w:rPr>
          <w:rFonts w:ascii="Times New Roman" w:hAnsi="Times New Roman"/>
          <w:i/>
          <w:sz w:val="20"/>
        </w:rPr>
      </w:pPr>
      <w:r>
        <w:rPr>
          <w:rFonts w:ascii="Times New Roman" w:hAnsi="Times New Roman"/>
          <w:i/>
          <w:sz w:val="20"/>
        </w:rPr>
        <w:t xml:space="preserve">Melanoma </w:t>
      </w:r>
    </w:p>
    <w:p>
      <w:pPr>
        <w:pStyle w:val="TextBody"/>
        <w:bidi w:val="0"/>
        <w:spacing w:before="120" w:after="0"/>
        <w:jc w:val="left"/>
        <w:rPr>
          <w:rFonts w:ascii="Times New Roman" w:hAnsi="Times New Roman"/>
          <w:sz w:val="20"/>
        </w:rPr>
      </w:pPr>
      <w:r>
        <w:rPr>
          <w:rFonts w:ascii="Times New Roman" w:hAnsi="Times New Roman"/>
          <w:sz w:val="20"/>
        </w:rPr>
        <w:t xml:space="preserve">Advanced melanoma remains a significant driver of mortality despite substantial therapeutic advances. A large fraction of patients treated with frontline ICIs develop primary or acquired resistance to ICIs, resulting in a meaningful pool of patients requiring additional lines of treatment. </w:t>
      </w:r>
    </w:p>
    <w:p>
      <w:pPr>
        <w:pStyle w:val="TextBody"/>
        <w:bidi w:val="0"/>
        <w:spacing w:before="240" w:after="0"/>
        <w:jc w:val="left"/>
        <w:rPr>
          <w:rFonts w:ascii="Times New Roman" w:hAnsi="Times New Roman"/>
          <w:sz w:val="20"/>
        </w:rPr>
      </w:pPr>
      <w:r>
        <w:rPr>
          <w:rFonts w:ascii="Times New Roman" w:hAnsi="Times New Roman"/>
          <w:sz w:val="20"/>
        </w:rPr>
        <w:t xml:space="preserve">Based on market research that we commissioned, we estimate that approximately 10,000 patients in the United States were eligible for second-line treatment of unresectable or metastatic melanoma in 2023. Not all patients in this pool are appropriate candidates for cell therapies, and real-world attrition is driven by (i) adequate baseline fitness and health status, (ii) disease progression that allows sufficient time to complete the treatment journey, and (iii) access to a qualified caregiver, resulting in an estimated cell therapy treatable population of approximately 65% of this patient subgroup. Within this cell therapy treatable population, additional factors further narrow eligibility for TIL cell therapies, including ability to tolerate lymphodepletion, feasibility of tumor procurement via surgical resection or core needle biopsy, and clinical stability during the manufacturing and scheduling period. </w:t>
      </w:r>
    </w:p>
    <w:p>
      <w:pPr>
        <w:pStyle w:val="TextBody"/>
        <w:bidi w:val="0"/>
        <w:spacing w:before="240" w:after="0"/>
        <w:jc w:val="left"/>
        <w:rPr>
          <w:rFonts w:ascii="Times New Roman" w:hAnsi="Times New Roman"/>
          <w:sz w:val="20"/>
        </w:rPr>
      </w:pPr>
      <w:r>
        <w:rPr>
          <w:rFonts w:ascii="Times New Roman" w:hAnsi="Times New Roman"/>
          <w:sz w:val="20"/>
        </w:rPr>
        <w:t xml:space="preserve">Currently, an estimated 25% of 2L+ melanoma patients are eligible to receive Amtagvi; however given OBX-115’s potentially differentiated profile we believe we will be able to address around 50% of these same patients. Amtagvi, the only approved TIL cell therapy for patients with unresectable or metastatic melanoma previously treated with an ICI, had an ORR of 31.5%. Meanwhile, we observed a 67% ORR in advanced melanoma with OBX-115. In addition, the antitumor activity of OBX-115 has been associated with a low rate of serious adverse events including no cases of TRM or capillary leak syndrome. We believe the need to use high doses of cyclophosphamide for lymphodepletion and high dose IL2 limits the number of patients who are eligible to receive Amtagvi.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is an opportunity for OBX-115 to deliver significant clinical benefit in the large population of patients who have previously been treated with ICI. The tolerability of OBX-115, as well as the ability to create OBX-115 using core needle biopsies and to deliver an outpatient administration of low-dose lymphodepletion provide the potential to advance our medicine into earlier lines of therapy, an option that is not as readily available for current therapies with significant toxicities and treatment challenges. </w:t>
      </w:r>
    </w:p>
    <w:p>
      <w:pPr>
        <w:pStyle w:val="TextBody"/>
        <w:bidi w:val="0"/>
        <w:spacing w:before="240" w:after="0"/>
        <w:jc w:val="left"/>
        <w:rPr>
          <w:rFonts w:ascii="Times New Roman" w:hAnsi="Times New Roman"/>
          <w:sz w:val="20"/>
        </w:rPr>
      </w:pPr>
      <w:r>
        <w:rPr>
          <w:rFonts w:ascii="Times New Roman" w:hAnsi="Times New Roman"/>
          <w:sz w:val="20"/>
        </w:rPr>
        <w:t xml:space="preserve">A key limitation for cell therapies has been the inability to scale both the manufacturing and the number of clinical sites where the therapy is available. In addition to our current CDMO that is supporting our ongoing clinical trials, using our expertise we collaborate with CDMOs to scale our manufacturing capacity not only for clinical trials but for our subsequent commercialization. We believe these efforts will allow us to provide improved patient and physician experience through reliable treatment delivery and broader site activation. We have learned from the launch of Amtagvi that there is a viable path to bringing TIL cell therapy to market. Iovance has already qualified 85 treatment centers across the United States to treat patients with Amtagvi. By Iovance’s estimate, 95% of addressable patients are within 200 miles of a treatment center qualified to treat patients with TIL cell therapy and there are more than 85 treatment centers as of December 31, 2025. Amtagvi has achieved rapid market access across 250 million covered lives, mostly covered by private payers with 3-week financial turnaround, and recommendation by the National Comprehensive Cancer Network. The expansion of qualified centers and demonstrated commercial uptake indicate that the operational and reimbursement framework for TIL cell therapy delivery is becoming increasingly 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NSCLC </w:t>
      </w:r>
    </w:p>
    <w:p>
      <w:pPr>
        <w:pStyle w:val="TextBody"/>
        <w:bidi w:val="0"/>
        <w:spacing w:before="120" w:after="0"/>
        <w:jc w:val="left"/>
        <w:rPr>
          <w:rFonts w:ascii="Times New Roman" w:hAnsi="Times New Roman"/>
          <w:sz w:val="20"/>
        </w:rPr>
      </w:pPr>
      <w:r>
        <w:rPr>
          <w:rFonts w:ascii="Times New Roman" w:hAnsi="Times New Roman"/>
          <w:sz w:val="20"/>
        </w:rPr>
        <w:t xml:space="preserve">There were an estimated 227,000 new cases of lung cancer diagnosed and 125,000 deaths in the United States in 2025. NSCLC is the most common subtype of lung cancer, accounting for approximately 80 to 85% of those cases. Some patients will progress to the later stages of the disease, and other patients already have locally advanced or metastatic disease at the time of diagnosis. There are approximately 90,000 patients with advanced/metastatic NSCLC per year. Current standard of care front-line treatment for patients with metastatic NSCLC and no targetable mutations consists of single-agent ICI therapy or combination platinum-based chemotherapy with ICI or anti-angiogenic therapy. Most patients receiving ICI therapy do not have durable responses. Standard treatment after progression on ICI-based treatment typically entails single-agent chemotherapies, which have modest response rates (approximately 16%), and are typically not durable (median PFS, 2.9 months). For example, in a randomized Phase 3 trial in previously treated metastatic NSCLC, docetaxel demonstrated an objective response rate of 12.8%. Even incremental improvements in overall response rate and durability of responses could be clinically meaningful, especially relative to first-line treatment responses in other settings like melanoma. There are approximately 36,000 patients who will progress into the second line setting representing a significant unmet need for more efficacious therapies that can deliver durable responses, especially for chemotherapy-free alternatives with superior tolerability. Given the substantially larger incidence, we believe the commercial opportunity in advanced NSCLC is up to 5 times larger than that of advanced melanoma. If approved, we believe we will be able to leverage our manufacturing infrastructure and commercial capabilities, initially from our melanoma program, to drive significant market adoption of OBX-115 for the treatment of NSCLC. </w:t>
      </w:r>
    </w:p>
    <w:p>
      <w:pPr>
        <w:pStyle w:val="TextBody"/>
        <w:bidi w:val="0"/>
        <w:spacing w:before="360" w:after="0"/>
        <w:jc w:val="left"/>
        <w:rPr>
          <w:rFonts w:ascii="Times New Roman" w:hAnsi="Times New Roman"/>
          <w:b/>
          <w:sz w:val="20"/>
        </w:rPr>
      </w:pPr>
      <w:r>
        <w:rPr>
          <w:rFonts w:ascii="Times New Roman" w:hAnsi="Times New Roman"/>
          <w:b/>
          <w:sz w:val="20"/>
        </w:rPr>
        <w:t xml:space="preserve">Our cytoDRiVE Platform - a Key Component of Our Next Generation Therapies </w:t>
      </w:r>
    </w:p>
    <w:p>
      <w:pPr>
        <w:pStyle w:val="TextBody"/>
        <w:bidi w:val="0"/>
        <w:spacing w:before="120" w:after="0"/>
        <w:jc w:val="left"/>
        <w:rPr>
          <w:rFonts w:ascii="Times New Roman" w:hAnsi="Times New Roman"/>
          <w:sz w:val="20"/>
        </w:rPr>
      </w:pPr>
      <w:r>
        <w:rPr>
          <w:rFonts w:ascii="Times New Roman" w:hAnsi="Times New Roman"/>
          <w:sz w:val="20"/>
        </w:rPr>
        <w:t xml:space="preserve">A key element of our cytoDRiVE platform is the ability to express mbIL15 in OBX-115 and to dynamically regulate its expression in patients. cytoDRiVE is designed to leverage the tendency for intracellular misfolded and unstable proteins to be degraded by the cellular proteasome system. To build cytoDRiVE constructs, we create mutant versions of small molecule binding domains that are stable in the presence of their ligands but have a propensity to be degraded in their absence. Through the fusion of one of these binding domains, which we refer to as DRD, to a protein of interest, such as mbIL15, we impart the ability to control expression of the protein of interest by a small molecule ligand. While no immunogenicity or safety issues have been detected with CA2 and mbIL15 (DRD-protein pairing) in OBX-115 clinical or laboratory studies to date, the potential for immunogenicity or other serious side effects have not yet been studied for other future DRD-protein pairs. By carefully selecting the DRD, we can use FDA-approved, orally available drugs to control the stability of our cytoDRiVE constructs. We believe that this makes cytoDRiVE a flexible, multipurpose approach for delivering regulators of expression of proteins. </w:t>
      </w:r>
    </w:p>
    <w:p>
      <w:pPr>
        <w:pStyle w:val="TextBody"/>
        <w:bidi w:val="0"/>
        <w:spacing w:before="240" w:after="0"/>
        <w:jc w:val="left"/>
        <w:rPr>
          <w:rFonts w:ascii="Times New Roman" w:hAnsi="Times New Roman"/>
          <w:sz w:val="20"/>
        </w:rPr>
      </w:pPr>
      <w:r>
        <w:rPr>
          <w:rFonts w:ascii="Times New Roman" w:hAnsi="Times New Roman"/>
          <w:sz w:val="20"/>
        </w:rPr>
        <w:t xml:space="preserve">As illustrated in Figure 10 below, in absence of ligand binding, the unstable DRD (red) is recognized by the cellular unfolded protein system and the DRD and fused protein of interest (orange) are targeted for degradation, eliminating the expression of the protein of interest. In the presence of a small molecule ligand (yellow), the DRD is stabilized, avoiding degradation and allowing the protein of interest to be expressed.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10. Ligand-dependent regulation of the cellular unfolded protein system. </w:t>
      </w:r>
    </w:p>
    <w:p>
      <w:pPr>
        <w:pStyle w:val="TextBody"/>
        <w:bidi w:val="0"/>
        <w:spacing w:before="0" w:after="0"/>
        <w:jc w:val="left"/>
        <w:rPr/>
      </w:pPr>
      <w:r>
        <w:rPr/>
        <w:t> </w:t>
      </w:r>
    </w:p>
    <w:p>
      <w:pPr>
        <w:pStyle w:val="TextBody"/>
        <w:bidi w:val="0"/>
        <w:spacing w:before="0" w:after="0"/>
        <w:jc w:val="center"/>
        <w:rPr/>
      </w:pPr>
      <w:r>
        <w:rPr/>
        <w:drawing>
          <wp:inline distT="0" distB="0" distL="0" distR="0">
            <wp:extent cx="3457575" cy="24860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20"/>
                    <a:stretch>
                      <a:fillRect/>
                    </a:stretch>
                  </pic:blipFill>
                  <pic:spPr bwMode="auto">
                    <a:xfrm>
                      <a:off x="0" y="0"/>
                      <a:ext cx="3457575" cy="2486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OBX-115, we fused a CA2 DRD to a proprietary mbIL15 construct. The CA2 DRD was engineered with mutations to reduce its stability in the absence of ligand binding. We use ACZ, an FDA approved oral CA2 inhibitor, with no known anti-neoplastic activity as a stabilizing ligand to regulate mbIL15 expression on the cell surface of OBX-115. ACZ is generally well-tolerated, penetrates the blood brain barrier and has a favorable pharmacokinetic profile. It does not interfere with T cell function and is widely available as a generic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Next Generation Cellular Therapies: Future Oncology Applications of our cytoDRiVE Platform </w:t>
      </w:r>
    </w:p>
    <w:p>
      <w:pPr>
        <w:pStyle w:val="TextBody"/>
        <w:bidi w:val="0"/>
        <w:spacing w:before="120" w:after="0"/>
        <w:jc w:val="left"/>
        <w:rPr>
          <w:rFonts w:ascii="Times New Roman" w:hAnsi="Times New Roman"/>
          <w:sz w:val="20"/>
        </w:rPr>
      </w:pPr>
      <w:r>
        <w:rPr>
          <w:rFonts w:ascii="Times New Roman" w:hAnsi="Times New Roman"/>
          <w:sz w:val="20"/>
        </w:rPr>
        <w:t xml:space="preserve">We are actively exploring future applications of our cytoDRiVE platform to enhance the ability of our product candidates to treat less TIL infiltrated (colder) tumors. Two examples from our early-stage research programs illustrate the application of cytoDRiVE to enhance immune-cell antitumor activity, including co-regulated expression of Lymphotoxin-like, inducible, competes with herpesvirus glycoprotein D for HVEM, a receptor expressed by T lymphocytes, or LIGHT, and mbIL15, and spatio-temporal regulation of IL12 using T cell activation dependent elements. Further, we believe the flexibility of our platform may allow cytoDRiVE to be incorporated into a range of engineered immune cell therapies beyond TIL and potentially into other non-oncology settings where controlled protein expression is desirable. We are evaluating collaboration and partnership opportunities to continue development of these promising early-stage research programs.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Regulated expression of LIGHT and mbIL15 </w:t>
      </w:r>
    </w:p>
    <w:p>
      <w:pPr>
        <w:pStyle w:val="TextBody"/>
        <w:bidi w:val="0"/>
        <w:spacing w:before="120" w:after="0"/>
        <w:jc w:val="left"/>
        <w:rPr>
          <w:rFonts w:ascii="Times New Roman" w:hAnsi="Times New Roman"/>
          <w:sz w:val="20"/>
        </w:rPr>
      </w:pPr>
      <w:r>
        <w:rPr>
          <w:rFonts w:ascii="Times New Roman" w:hAnsi="Times New Roman"/>
          <w:sz w:val="20"/>
        </w:rPr>
        <w:t xml:space="preserve">LIGHT is a member of the tumor necrosis factor super family (“TNFSF”) that interacts with the lymphotoxin beta receptor (“LTbR”) and regulates the formation of lymphoid organs. In preclinical studies, LIGHT expression within a tumor has been linked to the formation of tertiary lymphoid structures and vascular normalization, both of which are associated with favorable prognosis in many tumor types. Figure 11 below shows the application of cytoDRiVE to develop cytoTIL15-LIGHT cells, where the CA2 DRD co-regulates both mbIL15 and LIGHT. In a fibrotic tumor model where non-engineered TIL are unlikely to show benefit, co-expression of mbIL15 and LIGHT upon induction with ACZ leads to better tumor control compared to mbIL15 or LIGHT alone.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11. Dual regulated expression of LIGHT and mbIL15 inhibited growth in a fibrotic colon cancer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3100" cy="200977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21"/>
                    <a:stretch>
                      <a:fillRect/>
                    </a:stretch>
                  </pic:blipFill>
                  <pic:spPr bwMode="auto">
                    <a:xfrm>
                      <a:off x="0" y="0"/>
                      <a:ext cx="5753100" cy="2009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Spatial and temporal regulation of IL12 </w:t>
      </w:r>
    </w:p>
    <w:p>
      <w:pPr>
        <w:pStyle w:val="TextBody"/>
        <w:bidi w:val="0"/>
        <w:spacing w:before="120" w:after="0"/>
        <w:jc w:val="left"/>
        <w:rPr>
          <w:rFonts w:ascii="Times New Roman" w:hAnsi="Times New Roman"/>
          <w:sz w:val="20"/>
        </w:rPr>
      </w:pPr>
      <w:r>
        <w:rPr>
          <w:rFonts w:ascii="Times New Roman" w:hAnsi="Times New Roman"/>
          <w:sz w:val="20"/>
        </w:rPr>
        <w:t>IL12 is a potent cytokine known to remodel immunosuppressive tumor microenvironments and promote antitumor immunity through diverse innate and adaptive immune mechanisms. Early clinical trials in the mid-1990s showed that systemic delivery of IL12 incurred dose-limiting toxicities.</w:t>
      </w:r>
    </w:p>
    <w:p>
      <w:pPr>
        <w:pStyle w:val="TextBody"/>
        <w:bidi w:val="0"/>
        <w:spacing w:before="240" w:after="0"/>
        <w:jc w:val="left"/>
        <w:rPr>
          <w:rFonts w:ascii="Times New Roman" w:hAnsi="Times New Roman"/>
          <w:sz w:val="20"/>
        </w:rPr>
      </w:pPr>
      <w:r>
        <w:rPr>
          <w:rFonts w:ascii="Times New Roman" w:hAnsi="Times New Roman"/>
          <w:sz w:val="20"/>
        </w:rPr>
        <w:t xml:space="preserve">We combined our cytoDRiVE technology with NFAT-dependent transcription to enable the ability to temporally control mb-IL12 expression following T cell recognition of tumor (spatial regulation). In these cells, the expression of a cytoDRiVE construct containing the gene for mbIL12 fused to DRD is under control of an NFAT responsive promoter, a genetic element that drives transcription only upon activation of T cells, such as when T cells recognize tumor. Only upon T cell activation is the IL12/DRD fusion protein synthesized, but is rapidly degraded if the DRD ligand is not present, providing a second level of control. </w:t>
      </w:r>
    </w:p>
    <w:p>
      <w:pPr>
        <w:pStyle w:val="TextBody"/>
        <w:bidi w:val="0"/>
        <w:spacing w:before="240" w:after="0"/>
        <w:jc w:val="left"/>
        <w:rPr>
          <w:rFonts w:ascii="Times New Roman" w:hAnsi="Times New Roman"/>
          <w:sz w:val="20"/>
        </w:rPr>
      </w:pPr>
      <w:r>
        <w:rPr>
          <w:rFonts w:ascii="Times New Roman" w:hAnsi="Times New Roman"/>
          <w:sz w:val="20"/>
        </w:rPr>
        <w:t xml:space="preserve">We assessed the tolerability and antitumor activity of this construct in a B16-F10 tumor model in mice as shown in Figure 12 below. Survival in this model with no treatment was between 20 and 25 days. Treatment with control T cells increased survival by a few days in both the untreated mice (gray in the figure below) or control-treated mice (black in the figure below). Treatment with NFAT (only) regulated expression of soluble IL12 (purple in the figure below) resulted in early mortality for half of treated mice due to toxicities associated with IL12. Treatment with cells engineered with our NFAT/cytoDRiVE mbIL12 led to 100% survival to the end of the study at day 35 (orange in the figure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Figure 12. Spatial and temporal regulation of IL12 increased survival in a B16-F10 tumor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3100" cy="288607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22"/>
                    <a:stretch>
                      <a:fillRect/>
                    </a:stretch>
                  </pic:blipFill>
                  <pic:spPr bwMode="auto">
                    <a:xfrm>
                      <a:off x="0" y="0"/>
                      <a:ext cx="5753100" cy="28860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Potential Applications of our CytoDRiVE Platform Outside of Oncology </w:t>
      </w:r>
    </w:p>
    <w:p>
      <w:pPr>
        <w:pStyle w:val="TextBody"/>
        <w:bidi w:val="0"/>
        <w:spacing w:before="120" w:after="0"/>
        <w:jc w:val="left"/>
        <w:rPr>
          <w:rFonts w:ascii="Times New Roman" w:hAnsi="Times New Roman"/>
          <w:sz w:val="20"/>
        </w:rPr>
      </w:pPr>
      <w:r>
        <w:rPr>
          <w:rFonts w:ascii="Times New Roman" w:hAnsi="Times New Roman"/>
          <w:sz w:val="20"/>
        </w:rPr>
        <w:t xml:space="preserve">While our current focus is on the application of cytoDRiVE to enhance the antitumor activity of cell therapies, potential applications of cytoDRiVE are not limited to specific classes of proteins of interest or to particular cell types. cytoDRiVE technology has the potential to broaden the reach cell therapies and for diseases outside of oncology, such as autoimmune disorders. By enabling temporal control of protein activity or expression with activation-dependent regulatory elements, cytoDRiVE is designed to provide controlled expression of potent cytokines or other immune-modulating proteins. We believe this flexibility may allow cytoDRiVE to be incorporated into a range of engineered immune cell therapies beyond TIL and potentially into other non-oncology settings where controlled protein expression is desirable.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GMP manufacturing facilities for the production of OBX-115 and currently have no plans to build our own clinical or commercial GMP manufacturing capabilities. We have a proprietary manufacturing process and collaborate with leading CDMOs to manufacture OBX-115 and, if we receive regulatory approval, we intend to rely on such third parties for commercial GMP manufacture. Our manufacturing process for OBX-115 consistently delivers a robust cell yield with a greater than 95% demonstrated manufacturing success rate in meeting the current product release criteria. These release criteria often evolve based on increased manufacturing experience and based on regulatory input. This may affect the manufacturing success rate over time. We believe our manufacturing capacity strategy will support drug supply for our future clinical trials and commercial demand for OBX-115 for the treatment of advanced melanoma, if approved. We do not have long-term supply agreements, and we purchase our required drug product on a development manufacturing services agreement or purchase order basis. We expect to continue to rely on third-party manufacturers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for clinical trial use must be manufactured in compliance with cGMP regulations. The cGMP regulations include requirements relating to personnel, buildings and facilities, equipment, control of components and drug product containers and closures, production and process controls, packaging and labeling controls, holding and distribution, laboratory controls, records and reports, and returned or salvaged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We have exclusive commercial rights to our product candidates globally. Given our stage of development, we have not yet established a commercial organization or sales and distribution capabilities. A key challenge for cell therapies, such as OBX-115, is the ability to scale both the manufacturing and the number of clinical sites where the therapy is available. We have transferred our expertise and knowledge to CDMOs, which manufacture OBX-115 for our clinical trials and will also do so for commercialization, if approved by FDA. </w:t>
      </w:r>
    </w:p>
    <w:p>
      <w:pPr>
        <w:pStyle w:val="TextBody"/>
        <w:bidi w:val="0"/>
        <w:spacing w:before="240" w:after="0"/>
        <w:jc w:val="left"/>
        <w:rPr>
          <w:rFonts w:ascii="Times New Roman" w:hAnsi="Times New Roman"/>
          <w:sz w:val="20"/>
        </w:rPr>
      </w:pPr>
      <w:r>
        <w:rPr>
          <w:rFonts w:ascii="Times New Roman" w:hAnsi="Times New Roman"/>
          <w:sz w:val="20"/>
        </w:rPr>
        <w:t xml:space="preserve">We plan to independently commercialize our products, if approved, in the United States and other regions where we determine it makes commercial sense to do so. At the appropriate time, we will build the required commercial infrastructure including recruiting a sales force and a medical affairs team. As product candidates advance through our pipeline, our plans may change.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intensely competitive and subject to rapid and significant technological change. Our competitors include multinational pharmaceutical companies, specialized biotechnology companies, universities, and other research institutions. Ultimately, the diseases our product candidate and any future product candidates target, and for which we may receive marketing authorization, will determine our competition. Our product candidate, if approved, will have to compete with existing therapies and new therapies that may become available in the future.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key competitive factors affecting the success of our product candidate, OBX-115, if approved, are likely to include efficacy, safety, manufacturing, treatment logistics, patient eligibility, physician adoption, and the availability of reimbursement.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Patients with melanoma are treated using a range of therapeutic approaches, including surgery, radiation therapy, chemotherapy, targeted therapies, ICIs, biologic therapies such as monoclonal antibodies, and emerging immunotherapies, including cell-based therapies. Accordingly, we believe OBX-115, if approved, would face competition from pharmaceutical, biotechnology and other companies developing therapies for cancer, including for patients with melanoma or NSCLC whose disease has progressed following prior treatment with checkpoint inhibitors and chemotherapy. There are a large number of companies developing or marketing treatments for cancer, including many major pharmaceutical and biotechnology companies. We may compete with other cell therapy or immunotherapy companies such as Iovance Biotherapeutics Inc. (Amtagvi), AbelZeta Inc., Biosyngen Pte Ltd, GRIT Biotechnology Co., Ltd., Shanghai Juncell Therapeutics Co., Ltd., Immatics N.V., Immunocore Holdings plc, Intima Bioscience, Inc., KSQ Therapeutics, Inc., Marker Therapeutics, Inc., TILT Biotherapeutics Ltd, and others. In addition, numerous compounds are in clinical development for cancer treatment. Any of these compounds may prove to be safer, more effective, more convenient, more broadly applicable or more commercially successful than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strive to protect and strengthen our proprietary platforms and technologies, product candidates, inventions, improvements, and other intellectual property that are commercially relevant to the success of our business by, among other things, acquiring, maintaining, and defending patent rights, whether developed internally or licensed from third parties, and preserving the confidentiality of our trade secrets and know-how. We also rely on trade secrets, know-how and continuing technological innovation to develop and maintain our proprietary and intellectual property position. Additional regulatory protection may also be available via data exclusivity, market exclusivity, and patent term extensions on a jurisdiction-by-jurisdiction basis. Our commercial success may depend, in part, on our ability to protect and strengthen the intellectual property rights relevant to our proprietary platforms and technologies, and to operate without infringing on any valid and enforceable third-party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most biopharmaceutical companies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Because of this, some of our current and future patent applications may not result in patents being issued. Additionally, the laws of foreign countries may not protect our rights to the same degree as the laws of the United States, or vice versa. </w:t>
      </w:r>
    </w:p>
    <w:p>
      <w:pPr>
        <w:pStyle w:val="TextBody"/>
        <w:bidi w:val="0"/>
        <w:spacing w:before="240" w:after="0"/>
        <w:jc w:val="left"/>
        <w:rPr>
          <w:rFonts w:ascii="Times New Roman" w:hAnsi="Times New Roman"/>
          <w:sz w:val="20"/>
        </w:rPr>
      </w:pPr>
      <w:r>
        <w:rPr>
          <w:rFonts w:ascii="Times New Roman" w:hAnsi="Times New Roman"/>
          <w:sz w:val="20"/>
        </w:rPr>
        <w:t>As of March 1, 2026 our owned and in-licensed patent portfolio from the Board of Regents of the University of Texas System consists of 7 granted US patents, 20 pending US patent applications, 28 foreign granted patents and 91 pending foreign patent applications. As of March 1, 2026, we have 26 registered trademarks and 4 pending trademark applications. Additionally, we have had no outstanding litigation related to our intellectual property nor any threat to initiate claims against us. Our owned patents, patent applications and licensed intellectual property from the Board of Regents of the University of Texas System on behalf of M.D. Anderson cover various aspects of our programs and technology, including our cytoDRiVE platform and OBX-115 as further described herein. Owned patents and patent applications include composition of matter and methods of making and using various aspects of the cytoDRiVE platform and OBX-115. We have issued patents in the United States, Japan, Singapore, Korea, Mexico, Australia, Europe, Canada, and China and pending applications in those and other jurisdictions such as Israel, and India. The intellectual property licensed from M.D. Anderson includes OBX-115, specifically around the manufacturing process and know-how. Under the M.D. Anderson License Agreement, ownership of improvements is determined based on inventorship. In particular, the licensed intellectual property represents one component of our broader development program. Specifically, we currently rely in part on the in-license from M.D. Anderson for the development and commercialization of OBX-115, but we are not materially dependent on the license from M.D. Anderson for our continued development and commercialization efforts for OBX-115. We do not believe the termination of the M.D. Anderson License Agreement would materially delay our currently planned development timelines for OBX-115. In addition, we believe we would otherwise mitigate any immaterial impact of such a termination. For additional information about the M.D. Anderson License Agreement, please see the sections entitled “</w:t>
      </w:r>
      <w:r>
        <w:rPr>
          <w:rFonts w:ascii="Times New Roman" w:hAnsi="Times New Roman"/>
          <w:i/>
          <w:sz w:val="20"/>
        </w:rPr>
        <w:t>Rest of the World Government Regulation-M.D. Anderson License Agreement</w:t>
      </w:r>
      <w:r>
        <w:rPr>
          <w:rFonts w:ascii="Times New Roman" w:hAnsi="Times New Roman"/>
          <w:sz w:val="20"/>
        </w:rPr>
        <w:t>”</w:t>
      </w:r>
      <w:r>
        <w:rPr>
          <w:rFonts w:ascii="Times New Roman" w:hAnsi="Times New Roman"/>
          <w:i/>
          <w:sz w:val="20"/>
        </w:rPr>
        <w:t xml:space="preserve">, </w:t>
      </w:r>
      <w:r>
        <w:rPr>
          <w:rFonts w:ascii="Times New Roman" w:hAnsi="Times New Roman"/>
          <w:sz w:val="20"/>
        </w:rPr>
        <w:t>“</w:t>
      </w:r>
      <w:r>
        <w:rPr>
          <w:rFonts w:ascii="Times New Roman" w:hAnsi="Times New Roman"/>
          <w:i/>
          <w:sz w:val="20"/>
        </w:rPr>
        <w:t>Management’s Discussion and Analysis of Financial Condition and Results of Operations of</w:t>
      </w:r>
      <w:r>
        <w:rPr>
          <w:rFonts w:ascii="Times New Roman" w:hAnsi="Times New Roman"/>
          <w:sz w:val="20"/>
        </w:rPr>
        <w:t xml:space="preserve"> </w:t>
      </w:r>
      <w:r>
        <w:rPr>
          <w:rFonts w:ascii="Times New Roman" w:hAnsi="Times New Roman"/>
          <w:i/>
          <w:sz w:val="20"/>
        </w:rPr>
        <w:t>Obsidian-License and Collaboration Agreements-Collaboration and License Agreement with University of</w:t>
      </w:r>
      <w:r>
        <w:rPr>
          <w:rFonts w:ascii="Times New Roman" w:hAnsi="Times New Roman"/>
          <w:sz w:val="20"/>
        </w:rPr>
        <w:t xml:space="preserve"> </w:t>
      </w:r>
      <w:r>
        <w:rPr>
          <w:rFonts w:ascii="Times New Roman" w:hAnsi="Times New Roman"/>
          <w:i/>
          <w:sz w:val="20"/>
        </w:rPr>
        <w:t>Texas M.D. Anderson Cancer Center</w:t>
      </w:r>
      <w:r>
        <w:rPr>
          <w:rFonts w:ascii="Times New Roman" w:hAnsi="Times New Roman"/>
          <w:sz w:val="20"/>
        </w:rPr>
        <w:t xml:space="preserve">” and Notes 9 and 10 to the Consolidated Financial Statements of Obsidian.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future, there may be the need to engage in litigation to enforce patents issued or licensed to us, to protect our trade secrets or know-how or to defend against claims of infringement of the rights of others. Litigation is costly and could divert our attention and resources from other business functions and responsibilities. Furthermore, even if we were to prevail and our patents were found to be valid and infringed, a court could refuse to grant injunctive relief against the infringer and instead grant us monetary damages and/or ongoing royalties. Such compensation could be insufficient to adequately offset the damages to our business caused by the infringer’s competition in the market. Furthermore, adverse determinations in litigation could subject us to significant liabilities to third parties, could require us to seek licenses and/or pay significant royalties to such third parties and could also prevent us from manufacturing, selling or using our product, platform, or technologies, any of which could severely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Although we rely on intellectual property rights as well as contractual protections to establish and protect our proprietary rights, we believe that factors such as the technological and creative skills of our personnel, the discovery of new solutions, features and functionality, and ongoing enhancements to our platform are also essential to establishing and maintaining our competitive and technological advantage. </w:t>
      </w:r>
    </w:p>
    <w:p>
      <w:pPr>
        <w:pStyle w:val="TextBody"/>
        <w:bidi w:val="0"/>
        <w:spacing w:before="240" w:after="0"/>
        <w:jc w:val="left"/>
        <w:rPr>
          <w:rFonts w:ascii="Times New Roman" w:hAnsi="Times New Roman"/>
          <w:sz w:val="20"/>
        </w:rPr>
      </w:pPr>
      <w:r>
        <w:rPr>
          <w:rFonts w:ascii="Times New Roman" w:hAnsi="Times New Roman"/>
          <w:sz w:val="20"/>
        </w:rPr>
        <w:t xml:space="preserve">We control the access to and use of our proprietary platforms, technologies, and other confidential information through the use of internal and external controls, including contractual protections with employees, contractors and partners. Our employees, consultants and other third parties are required to enter into confidentiality and proprietary rights agreements with us and we control and monitor access to our proprietary technology, documentation, and other confidential information. We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as needed, we enter into confidentiality agreements with our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manufacturing, quality control, safety, effectiveness, approval, labeling, packaging, storage, record-keeping, promotion, advertising, distribution, post-approval monitoring and reporting, marketing and export and import of biopharmaceutical products such as those we are developing.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must be approved by the FDA before they may be legally marketed in the United States and by the appropriate foreign regulatory authority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are addressed in a centralized way, but country-specific regulation remains essential in many respects. The process for obtaining regulatory approvals and the subsequent compliance with federal, state, local and foreign statutes and regulations require the expenditure of substantial time and financial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 Product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biological products, or biologics, under the Federal Food, Drug and Cosmetic Act, or FDCA, the Public Health Service Act, or PHSA, and their implementing regulations. The process required by the FDA before a biological product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good laboratory practices, requirements, or GLPs, and applicable requirements for the humane use of laboratory animals or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or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or ethics committee before a clinical trial commences;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according to the FDA’s regulations as well as international standards for good clinical practice, or GCP, and any additional requirements for the protection of human research patients and their health information, to establish the safety, purity and potency of the proposed biological product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 biologics license application, or BLA, seeking marketing approval with such application providing substantial evidence of safety, purity, and potency from results of nonclinical testing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biological product is produced to assess compliance with current good manufacturing practice regulations, or cGMPs, to assure that the facilities, methods and controls are adequate to preserve the biological product’s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study and clinical trial sites that generated the data in support of the BLA to confirm compliance with GCPs and data integrity, among other things;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or licensure,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w:t>
      </w:r>
    </w:p>
    <w:p>
      <w:pPr>
        <w:pStyle w:val="TextBody"/>
        <w:bidi w:val="0"/>
        <w:spacing w:before="240" w:after="0"/>
        <w:jc w:val="left"/>
        <w:rPr>
          <w:rFonts w:ascii="Times New Roman" w:hAnsi="Times New Roman"/>
          <w:sz w:val="20"/>
        </w:rPr>
      </w:pPr>
      <w:r>
        <w:rPr>
          <w:rFonts w:ascii="Times New Roman" w:hAnsi="Times New Roman"/>
          <w:sz w:val="20"/>
        </w:rPr>
        <w:t xml:space="preserve">The clinical trial sponsor must submit the results of the preclinical tests, together with manufacturing information, analytical data, any available clinical data or literature and a proposed clinical protocol, to the FDA as part of the IND. Some nonclinical testing may continue even after the IND is submitted and clinical trials are initiated. An IND is an exemption that allows a biological product candidate to be shipped in interstate commerce for use in an investigational clinical trial and a request for FDA authorization to administer a biological product candidate to humans. An IND must become effective before human clinical trials may begin. The IND automatically becomes effective 30 days after receipt by the FDA, unless the FDA raises safety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candidate’s IND at any time before or during clinical trials due to safety concerns or non-compliance. If the FDA imposes a clinical hold, trials may not recommence without FDA authorization and then only under terms authorized by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companies and other institutions not otherwise subject to the NIH Guidelines may voluntarily follow them.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biological product candidate to subjects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subjects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National Institutes of Health, or NIH, for public dissemination on their </w:t>
      </w:r>
      <w:r>
        <w:rPr>
          <w:rFonts w:ascii="Times New Roman" w:hAnsi="Times New Roman"/>
          <w:i/>
          <w:sz w:val="20"/>
        </w:rPr>
        <w:t>www.clinicaltrials.gov</w:t>
      </w:r>
      <w:r>
        <w:rPr>
          <w:rFonts w:ascii="Times New Roman" w:hAnsi="Times New Roman"/>
          <w:sz w:val="20"/>
        </w:rPr>
        <w:t xml:space="preserve">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 Manufacturers or distributors of biological product candidates being developed for the diagnosis, monitoring, or treatment of one or more serious diseases or conditions must also have a publicly available policy on evaluating and responding to expanded access requests.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The biological product candidate is initially introduced into healthy human subjects or patients with the target disease or condition and tested for safety. These studies are designed to test the safety, dosage tolerance, absorption, metabolism, and distribution of the biological product candidate in humans, the side effects associated with increasing doses, and, if possible, to gain early evidence on effectiveness.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The biological product candidate is evaluated in a limited patient population with a specified disease or condition to identify possible adverse effects and safety risks, to preliminarily evaluate the efficacy of the product for the specific targeted diseases or condition and to determine dosage tolerance, optimal dosage and dosing schedule.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3. Clinical trials are undertaken to further evaluate dosage, clinical efficacy, potency, and safety in an expanded patient population, generally at geographically dispersed clinical trial sites, and to generate enough data to statistically evaluate the efficacy and safety of the biological product candidate for approval. These clinical trials are intended to establish the overall risk to benefit ratio of the product and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In addition, 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authorities require extensive monitoring and auditing of all clinical activities, clinical data, and clinical trial investigators. Annual progress reports detailing the results of the clinical trials and other developments related to the IND must be submitted to the FDA. Written IND safety reports must be promptly submitted to the FDA, and the trial’s investigators for serious and unexpected adverse events, findings from other studies suggesting a significant risk to humans exposed to the same or similar product, findings from, animal or in vitro testing suggesting a significant risk to humans, and any clinically important increased incidence of a serious suspected adverse reaction over that listed in the clinical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7 calendar days after the sponsor’s initial receipt of the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during the development of a new biological product, sponsors are given opportunities to meet with the FDA at certain points, including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 Sponsors typically use the meetings at the end of the Phase 2 trial to discuss Phase 2 clinical results and present plans for the pivotal Phase 3 clinical trials that they believe will support approval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biological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trials, all required testing of a biological product candidate in accordance with all applicable regulatory requirements, the results of product development, nonclinical studies, and clinical trials are submitted to the FDA as part of a BLA requesting approval to market the biological product candidate for one or more indications. FDA approval of a BLA must be obtained before commercial marketing of the biological product begins. The BLA must include results of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use of the product candidate, or from a number of alternative sources, including studies initiated by independent investigators. </w:t>
      </w:r>
    </w:p>
    <w:p>
      <w:pPr>
        <w:pStyle w:val="TextBody"/>
        <w:bidi w:val="0"/>
        <w:spacing w:before="240" w:after="0"/>
        <w:jc w:val="left"/>
        <w:rPr>
          <w:rFonts w:ascii="Times New Roman" w:hAnsi="Times New Roman"/>
          <w:sz w:val="20"/>
        </w:rPr>
      </w:pPr>
      <w:r>
        <w:rPr>
          <w:rFonts w:ascii="Times New Roman" w:hAnsi="Times New Roman"/>
          <w:sz w:val="20"/>
        </w:rPr>
        <w:t xml:space="preserve">Under the Prescription Drug User Fee Act, or PDUFA, each BLA must be accompanied by a significant user fee. The FDA adjusts the PDUFA user fees on an annual basis. PDUFA also imposes an annual program fee for approved and marketed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submitted BLA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is accepted for filing and substantive review, the FDA’s goal is to review standard applications within ten months after the filing date, or, if the application qualifies for priority review, six months after the filing date. In both standard and priority reviews, the review process may also be extended, such as by the sponsor’s submission of a major amendment, which extends the goal date by three months.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the BLA to determine, among other things, whether the proposed product is safe, pure and potent for the proposed indication, and the facility in which it is manufactured, processed, packed or held meets standards designed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generally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requirements and GCP requirements. To assure cGMP and GCP compliance, an applicant must incur significant expenditure of time, money and effort in the areas of training, record keeping,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submission of relevant data and information, the FDA may ultimately decide that the BLA does not satisfy its regulatory criteria for approval and deny approval. If the FDA decides not to approve the BLA in its present form, the FDA will issue a complete response letter that describes all of the specific deficiencies in the BLA identified by the FDA. Should the FDA determine that the data supporting the application are inadequate to support approval, the FDA may issue the complete response letter without first conducting required inspections, testing submitted product lots, or reviewing proposed labeling.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application. Even if additional data and information are submitted following receipt of a complete response letter, the FDA may decide that the BLA does not satisfy the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 </w:t>
      </w:r>
    </w:p>
    <w:p>
      <w:pPr>
        <w:pStyle w:val="TextBody"/>
        <w:bidi w:val="0"/>
        <w:spacing w:before="240" w:after="0"/>
        <w:jc w:val="left"/>
        <w:rPr>
          <w:rFonts w:ascii="Times New Roman" w:hAnsi="Times New Roman"/>
          <w:sz w:val="20"/>
        </w:rPr>
      </w:pPr>
      <w:r>
        <w:rPr>
          <w:rFonts w:ascii="Times New Roman" w:hAnsi="Times New Roman"/>
          <w:sz w:val="20"/>
        </w:rPr>
        <w:t xml:space="preserve">When the FDA determines the sponsor’s BLA and the biological product candidate meet the standards for approval, it will issue an approval, or licensure, letter. If a product receives regulatory approval, the approval may be limited to specific diseases and dosages or the indications for use may otherwise be limited, which could restrict the commercial value of the product. For example, the FDA may approve the BLA with a Risk Evaluation and Mitigation Strategy, or REMS, to ensure the benefits of the product outweigh its risks. A REMS is a safety strategy to manage a known or potential serious risk associated with a biological product and to enable patients to have continued access by managing their safe use, and could include medication guides, physician communication plans, or elements to assure safe use, such as restricted distribution methods, patient registries and other risk minimization tools. Further, the FDA may require that certain contraindications, warnings or precautions be included in the product labeling.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and may further limit marketing of the product based on the results of these post-marketing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indication(s). </w:t>
      </w:r>
    </w:p>
    <w:p>
      <w:pPr>
        <w:pStyle w:val="TextBody"/>
        <w:bidi w:val="0"/>
        <w:spacing w:before="360" w:after="0"/>
        <w:jc w:val="left"/>
        <w:rPr>
          <w:rFonts w:ascii="Times New Roman" w:hAnsi="Times New Roman"/>
          <w:b/>
          <w:sz w:val="20"/>
        </w:rPr>
      </w:pPr>
      <w:r>
        <w:rPr>
          <w:rFonts w:ascii="Times New Roman" w:hAnsi="Times New Roman"/>
          <w:b/>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or biological product candidate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 for the same approved use or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a fast track designation program that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As part of the fast track program, the FDA may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left"/>
        <w:rPr>
          <w:rFonts w:ascii="Times New Roman" w:hAnsi="Times New Roman"/>
          <w:sz w:val="20"/>
        </w:rPr>
      </w:pPr>
      <w:r>
        <w:rPr>
          <w:rFonts w:ascii="Times New Roman" w:hAnsi="Times New Roman"/>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the biological product candidate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new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product may be eligible for accelerated approval.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or biological product receiving accelerated approval perform adequate and well-controlled post-marketing clinical studies to verify and describe the anticipated effect on irreversible morbidity or mortality or other clinical benefit. Under the Food and Drug Omnibus Reform Act of 2022, the FDA may require, as appropriate, that such trials be underway prior to approval or within a specific time period after the date of approval for a product granted accelerated approval. In addition, for products being considered for accelerated approval, the FDA generally requires, unless otherwise informed by the FDA, that all advertising and promotional materials intended for dissemination or publication within 120 days of marketing approval be submitted to the FDA for review during the pre-approval review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 request from the sponsor, the FDA may grant breakthrough therapy designation to a biological product candidate for its indication under study. Breakthrough therapy designation is intended to expedite the development and review of products that are intended to treat serious or life-threatening conditions and that preliminary clinical evidence demonstrates that the biological product candidate, alone or in combination with other drugs and biologics, shows substantial improvement over currently available therapy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 Breakthrough therapy designation comes with all of the benefits of fast track designation, which means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sponsor may file sections of the BLA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though the same biological product candidate may be eligible for these other expedited pathways if relevant criteria are met.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designate a product candidate as a regenerative medicine advanced therapy, or RMAT. The RMAT designation is intended to facilitate an efficient development program for, and expedited review of, any product candidate that meets the following criteria: (i) the product candidate qualifies as a RMAT, which is defined as a cell therapy, therapeutic tissue engineering product, human cell and tissue product, or any combination product using such therapies or products, with limited exceptions; (ii) the product candidate is intended to treat, modify, reverse, or cure a serious or life-threatening disease or condition; and (iii) preliminary clinical evidence indicates that the product candidate has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of BLAs. Cell therapy candidates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as appropriate. RMAT-designated cell therapy candidates that receive accelerated approval may, as appropriate, fulfill their post-approval requirements through the completion of clinical studies, patient registries, or through submission of other sources of real world evidence (such as electronic health records), through the collection of larger confirmatory data sets, or via post-approval monitoring of all patients treated with such therapy prior to approval of the therapy. </w:t>
      </w:r>
    </w:p>
    <w:p>
      <w:pPr>
        <w:pStyle w:val="TextBody"/>
        <w:bidi w:val="0"/>
        <w:spacing w:before="240" w:after="0"/>
        <w:jc w:val="left"/>
        <w:rPr>
          <w:rFonts w:ascii="Times New Roman" w:hAnsi="Times New Roman"/>
          <w:sz w:val="20"/>
        </w:rPr>
      </w:pPr>
      <w:r>
        <w:rPr>
          <w:rFonts w:ascii="Times New Roman" w:hAnsi="Times New Roman"/>
          <w:sz w:val="20"/>
        </w:rPr>
        <w:t xml:space="preserve">In 2025, the FDA created a new voucher program called the Commissioner’s National Priority Voucher, or CNPV, with the goal of radically expediting therapeutic product review and approval processes. The agency may award a CNPV to a company or a specific biological product candidate that demonstrates alignment with certain national health priorities. The FDA aims to take action on a marketing application for which a CNPV is used within one to two months after the filing date. </w:t>
      </w:r>
    </w:p>
    <w:p>
      <w:pPr>
        <w:pStyle w:val="TextBody"/>
        <w:bidi w:val="0"/>
        <w:spacing w:before="240" w:after="0"/>
        <w:jc w:val="left"/>
        <w:rPr>
          <w:rFonts w:ascii="Times New Roman" w:hAnsi="Times New Roman"/>
          <w:sz w:val="20"/>
        </w:rPr>
      </w:pPr>
      <w:r>
        <w:rPr>
          <w:rFonts w:ascii="Times New Roman" w:hAnsi="Times New Roman"/>
          <w:sz w:val="20"/>
        </w:rPr>
        <w:t xml:space="preserve">None of these programs changes the standards for approval but they may expedite the development or approval process. Even if a biological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240" w:after="0"/>
        <w:jc w:val="left"/>
        <w:rPr>
          <w:rFonts w:ascii="Times New Roman" w:hAnsi="Times New Roman"/>
          <w:sz w:val="20"/>
        </w:rPr>
      </w:pPr>
      <w:r>
        <w:rPr>
          <w:rFonts w:ascii="Times New Roman" w:hAnsi="Times New Roman"/>
          <w:sz w:val="20"/>
        </w:rPr>
        <w:t xml:space="preserve">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biological product candidate as a product for a rare pediatric disease does not guarantee that a marketing application for such biological product candidate will meet the eligibility criteria for a rare pediatric disease priority review voucher, or PRV, at the time the application is approved. The FDA may determine that a marketing application for any such product candidates,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Congress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Biological products are subject to pervasive and continuing regulation by the FDA after approval, including, among other things, requirements relating to record-keeping, reporting of adverse experiences, periodic reporting, providing the FDA with updated safety and efficacy information, product sampling and distribution, and advertising and promotion of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quality control and manufacturing procedures must continue to conform to applicable manufacturing requirements to ensure the long-term stability of the product and its continued safety, efficacy, purity, and potency. cGMP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must submit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 Defects in manufacturing commercial products can result in product recalls.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of a BLA if compliance with regulatory requirements and standards is not maintained or if problems occur after the product reaches the market. Manufacturers and other parties involved in the supply chain for prescription biological products must also comply with product tracking and tracing requirements and for notifying the FDA of counterfeit, diverted, stolen and intentionally adulterated products or products that are otherwise unfit for distribution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Later discovery of previously unknown problems with a product, including adverse events of unanticipated severity or frequency, or with manufacturing processes, or failure to comply with regulatory requirements, may result in revisions to the approved label to add new safety information; imposition of post-market studies or clinical studies to assess new safety risks; or imposition of distribution restrictions or other restrictions under a REMS.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that are in accordance with the provisions of the approved label. The FDA and other authorities actively enforce the laws and regulations prohibiting the promotion of products for uses or inpatient populations that are not described in the product’s approved labeling (known as “off-label use”).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 However, companies may share truthful and not misleading information that is otherwise consistent with a product’s FDA-approved labeling. </w:t>
      </w:r>
    </w:p>
    <w:p>
      <w:pPr>
        <w:pStyle w:val="TextBody"/>
        <w:bidi w:val="0"/>
        <w:spacing w:before="360" w:after="0"/>
        <w:jc w:val="left"/>
        <w:rPr>
          <w:rFonts w:ascii="Times New Roman" w:hAnsi="Times New Roman"/>
          <w:b/>
          <w:sz w:val="20"/>
        </w:rPr>
      </w:pPr>
      <w:r>
        <w:rPr>
          <w:rFonts w:ascii="Times New Roman" w:hAnsi="Times New Roman"/>
          <w:b/>
          <w:sz w:val="20"/>
        </w:rPr>
        <w:t xml:space="preserve">U.S.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Biologics Price Competition and Innovation Act of 2009, or BPCIA, amended the PHSA to authorize the FDA to approve similar versions of innovative biologics, commonly known as biosimilars.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w:t>
      </w:r>
    </w:p>
    <w:p>
      <w:pPr>
        <w:pStyle w:val="TextBody"/>
        <w:bidi w:val="0"/>
        <w:spacing w:before="240" w:after="0"/>
        <w:jc w:val="left"/>
        <w:rPr>
          <w:rFonts w:ascii="Times New Roman" w:hAnsi="Times New Roman"/>
          <w:sz w:val="20"/>
        </w:rPr>
      </w:pPr>
      <w:r>
        <w:rPr>
          <w:rFonts w:ascii="Times New Roman" w:hAnsi="Times New Roman"/>
          <w:sz w:val="20"/>
        </w:rPr>
        <w:t xml:space="preserve">Pediatric exclusivity is another type of regulatory market exclusivity in the United States. Pediatric exclusivity, if granted, adds six months to existing exclusivity periods for biological products. This six-month exclusivity may be granted based on the voluntary completion of a pediatric trial in accordance with an FDA-issued “Written Request” for such a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our current and future operations are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Office for Civil Rights and the Health Resources and Service Administration), the U.S. Department of Justice, or DOJ, and individual U.S. Attorney offices within the DOJ, and state and local government agencies. For example, our business practices, including our clinical research program and any future sales, marketing and scientific/educational grant programs may be required to comply with the anti-fraud and abuse provisions of the Social Security Act, the false claims laws, transparency requirements, and similar state laws, each as amended,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Anti-Kickback Statute prohibits, among other things, any person or entity, from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item or service for which payment may be made, in whole or in part, under a federal healthcare program, such as the Medicare and Medicaid programs. The term remuneration has been interpreted broadly to include anything of value. A person or entity does not need to have actual knowledge of the statute or specific intent to violate it in order to have committed a violation. The AKS is an intent-based statute; however, it has been interpreted to cover any arrangement in which a single purpose of the remuneration is to pay for referrals or to induce future referrals. The federal Anti-Kickback Statute has been interpreted to apply to arrangements between pharmaceutical manufacturers on one hand and prescribers, purchasers, and formulary managers on the other.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federal civil and criminal false claims laws, including the False Claims Act, or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p>
      <w:pPr>
        <w:pStyle w:val="TextBody"/>
        <w:bidi w:val="0"/>
        <w:spacing w:before="240" w:after="0"/>
        <w:jc w:val="left"/>
        <w:rPr>
          <w:rFonts w:ascii="Times New Roman" w:hAnsi="Times New Roman"/>
          <w:sz w:val="20"/>
        </w:rPr>
      </w:pPr>
      <w:r>
        <w:rPr>
          <w:rFonts w:ascii="Times New Roman" w:hAnsi="Times New Roman"/>
          <w:sz w:val="20"/>
        </w:rPr>
        <w:t xml:space="preserve">The federal Health Insurance Portability and Accountability Act of 1996, or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federal Physician Payments Sunshine Act (the “Sunshine Act”), and its implementing regulations, require that certain manufacturers of drugs, devices, biological and medical supplies for which payment is available under Medicare, Medicaid or the Children’s Health Insurance Program (with certain exceptions) report information related to certain payments or other transfers of value made or distributed to physicians (defined to include doctors, dentists, optometrists, podiatrists and chiropractors), certain non-physician practitioners (such as physician assistants and nurse practitioners), and teaching hospitals, or to entities or individuals at the request of, or designated on behalf of, the physicians and teaching hospitals and to report annually to CMS certain ownership and investment interests held by physicians and their immediate family members. Failure to report accurately could result in penalties. In addition, many states also govern the reporting of payments or other transfers of value, many which differ from each other in significant ways, are often not pre-empted, and may have a more prohibitive effect than the Sunshine Act, thus further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federal government price reporting laws, which require us to calculate and report complex pricing metrics in an accurate and timely manner to government programs under federal consumer protection and unfair competition laws, which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Many states and foreign jurisdictions have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and state and local laws requiring the registration of pharmaceutical sales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There are significant compliance costs associated with ensuring business arrangements with third parties comply with applicable healthcare laws and regulations. If our operations are found to be in violation of any of the federal and state healthcare laws described above or any other current or future governmental regulations that apply to us, we may be subject to significant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Factors payors consider in determining reimbursement are based on whether the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biological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significant legislative and regulatory changes and proposed changes regarding the healthcare system that could prevent or delay marketing approval of biological product candidates, restrict or regulate post-approval activities, and affect the ability to profitably sell biological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before="240" w:after="0"/>
        <w:jc w:val="left"/>
        <w:rPr>
          <w:rFonts w:ascii="Times New Roman" w:hAnsi="Times New Roman"/>
          <w:sz w:val="20"/>
        </w:rPr>
      </w:pPr>
      <w:r>
        <w:rPr>
          <w:rFonts w:ascii="Times New Roman" w:hAnsi="Times New Roman"/>
          <w:sz w:val="20"/>
        </w:rPr>
        <w:t xml:space="preserve">For example, Patient Protection and Affordable Care Act, as amended by the Health Care and Education Reconciliation Act of 2010, or collectively the ACA, has substantially changed healthcare financing and delivery by both governmental and private insurers. Among the ACA provisions of importance to the pharmaceutical and biotechnology industries, in addition to those otherwise described above,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the minimum level of Medicaid rebates payable by manufacturers of brand name drugs from 15.1% to 23.1% of the average manufacturer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collection of rebates for drugs paid by Medicaid managed care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 requirement later replaced under the Inflation Reduction Act of 2022 (the “IRA”) by the Medicare Part D manufacturer discount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imposed a non-deductible annual fee on pharmaceutical manufacturers or importers who sell “branded prescription drugs” to specified federal government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 In addition, other legislative and regulatory changes have been proposed and adopted in the United States since the ACA was enacted: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Budget Control Act of 2011, among other things, included aggregate reductions of Medicare payments to providers of 2% per fiscal year that remain in effect through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among other things, further reduced Medicare payments to several types of providers and increased the statute of limitations period for the government to recover overpayments to providers from three to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American Rescue Plan Act of 2021 eliminates the statutory Medicaid drug rebate cap,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absent further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(regardless of the number of orphan designations) provided that the drug is only approved for rare disease indications. The implementation of the IRA is currently subject to ongoing litigation challenging the constitutionality of the IRA’s Medicare drug price negotiation program. The effect of IRA on our business and the healthcare industry in general is not yet 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2026, President Trump signed into law several pharmacy benefit manager, or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Additionally, the Department of Labor (“DOL”) also issued a proposed rule in January 2026 that would mandate specific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PBM fee disclosures to self-insured plan fiduciaries under the Employment Retirement Income Security Act. If finalized as proposed, the DOL rule would also allow plan fiduciaries to audit those PBM disclosures to confirm accuracy. Significant efforts to change the PBM industry as it currently exists may affect the entire pharmaceutical supply chain and the business of other stakeholders, including biological product developers like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Recent executive and regulatory actions include President Trump’s 2025 executive orders directing HHS to pursue most-favored-nation, or MFN, pricing targets for prescription drugs and to evaluate reforms under the Inflation Reduction Act, including potential elimination of the so-called “pill penalty” that subjects small molecule drugs to Medicare price negotiation four years earlier than biologics. Additional regulatory actions taken include a voluntary MFN-based framework for Medicaid manufacturers and two proposed CMS rules that would introduce MFN pricing principles into Medicare Part B and Part D reimbursement, respectively, with implementation currently anticipated to begin as early as 2026, though legal challenges could delay or modify these proposals. The scope, timing, and ultimate impact of these and any further actions remain uncertain, and if implemented, such measures could adversely affect the pricing, reimbursement, and commercial viability of our biological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We expect additional state, federal and foreign healthcare reform measures to be adopted in the future, any of which could limit the amounts that federal, state and foreign governments will pay for health products, which could result in reduced demand for our products, if approved or additional pricing pressure. </w:t>
      </w:r>
    </w:p>
    <w:p>
      <w:pPr>
        <w:pStyle w:val="TextBody"/>
        <w:bidi w:val="0"/>
        <w:spacing w:before="360" w:after="0"/>
        <w:jc w:val="left"/>
        <w:rPr>
          <w:rFonts w:ascii="Times New Roman" w:hAnsi="Times New Roman"/>
          <w:b/>
          <w:sz w:val="20"/>
        </w:rPr>
      </w:pPr>
      <w:r>
        <w:rPr>
          <w:rFonts w:ascii="Times New Roman" w:hAnsi="Times New Roman"/>
          <w:b/>
          <w:sz w:val="20"/>
        </w:rPr>
        <w:t xml:space="preserve">The Foreign Corrupt Practices Act </w:t>
      </w:r>
    </w:p>
    <w:p>
      <w:pPr>
        <w:pStyle w:val="TextBody"/>
        <w:bidi w:val="0"/>
        <w:spacing w:before="120" w:after="0"/>
        <w:jc w:val="left"/>
        <w:rPr>
          <w:rFonts w:ascii="Times New Roman" w:hAnsi="Times New Roman"/>
          <w:sz w:val="20"/>
        </w:rPr>
      </w:pPr>
      <w:r>
        <w:rPr>
          <w:rFonts w:ascii="Times New Roman" w:hAnsi="Times New Roman"/>
          <w:sz w:val="20"/>
        </w:rPr>
        <w:t xml:space="preserve">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Laws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EEA, including requirements relating to processing health-related and other sensitive data, establishing a legal basis for processing such as obtaining consent of the individuals to whom the personal data relates, providing information to individuals regarding data processing activities, implementing safeguards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protect the security and confidentiality of personal data, providing notification of data breaches, imposing limitations on retention of personal data; maintaining a record of data processing, complying with the principal of accountability and the obligation to demonstrate compliance through policies, procedures, training and audit and taking certain measures when engaging third-party processors. The GDPR also imposes strict rules on the transfer of personal data to countries outside the EEA to countries that the EU does not consider to have in place adequate data protection legislation, including the United States.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state, federal and foreign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To market any product outside of the United States, we would need to comply with numerous and varying regulatory requirements of other countries governing, among other things, clinical trials, marketing authorization, commercial sales and distribution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we obtain FDA approval of a product, we must obtain the requisite approvals from regulatory authorities in foreign countries prior to the commencement of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Failure to comply with applicable foreign regulatory requirements, may be subject to, among other things, fines, suspension or withdrawal of regulatory approvals, product recalls, seizure of products, operating restrictions and criminal prosecution.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Non-Clinical Studies and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Similarly to the United States, the various phases of non-clinical and clinical research in the European Union, or EU are subject to significant regulatory controls. </w:t>
      </w:r>
    </w:p>
    <w:p>
      <w:pPr>
        <w:pStyle w:val="TextBody"/>
        <w:bidi w:val="0"/>
        <w:spacing w:before="240" w:after="0"/>
        <w:jc w:val="left"/>
        <w:rPr>
          <w:rFonts w:ascii="Times New Roman" w:hAnsi="Times New Roman"/>
          <w:sz w:val="20"/>
        </w:rPr>
      </w:pPr>
      <w:r>
        <w:rPr>
          <w:rFonts w:ascii="Times New Roman" w:hAnsi="Times New Roman"/>
          <w:sz w:val="20"/>
        </w:rPr>
        <w:t xml:space="preserve">Non-clinical studies are performed to demonstrate the health or environmental safety of new chemical or biological substances. Non-clinical studies must be conducted in compliance with the principles of good laboratory practice, as set forth in EU Directive 2004/10/EC. These GLP standards reflect the Organization for Economic Co-operation and Development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of medicinal products in the EU must be conducted in accordance with EU and national regulations and the International Conference on Harmonization, or ICH, guidelines on GCPs,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EU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240" w:after="0"/>
        <w:jc w:val="left"/>
        <w:rPr>
          <w:rFonts w:ascii="Times New Roman" w:hAnsi="Times New Roman"/>
          <w:sz w:val="20"/>
        </w:rPr>
      </w:pPr>
      <w:r>
        <w:rPr>
          <w:rFonts w:ascii="Times New Roman" w:hAnsi="Times New Roman"/>
          <w:sz w:val="20"/>
        </w:rPr>
        <w:t xml:space="preserve">The CTR introduced a centralized process for the submission and review of clinical trial authorization applications, which allows sponsors to make a single submission to both the competent authority and an ethics committee in each EU member state in which the clinical trial is to be conducted, leading to a single decision per EU member state. The application must include, among other things, a copy of the trial protocol and an investigational medicinal product dossier containing information about the manufacture and quality of the medicinal product under investigation. The assessment procedure of the application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application is approved, clinical study development may proceed. </w:t>
      </w:r>
    </w:p>
    <w:p>
      <w:pPr>
        <w:pStyle w:val="TextBody"/>
        <w:bidi w:val="0"/>
        <w:spacing w:before="240" w:after="0"/>
        <w:jc w:val="left"/>
        <w:rPr>
          <w:rFonts w:ascii="Times New Roman" w:hAnsi="Times New Roman"/>
          <w:sz w:val="20"/>
        </w:rPr>
      </w:pPr>
      <w:r>
        <w:rPr>
          <w:rFonts w:ascii="Times New Roman" w:hAnsi="Times New Roman"/>
          <w:sz w:val="20"/>
        </w:rPr>
        <w:t xml:space="preserve">Medicinal products used in clinical trials must be manufactured in accordance with Good Manufacturing Practice, or cGMP. Other national and EU-wide regulatory requirements may also apply.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medicinal products can only be commercialized after obtaining a marketing authorization, or MA. To obtain regulatory approval of a product candidate under EU regulatory systems, we must submit a marketing authorization application, or MAA. The process for doing this depends, among other things, on the nature of the medicinal product.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Centralized MAs” are issued by the European Commission through the centralized procedure following an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(i.e.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that represent a significant therapeutic, scientific or technical innovation, or whose authorization would be in the interest of public health in the EU.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National MAs” are issued by the competent authorities of individual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EU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In exceptional cases, the CHMP might perform an accelerated review of a MAA in no more than 150 days, excluding clock stops, where a medicinal product is of major interest from a public health perspective. Clock stops may extend the timeframe of evaluation of an MAA considerably beyond 210 days. Where the CHMP gives a positive opinion, the EMA provides the opinion together with supporting documentation to the European Commission, who makes the final decision to grant an MA, which is issued within 67 days of receipt of the EMA’s recommendation.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before="240" w:after="0"/>
        <w:jc w:val="left"/>
        <w:rPr>
          <w:rFonts w:ascii="Times New Roman" w:hAnsi="Times New Roman"/>
          <w:sz w:val="20"/>
        </w:rPr>
      </w:pPr>
      <w:r>
        <w:rPr>
          <w:rFonts w:ascii="Times New Roman" w:hAnsi="Times New Roman"/>
          <w:sz w:val="20"/>
        </w:rPr>
        <w:t xml:space="preserve">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w:t>
      </w:r>
    </w:p>
    <w:p>
      <w:pPr>
        <w:pStyle w:val="TextBody"/>
        <w:bidi w:val="0"/>
        <w:spacing w:before="240" w:after="0"/>
        <w:jc w:val="left"/>
        <w:rPr>
          <w:rFonts w:ascii="Times New Roman" w:hAnsi="Times New Roman"/>
          <w:sz w:val="20"/>
        </w:rPr>
      </w:pPr>
      <w:r>
        <w:rPr>
          <w:rFonts w:ascii="Times New Roman" w:hAnsi="Times New Roman"/>
          <w:sz w:val="20"/>
        </w:rPr>
        <w:t xml:space="preserve">Furthermore, 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standard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if it is determined that the risk-benefit ratio is no longer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April 2024, the European Parliament adopted its position on the legislative proposals and, in June 2025, the European Council adopted its position. As of December 2025, the European Council, European Parliament and European Commission were engaged in trilogue negotiations aimed at reaching a consensus on a final version of the legislation. Once negotiations are complete, the European Parliament and the Council of the EU will vote on whether to approve the Directive and Regulation. If adopted and implemented, these revisions will significantly change several aspects of drug development and approval in the European Union. </w:t>
      </w:r>
    </w:p>
    <w:p>
      <w:pPr>
        <w:pStyle w:val="TextBody"/>
        <w:bidi w:val="0"/>
        <w:spacing w:before="360" w:after="0"/>
        <w:jc w:val="left"/>
        <w:rPr>
          <w:rFonts w:ascii="Times New Roman" w:hAnsi="Times New Roman"/>
          <w:b/>
          <w:sz w:val="20"/>
        </w:rPr>
      </w:pPr>
      <w:r>
        <w:rPr>
          <w:rFonts w:ascii="Times New Roman" w:hAnsi="Times New Roman"/>
          <w:b/>
          <w:sz w:val="20"/>
        </w:rPr>
        <w:t xml:space="preserve">Rest of the World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For other countries outside of Europe, such as some countries in Eastern Europe, Latin America or Asia, the requirements governing the conduct of clinical trials, product licensing, pricing and reimbursement vary from country to country. In all cases, again, the clinical trials must be conducted in accordance with GCP requirements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we or our potential collaborators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M.D. Anderson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we entered into the M.D. Anderson License Agreement with the Board of Regents of The University of Texas System, on behalf of M.D. Anderson. The entry into the M.D. Anderson License Agreement followed our exercise of rights granted to us under the parties’ prior Collaborative Research &amp; Option Agreement dated November 16, 2020 (the “Collaboration Agreement”), under which M.D. Anderson granted us an option to obtain a license to specified technologies. Under the M.D. Anderson License Agreement, M.D. Anderson granted to us (a) an exclusive, worldwide, sublicensable license under certain intellectual property arising under the Collaboration Agreement and certain patent rights, (b) a non-exclusive, worldwide, sublicensable license under certain other intellectual property and (c) a non-exclusive, worldwide, sublicensable license under additional intellectual property to practice certain intellectual property arising under the Collaboration Agreement, in each case (a)—(c), to make, have made, use, sell, offer for sale, import, develop, and commercialize certain products developed during the Collaboration Agreement (the “Developed Products”) and licensed products for use in human therapeutics, diagnostics, and prophylactics. </w:t>
      </w:r>
    </w:p>
    <w:p>
      <w:pPr>
        <w:pStyle w:val="TextBody"/>
        <w:bidi w:val="0"/>
        <w:spacing w:before="240" w:after="0"/>
        <w:jc w:val="left"/>
        <w:rPr>
          <w:rFonts w:ascii="Times New Roman" w:hAnsi="Times New Roman"/>
          <w:sz w:val="20"/>
        </w:rPr>
      </w:pPr>
      <w:r>
        <w:rPr>
          <w:rFonts w:ascii="Times New Roman" w:hAnsi="Times New Roman"/>
          <w:sz w:val="20"/>
        </w:rPr>
        <w:t xml:space="preserve">Under the M.D. Anderson License Agreement, we are obligated to use commercially reasonable efforts to develop and seek marketing authorization for Developed Products and licensed products, and to commercialize such Developed Products and licensed products. </w:t>
      </w:r>
    </w:p>
    <w:p>
      <w:pPr>
        <w:pStyle w:val="TextBody"/>
        <w:bidi w:val="0"/>
        <w:spacing w:before="240" w:after="0"/>
        <w:jc w:val="left"/>
        <w:rPr>
          <w:rFonts w:ascii="Times New Roman" w:hAnsi="Times New Roman"/>
          <w:sz w:val="20"/>
        </w:rPr>
      </w:pPr>
      <w:r>
        <w:rPr>
          <w:rFonts w:ascii="Times New Roman" w:hAnsi="Times New Roman"/>
          <w:sz w:val="20"/>
        </w:rPr>
        <w:t>Under the M.D. Anderson License Agreement, we are obligated to pay to M.D. Anderson (a) a royalty on net sales of Developed Products and licensed products at a low single digit percentage, (b) milestone payments of up to $75.0 million upon the achievement of certain specified clinical and regulatory milestones and up to $90.0 million upon the achievement of certain specified sales milestone events, which milestones may be payable with respect to multiple products and indications and (c) a share of certain consideration received by us from sublicensees under any sublicense agreements with third parties.</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have made approximately $11.1 million in aggregate payments to M.D. Anderson in connection with the Collaboration Agreement and the M.D. Anderson License Agreement, including with respect to the payment of option exercise fees, milestone payments and certain reimbursable patent expenses and research fees which were incurred by M.D. Anderson prior to entering into the M.D. Anderson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 of the M.D. Anderson License Agreement continues until the last to occur of: (a) the expiration of the last valid claim within certain licensed patent rights or (b) a specified period following the first commercial sale of a licensed product or Developed Product in any country.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terminate the M.D. Anderson License Agreement for convenience upon certain prior written notice or by giving written notice to M.D. Anderson upon a material breach that is not remediated within a specified period of time. M.D. Anderson may terminate the M.D. Anderson License Agreement due to our insolvency or bankruptcy or by giving written notice to us upon a material breach that is not remediated within a specified period of time. The M.D. Anderson License Agreement may be terminated by the Board of Regents upon notice for an uncured challenge of the Board of Regents’ patents and by mutual agreement of us and the Board of Regents.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we had 71 full-time employees; 26 of whom have M.D. or Ph.D. degrees. We also engage consultants and advisors with specialized expertise in clinical development, regulatory affairs, and other technical areas as needed to support our operations. Within our workforce, 53 employees are engaged in research and development and 17 are engaged in business development, finance, information technology, and general management and administration. Our human capital resources objectives include identifying, recruiting, engaging, incentivizing, developing, and retaining our existing and new employees. None of our employees are represented by labor unions or covered by collective bargaining agreements. We consider our relationship with our employees to be good.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is located in Cambridge, Massachusetts, where we lease and occupy 17,807 square feet of office and laboratory space. The current term of our Cambridge lease expires on January 31, 2027. In addition, our technical development facility is located in Bedford, Massachusetts, where we lease and occupy 9,896 square feet of office and laboratory space pursuant to a lease agreement that expires on December 31, 2028 with an option to extend the lease term for an additional five year period.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right"/>
        <w:rPr>
          <w:rFonts w:ascii="Times New Roman" w:hAnsi="Times New Roman"/>
          <w:b/>
          <w:sz w:val="20"/>
        </w:rPr>
      </w:pPr>
      <w:bookmarkStart w:id="48" w:name="d309963dex994.htm"/>
      <w:bookmarkStart w:id="49" w:name="ksd309963dex994"/>
      <w:bookmarkEnd w:id="48"/>
      <w:bookmarkEnd w:id="49"/>
      <w:r>
        <w:rPr>
          <w:rFonts w:ascii="Times New Roman" w:hAnsi="Times New Roman"/>
          <w:b/>
          <w:sz w:val="20"/>
        </w:rPr>
        <w:t xml:space="preserve">Exhibit 99.4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i/>
          <w:sz w:val="20"/>
        </w:rPr>
        <w:t>Unless the context otherwise requires, references in this section to “we,” “us,”</w:t>
      </w:r>
      <w:r>
        <w:rPr>
          <w:rFonts w:ascii="Times New Roman" w:hAnsi="Times New Roman"/>
          <w:sz w:val="20"/>
        </w:rPr>
        <w:t> “</w:t>
      </w:r>
      <w:r>
        <w:rPr>
          <w:rFonts w:ascii="Times New Roman" w:hAnsi="Times New Roman"/>
          <w:i/>
          <w:sz w:val="20"/>
        </w:rPr>
        <w:t>our” and the “Company” refer to Obsidian</w:t>
      </w:r>
      <w:r>
        <w:rPr>
          <w:rFonts w:ascii="Times New Roman" w:hAnsi="Times New Roman"/>
          <w:sz w:val="20"/>
        </w:rPr>
        <w:t>. </w:t>
      </w:r>
      <w:r>
        <w:rPr>
          <w:rFonts w:ascii="Times New Roman" w:hAnsi="Times New Roman"/>
          <w:i/>
          <w:sz w:val="20"/>
        </w:rPr>
        <w:t>You should read the following discussion and analysis of our financial condition and results of operations in conjunction with our audited consolidated financial statements for the years ended December</w:t>
      </w:r>
      <w:r>
        <w:rPr>
          <w:rFonts w:ascii="Times New Roman" w:hAnsi="Times New Roman"/>
          <w:sz w:val="20"/>
        </w:rPr>
        <w:t> </w:t>
      </w:r>
      <w:r>
        <w:rPr>
          <w:rFonts w:ascii="Times New Roman" w:hAnsi="Times New Roman"/>
          <w:i/>
          <w:sz w:val="20"/>
        </w:rPr>
        <w:t>31, 2025 and 2024, unaudited condensed consolidated financial statements for the three months ended March</w:t>
      </w:r>
      <w:r>
        <w:rPr>
          <w:rFonts w:ascii="Times New Roman" w:hAnsi="Times New Roman"/>
          <w:sz w:val="20"/>
        </w:rPr>
        <w:t> </w:t>
      </w:r>
      <w:r>
        <w:rPr>
          <w:rFonts w:ascii="Times New Roman" w:hAnsi="Times New Roman"/>
          <w:i/>
          <w:sz w:val="20"/>
        </w:rPr>
        <w:t>31, 2026 and 2025, and the related notes and other financial information included elsewhere in this Current Report on Form 8-K. This discussion and analysis and other parts of this Current Report on Form 8-K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Current Report on Form 8-K. You should carefully read the “Risk Factors” section of this Current Report on Form 8-K to gain an understanding of the important factors that could cause actual results to differ materially from our forward-looking statements. Please also see “Cautionary Statement Regarding Forward-Looking Statements.”</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harnessing novel protein-regulation technology to develop engineered tumor infiltrating lymphocytes, or TIL, cell therapies for the treatment of patients with solid tumors. Our proprietary cytoDRiVE platform is highly versatile and allows us to leverage drug responsive domains to control protein function, with our initial focus on TIL cell therapies developed from this platform, or cytoTILs. Our lead product candidate, OBX-115, is a novel, genetically engineered, autologous TIL cell therapy currently in a Phase 2 clinical trial for the treatment of advanced melanoma and a Phase 1 clinical trial for the treatment of non-small cell lung cancer, or NSCLC. Our proprietary cytoDRiVE platform has enabled OBX-115 to have the potential to drive superior tumor-killing activity with a significantly more tolerable safety profile. In contrast to other TIL approaches, OBX-115 is designed with regulatable membrane-bound IL15, or mbIL15, which drives TIL persistence, eliminates the need to dose toxic interleukin-2 and enables outpatient administration of low-dose lymphodepletion. Furthermore, OBX-115 can be manufactured using tumor tissue procurement from an outpatient, minimally invasive core needle biopsy. Across a cohort of fifteen patients with treatment-resistant or refractory melanoma in our Phase 1/2 clinical trial, OBX-115 administration at the recommended Phase 2 dose demonstrated a 67% confirmed objective response rate, or ORR, and significant tumor burden reduction, including two confirmed complete responses. This response rate, to our knowledge, is the highest current ORR shown in this setting across modalities. We believe that, if approved, the more favorable product profile will support rapid market adoption of OBX-115 relative to currently available TIL cell therapies. OBX-115 has been granted Fast Track and Regenerative Medicine Advanced Therapy designations from the U.S. Food and Drug Administration, or FDA, for the treatment of patients with unresectable or metastatic melanoma that is resistant to immune checkpoint inhibitor, or ICI, therapy. In our Phase 1 clinical trial in NSCLC, early clinical results show robust tumor shrinkage and include multiple confirmed partial responses, or PRs. We expect to announce additional data in the first half of 2027. We believe our product candidates are distinct from current cell therapies and have the potential to significantly impact the treatment of solid tumors and clinical outcomes of patients with cancer.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generated any revenue from product sales. Our historical revenue has been derived solely from certain collaboration and license agreements, all of which have since expired or concluded. As a result, we currently do not have any active revenue-generating arrangements, and we do not expect revenue in the near term unless and until we enter into new collaboration agreements or successfully commercialize one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incurred significant operating losses and negative cash flows from operations, reflecting our primary focus on advancing our research and development programs, building our platform, and supporting early-stage clinical and preclinical activities. We expect operating losses and negative cash flows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 for the foreseeable future as we further develop our product candidates, expand our organization, and incur additional costs associated with becoming and operating as a public company. Our net losses were $19.6 million and $25.0 million for three months ended March 31, 2026 and 2025, respectively, and $100.6 million and $83.1 million for the years ended December 31, 2025 and 2024, respectively. As of March 31, 2026, we had an accumulated deficit of $315.6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expenses and operating losses will increase substantially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conduct our ongoing preclinical studies and ongoing and planned clinical trials of OBX-115;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utilize third parties to manufacture OBX-115 and any future product candidates and related raw materials or, should we decide to do so, build and maintain a commercial-scale current Good Manufacturing Practices, or cGMP, manufacturing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early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additional research programs and program candidates to expand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research and development, clinical, commercial, and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enforce, defend and protect our intellectual property portfolio and provide reimbursement of third-party expenses related to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OBX-115 and any of our future product candidates for which we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 a sales, marketing and distribution infrastructure to commercialize any therapies for which we may obtain marketing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costs associated with being a public company, including audit, legal, regulatory, and tax-related services associated with maintaining compliance with an exchange listing and Securities and Exchange Commission, or SEC, requirements, director and officer insurance premiums and investor relations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clinical development, regulatory, and commercial milestone payment obligations under our licensing arrangement with the University of Texas M.D. Anderson Cancer Center, or M.D. Anderson, as described below. Our net losses may fluctuate significantly from quarter-to-quarter and year-to-year, depending on the timing of our preclinical studies and our ongoing and planned clinical trials and our expenditures on other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to generate any revenue from product sales unless and until we successfully complete development and obtain regulatory approval for one or more of OBX-115 or any future product candidates, which will not be for at least the next several years, if ever. If we obtain regulatory approval for any of OBX-115 or future product candidates, we expect to incur significant commercialization expenses related to product sales, marketing, manufacturing and distribution. Accordingly, until such time as we can generate significant revenue from sales of OBX-115 or any future product candidates, if ever, we expect to finance our cash needs through equity offerings, debt financings or other capital sources, including potential collaborations, licenses and other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the Company entered into a definitive merger agreement with Galera Therapeutics, Inc. (“Galera”), pursuant to which both companies are expected to become wholly owned subsidiaries of a newly formed holding company. In connection with the proposed merger, the Company and Galera announced commitments for a private placement financing with expected gross proceeds of approximately $350.0 million, which is expected to close immediately prior to completion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completion of the merger and the related private placement financing is subject to a number of conditions outside the Company’s control, including regulatory approvals, effectiveness of the applicable registration statement, approval by Galera stockholders, and satisfaction of other customary closing conditions. As of the date these financial statements are issued, those approvals have not been obtained and the transactions have not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Although management believes that the merger and private placement financing, if completed, would provide sufficient liquidity to fund the combined company’s operations beyond the one-year look-forward period, management cannot conclude that the completion of these transactions is probable as of the financial statement issuance date, as their successful execution depends on approvals and actions by third parties that are outside of management’s control. </w:t>
      </w:r>
    </w:p>
    <w:p>
      <w:pPr>
        <w:pStyle w:val="TextBody"/>
        <w:bidi w:val="0"/>
        <w:spacing w:before="240" w:after="0"/>
        <w:jc w:val="left"/>
        <w:rPr>
          <w:rFonts w:ascii="Times New Roman" w:hAnsi="Times New Roman"/>
          <w:sz w:val="20"/>
        </w:rPr>
      </w:pPr>
      <w:r>
        <w:rPr>
          <w:rFonts w:ascii="Times New Roman" w:hAnsi="Times New Roman"/>
          <w:sz w:val="20"/>
        </w:rPr>
        <w:t>Accordingly, management has concluded that substantial doubt exists about the Company’s ability to continue as a going concern within one year after the date that these financial statements are issued. The financial statements do not include any adjustments that might result from the outcome of this uncertainty. See “-</w:t>
      </w:r>
      <w:r>
        <w:rPr>
          <w:rFonts w:ascii="Times New Roman" w:hAnsi="Times New Roman"/>
          <w:i/>
          <w:sz w:val="20"/>
        </w:rPr>
        <w:t>Liquidity and Capital Resources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we had cash and cash equivalents and marketable securities of $58.8 million. Based upon our current operating plans, we believe that the estimated net proceeds from this offering, together with our existing cash and cash equivalents and short-term investments in marketable securities, will be sufficient to fund our operations into the second half of 2028.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recognized any revenues from product sales. We do not expect to generate any revenue from the sale of products in the foreseeable future. If our development efforts for OBX-115 or any future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personnel-related costs, including salaries, bonuses, benefits, and stock-based compensation charges for those individuals in research and development functions, other internal and external costs associated with our research and development activities, our discovery and research efforts, and the preclinical and clinical development of OBX-115 and any future product candidates. Our research and development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costs, including salaries, bonuses, benefits, and stock-based compensation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expenses, including expenses incurred under arrangements with third parties, such as sponsored research agreements, contract research organizations, contract development and manufacturing organizations, consultants and our scientific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developing and validating our manufacturing process for use in our preclinical studies and ongoing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to obtain licenses to intellectual property and related future payments should certain development and regulatory milestones be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for laboratory supplies, research materials and reagents;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facility costs, depreciation, and other expenses, which include direct and allocated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Advance payments that we make for goods or services to be received in the future for use in research and development activities are recorded as prepaid expenses. Such amounts are recognized as expenses as the goods are delivered or the related services are performed, or until it is no longer expected that such goods will be delivered, or such services will be rendered. Most of our research and development expenses have been related to identifying and developing our product candidates. We have not reported program costs because we have not historically tracked or recorded our research and development expenses on a program-by-program basis.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technology platform and, as such, are not separately classified. </w:t>
      </w:r>
    </w:p>
    <w:p>
      <w:pPr>
        <w:pStyle w:val="TextBody"/>
        <w:bidi w:val="0"/>
        <w:spacing w:before="240" w:after="0"/>
        <w:jc w:val="left"/>
        <w:rPr>
          <w:rFonts w:ascii="Times New Roman" w:hAnsi="Times New Roman"/>
          <w:sz w:val="20"/>
        </w:rPr>
      </w:pPr>
      <w:r>
        <w:rPr>
          <w:rFonts w:ascii="Times New Roman" w:hAnsi="Times New Roman"/>
          <w:sz w:val="20"/>
        </w:rPr>
        <w:t xml:space="preserve">We plan to substantially increase our research and development expenses for the foreseeable future as we continue to conduct our ongoing research and development activities, advance our preclinical research programs toward clinical development, and conduct our current and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timelines and costs with research and development activities are uncertain and can vary significantly for OBX-115 and any future product candidate and development program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 </w:t>
      </w:r>
    </w:p>
    <w:p>
      <w:pPr>
        <w:pStyle w:val="TextBody"/>
        <w:bidi w:val="0"/>
        <w:spacing w:before="240" w:after="0"/>
        <w:jc w:val="left"/>
        <w:rPr>
          <w:rFonts w:ascii="Times New Roman" w:hAnsi="Times New Roman"/>
          <w:sz w:val="20"/>
        </w:rPr>
      </w:pPr>
      <w:r>
        <w:rPr>
          <w:rFonts w:ascii="Times New Roman" w:hAnsi="Times New Roman"/>
          <w:sz w:val="20"/>
        </w:rPr>
        <w:t xml:space="preserve">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the amount and timing of any milestone payment due under any existing or future license or collaboration agreement or asset acquisition, and continued acceptable safety, tolerability and efficacy profile of OBX-115 and any future product candidates that we may develop following approval. </w:t>
      </w:r>
    </w:p>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OBX-115 or any future product candidate could mean a significant change in the costs and timing associated with the development of that product candidate. For example, if the FDA, the EMA or another regulatory authority 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general and administrative expenses will increase in the foreseeable future to support our increased research and development activities. These increases will likely include increased costs related to the hiring of additional personnel and fees paid to outside consultants, among other expenses. We also anticipate increased expenses related to audit, accounting, legal, regulatory, and tax-related services associated with maintaining compliance with the Nasdaq Stock Exchange, or Nasdaq, and SEC requirements, director and officer insurance premiums, and investor relations costs associated with operating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primarily of interest income earned on our cash, cash equivalents and marketable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Benefit (Expense)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March 31,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March 31, 2026 and 2025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19"/>
        <w:gridCol w:w="301"/>
        <w:gridCol w:w="140"/>
        <w:gridCol w:w="793"/>
        <w:gridCol w:w="155"/>
        <w:gridCol w:w="249"/>
        <w:gridCol w:w="140"/>
        <w:gridCol w:w="793"/>
        <w:gridCol w:w="155"/>
        <w:gridCol w:w="249"/>
        <w:gridCol w:w="147"/>
        <w:gridCol w:w="673"/>
        <w:gridCol w:w="158"/>
      </w:tblGrid>
      <w:tr>
        <w:trPr/>
        <w:tc>
          <w:tcPr>
            <w:tcW w:w="461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8"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8"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15,732</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21,126</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(5,394</w:t>
            </w:r>
          </w:p>
        </w:tc>
        <w:tc>
          <w:tcPr>
            <w:tcW w:w="158"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4,548</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5,477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(929</w:t>
            </w:r>
          </w:p>
        </w:tc>
        <w:tc>
          <w:tcPr>
            <w:tcW w:w="158"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20,280</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26,603</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(6,323</w:t>
            </w:r>
          </w:p>
        </w:tc>
        <w:tc>
          <w:tcPr>
            <w:tcW w:w="158"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647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1,617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(970</w:t>
            </w:r>
          </w:p>
        </w:tc>
        <w:tc>
          <w:tcPr>
            <w:tcW w:w="158"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3" w:type="dxa"/>
            <w:tcBorders/>
            <w:shd w:fill="CCEEFF" w:val="clear"/>
            <w:vAlign w:val="bottom"/>
          </w:tcPr>
          <w:p>
            <w:pPr>
              <w:pStyle w:val="TableContents"/>
              <w:bidi w:val="0"/>
              <w:spacing w:before="0" w:after="283"/>
              <w:jc w:val="right"/>
              <w:rPr/>
            </w:pPr>
            <w:r>
              <w:rPr/>
              <w:t>(19,633</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(24,986</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5,353</w:t>
            </w:r>
          </w:p>
        </w:tc>
        <w:tc>
          <w:tcPr>
            <w:tcW w:w="158"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costs for each of the periods presented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57"/>
        <w:gridCol w:w="256"/>
        <w:gridCol w:w="140"/>
        <w:gridCol w:w="734"/>
        <w:gridCol w:w="60"/>
        <w:gridCol w:w="256"/>
        <w:gridCol w:w="140"/>
        <w:gridCol w:w="734"/>
        <w:gridCol w:w="60"/>
        <w:gridCol w:w="256"/>
        <w:gridCol w:w="147"/>
        <w:gridCol w:w="670"/>
        <w:gridCol w:w="162"/>
      </w:tblGrid>
      <w:tr>
        <w:trPr/>
        <w:tc>
          <w:tcPr>
            <w:tcW w:w="4957"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5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064"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tcBorders/>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2" w:type="dxa"/>
            <w:tcBorders/>
            <w:vAlign w:val="bottom"/>
          </w:tcPr>
          <w:p>
            <w:pPr>
              <w:pStyle w:val="TableContents"/>
              <w:bidi w:val="0"/>
              <w:spacing w:before="0" w:after="283"/>
              <w:jc w:val="left"/>
              <w:rPr/>
            </w:pPr>
            <w:r>
              <w:rPr/>
              <w:t> </w:t>
            </w:r>
          </w:p>
        </w:tc>
      </w:tr>
      <w:tr>
        <w:trPr/>
        <w:tc>
          <w:tcPr>
            <w:tcW w:w="4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7,644</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12,009</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(4,365</w:t>
            </w:r>
          </w:p>
        </w:tc>
        <w:tc>
          <w:tcPr>
            <w:tcW w:w="162" w:type="dxa"/>
            <w:tcBorders/>
            <w:shd w:fill="CCEEFF" w:val="clear"/>
            <w:vAlign w:val="bottom"/>
          </w:tcPr>
          <w:p>
            <w:pPr>
              <w:pStyle w:val="TableContents"/>
              <w:bidi w:val="0"/>
              <w:spacing w:before="0" w:after="283"/>
              <w:jc w:val="left"/>
              <w:rPr/>
            </w:pPr>
            <w:r>
              <w:rPr/>
              <w:t>) </w:t>
            </w:r>
          </w:p>
        </w:tc>
      </w:tr>
      <w:tr>
        <w:trPr/>
        <w:tc>
          <w:tcPr>
            <w:tcW w:w="4957"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 (including stock-based compensation)</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5,928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6,914</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(986</w:t>
            </w:r>
          </w:p>
        </w:tc>
        <w:tc>
          <w:tcPr>
            <w:tcW w:w="162" w:type="dxa"/>
            <w:tcBorders/>
            <w:vAlign w:val="bottom"/>
          </w:tcPr>
          <w:p>
            <w:pPr>
              <w:pStyle w:val="TableContents"/>
              <w:bidi w:val="0"/>
              <w:spacing w:before="0" w:after="283"/>
              <w:jc w:val="left"/>
              <w:rPr/>
            </w:pPr>
            <w:r>
              <w:rPr/>
              <w:t>) </w:t>
            </w:r>
          </w:p>
        </w:tc>
      </w:tr>
      <w:tr>
        <w:trPr/>
        <w:tc>
          <w:tcPr>
            <w:tcW w:w="4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48</w:t>
            </w:r>
          </w:p>
        </w:tc>
        <w:tc>
          <w:tcPr>
            <w:tcW w:w="162" w:type="dxa"/>
            <w:tcBorders/>
            <w:shd w:fill="CCEEFF" w:val="clear"/>
            <w:vAlign w:val="bottom"/>
          </w:tcPr>
          <w:p>
            <w:pPr>
              <w:pStyle w:val="TableContents"/>
              <w:bidi w:val="0"/>
              <w:spacing w:before="0" w:after="283"/>
              <w:jc w:val="left"/>
              <w:rPr/>
            </w:pPr>
            <w:r>
              <w:rPr/>
              <w:t> </w:t>
            </w:r>
          </w:p>
        </w:tc>
      </w:tr>
      <w:tr>
        <w:trPr/>
        <w:tc>
          <w:tcPr>
            <w:tcW w:w="4957" w:type="dxa"/>
            <w:tcBorders/>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1,962</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2,053</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(91</w:t>
            </w:r>
          </w:p>
        </w:tc>
        <w:tc>
          <w:tcPr>
            <w:tcW w:w="162" w:type="dxa"/>
            <w:tcBorders/>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15,732</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21,126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(5,394</w:t>
            </w:r>
          </w:p>
        </w:tc>
        <w:tc>
          <w:tcPr>
            <w:tcW w:w="162"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$15.7 million for the three months ended March 31, 2026, compared to $21.1 million for the three months ended March 31, 2025. The decrease of $5.4 million was primarily due to a $4.4 million decrease in clinical and manufacturing activities related to the multi-center Phase 1/2 Agni-01 clinical trial reflecting lower levels of activity in 2026 as the study winds down as well as a $1.0 million decrease in costs related to compensation and related expenses (including stock-based compensation), driven by decreased headcount,. These decreases were primarily related to organizational actions taken to streamline operations and align the Company’s cost structure with current business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$4.6 million for the three months ended March 31, 2026, compared to $5.5 million for the three months ended March 31, 2025. The decrease of $0.9 million was primarily due to a decrease in compensation and related activities. These decreases were primarily related to organizational actions taken to streamline operations and align the Company’s cost structure with current business needs.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$0.7 million for the three months ended March 31, 2026, compared to $1.6 million for the three months ended March 31, 2025. The decrease of $1.0 million was due to decreased interest income based on a lower marketable securities balance in 2026 compared to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years ended December 31, 2025 and 2024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84"/>
        <w:gridCol w:w="291"/>
        <w:gridCol w:w="140"/>
        <w:gridCol w:w="949"/>
        <w:gridCol w:w="164"/>
        <w:gridCol w:w="240"/>
        <w:gridCol w:w="140"/>
        <w:gridCol w:w="810"/>
        <w:gridCol w:w="155"/>
        <w:gridCol w:w="240"/>
        <w:gridCol w:w="140"/>
        <w:gridCol w:w="759"/>
        <w:gridCol w:w="160"/>
      </w:tblGrid>
      <w:tr>
        <w:trPr/>
        <w:tc>
          <w:tcPr>
            <w:tcW w:w="438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0"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86,113</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73,187</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12,926</w:t>
            </w:r>
          </w:p>
        </w:tc>
        <w:tc>
          <w:tcPr>
            <w:tcW w:w="160"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19,554</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18,068</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1,486</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105,667</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91,255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14,412</w:t>
            </w:r>
          </w:p>
        </w:tc>
        <w:tc>
          <w:tcPr>
            <w:tcW w:w="160"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5,060</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8,146</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(3,086</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(100,607</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(83,109</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(17,498</w:t>
            </w:r>
          </w:p>
        </w:tc>
        <w:tc>
          <w:tcPr>
            <w:tcW w:w="160"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costs for each of the periods presented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58"/>
        <w:gridCol w:w="254"/>
        <w:gridCol w:w="140"/>
        <w:gridCol w:w="682"/>
        <w:gridCol w:w="60"/>
        <w:gridCol w:w="254"/>
        <w:gridCol w:w="140"/>
        <w:gridCol w:w="682"/>
        <w:gridCol w:w="60"/>
        <w:gridCol w:w="254"/>
        <w:gridCol w:w="140"/>
        <w:gridCol w:w="682"/>
        <w:gridCol w:w="166"/>
      </w:tblGrid>
      <w:tr>
        <w:trPr/>
        <w:tc>
          <w:tcPr>
            <w:tcW w:w="5058"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5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6" w:type="dxa"/>
            <w:tcBorders/>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6"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Unallocated research and development expenses:</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Clinical and manufacturing activities</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52,065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36,831</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15,234</w:t>
            </w:r>
          </w:p>
        </w:tc>
        <w:tc>
          <w:tcPr>
            <w:tcW w:w="166"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and related expenses (including stock-based compensation)</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25,561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27,475</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(1,914</w:t>
            </w:r>
          </w:p>
        </w:tc>
        <w:tc>
          <w:tcPr>
            <w:tcW w:w="166" w:type="dxa"/>
            <w:tcBorders/>
            <w:shd w:fill="CCEEFF" w:val="clear"/>
            <w:vAlign w:val="bottom"/>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Drug discovery and platform</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1,026</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844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182</w:t>
            </w:r>
          </w:p>
        </w:tc>
        <w:tc>
          <w:tcPr>
            <w:tcW w:w="166" w:type="dxa"/>
            <w:tcBorders/>
            <w:vAlign w:val="bottom"/>
          </w:tcPr>
          <w:p>
            <w:pPr>
              <w:pStyle w:val="TableContents"/>
              <w:bidi w:val="0"/>
              <w:spacing w:before="0" w:after="283"/>
              <w:jc w:val="left"/>
              <w:rPr/>
            </w:pPr>
            <w:r>
              <w:rPr/>
              <w:t> </w:t>
            </w:r>
          </w:p>
        </w:tc>
      </w:tr>
      <w:tr>
        <w:trPr/>
        <w:tc>
          <w:tcPr>
            <w:tcW w:w="5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Occupancy and all other costs</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7,461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8,037</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(576</w:t>
            </w:r>
          </w:p>
        </w:tc>
        <w:tc>
          <w:tcPr>
            <w:tcW w:w="166" w:type="dxa"/>
            <w:tcBorders/>
            <w:shd w:fill="CCEEFF" w:val="clear"/>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505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86,113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73,187</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12,926</w:t>
            </w:r>
          </w:p>
        </w:tc>
        <w:tc>
          <w:tcPr>
            <w:tcW w:w="166" w:type="dxa"/>
            <w:tcBorders/>
            <w:vAlign w:val="bottom"/>
          </w:tcPr>
          <w:p>
            <w:pPr>
              <w:pStyle w:val="TableContents"/>
              <w:bidi w:val="0"/>
              <w:spacing w:before="0" w:after="283"/>
              <w:jc w:val="left"/>
              <w:rPr/>
            </w:pPr>
            <w:r>
              <w:rPr/>
              <w:t> </w:t>
            </w:r>
          </w:p>
        </w:tc>
      </w:tr>
      <w:tr>
        <w:trPr/>
        <w:tc>
          <w:tcPr>
            <w:tcW w:w="5058"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$86.1 million for the year ended December 31, 2025, compared to $73.2 million for the year ended December 31, 2024. The increase of $12.9 million was primarily due to a $15.2 million increase in clinical and manufacturing activities as well as $0.2 million increase in drug discovery and platform related to the multi-center Phase 1/2 Agni-01 clinical trial. These increases were partially offset by a decrease in costs related to compensation and related expenses (including stock-based compensation), and occupancy and all other costs of $1.9 million and $0.6 million, respectively. These decreases were primarily related to organizational actions taken to streamline operations and align the Company’s cost structure with current business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$19.6 million for the year ended December 31, 2025, compared to $18.1 million for the year ended December 31, 2024. The increase of $1.5 million was primarily due to an increase in compensation and related activities and an increase in consulting and professional services costs related to additional investments made to support our growth and prepare to operate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was $5.1 million for the year ended December 31, 2025, compared to $8.1 million for the year ended December 31, 2024. The decrease of $3.0 million was due to decreased interest income based on a lower marketable securities balance in 2025 compared to 2024.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not generated any revenue from product sales and have incurred significant operating losses and negative cash flows from operations. Our historical revenue has been derived solely from certain collaboration and license agreements, all of which have since expired or concluded. We expect to incur significant expenses and operating losses for the foreseeable future as we advance the clinical development of our pipeline. Further, upon the completion of the merger and the related private placement financing, we expect to incur additional costs associated with operating as a public company. From our inception through March 31, 2026, we have received aggregate gross proceeds of $336.5 million from the issuance of convertible preferred stock, Simple Agreements for Future Equity and convertible notes in private placements and $122.5 million in upfront and milestone payments under our prior collaboration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we had cash equivalents and short-term investments in marketable securities of $58.8 million. Based upon our current operating plans, we believe that the estimated net proceeds from the concurrent financing, together with our existing cash equivalents and marketable securities, will be sufficient to fund our operations into the second half of 2028. Without additional funding, we will not have sufficient funds to meet our obligations within the next twelve months after the date that our financial statements included in this information statement/prospectus are issued.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will need to raise substantial additional capital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type, number, scope, progress, expansions, results, costs, and timing of, discovery, preclinical studies and clinical trials of OBX-115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OBX-115 and any future product candidates and commercial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OBX-115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additional collaborations, partnerships or licenses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any future collaboration agreements,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research and development, clinical or other costs under future collaboration agreements,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costs of obtaining, maintaining, and enforcing our patents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our preclinical and potential future clinical activities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OBX-115 and any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OBX-115 or any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OBX-115 and any future product candidates even if we would otherwise prefer to develop and market such product candidates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b/>
          <w:i/>
          <w:sz w:val="20"/>
        </w:rPr>
      </w:pPr>
      <w:r>
        <w:rPr>
          <w:rFonts w:ascii="Times New Roman" w:hAnsi="Times New Roman"/>
          <w:b/>
          <w:i/>
          <w:sz w:val="20"/>
        </w:rPr>
        <w:t>Comparison of the Three Months Ended March 31, 2026 and 2025</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three months ended March 31, 2026 and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1"/>
        <w:gridCol w:w="302"/>
        <w:gridCol w:w="140"/>
        <w:gridCol w:w="766"/>
        <w:gridCol w:w="155"/>
        <w:gridCol w:w="246"/>
        <w:gridCol w:w="140"/>
        <w:gridCol w:w="766"/>
        <w:gridCol w:w="159"/>
      </w:tblGrid>
      <w:tr>
        <w:trPr/>
        <w:tc>
          <w:tcPr>
            <w:tcW w:w="5081"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213"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w:t>
            </w:r>
          </w:p>
        </w:tc>
        <w:tc>
          <w:tcPr>
            <w:tcW w:w="159" w:type="dxa"/>
            <w:tcBorders/>
            <w:vAlign w:val="bottom"/>
          </w:tcPr>
          <w:p>
            <w:pPr>
              <w:pStyle w:val="TableContents"/>
              <w:bidi w:val="0"/>
              <w:spacing w:before="0" w:after="283"/>
              <w:jc w:val="left"/>
              <w:rPr/>
            </w:pPr>
            <w:r>
              <w:rPr/>
              <w:t> </w:t>
            </w:r>
          </w:p>
        </w:tc>
      </w:tr>
      <w:tr>
        <w:trPr/>
        <w:tc>
          <w:tcPr>
            <w:tcW w:w="50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0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(22,013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(24,368</w:t>
            </w:r>
          </w:p>
        </w:tc>
        <w:tc>
          <w:tcPr>
            <w:tcW w:w="159" w:type="dxa"/>
            <w:tcBorders/>
            <w:shd w:fill="CCEEFF" w:val="clear"/>
            <w:vAlign w:val="bottom"/>
          </w:tcPr>
          <w:p>
            <w:pPr>
              <w:pStyle w:val="TableContents"/>
              <w:bidi w:val="0"/>
              <w:spacing w:before="0" w:after="283"/>
              <w:jc w:val="left"/>
              <w:rPr/>
            </w:pPr>
            <w:r>
              <w:rPr/>
              <w:t>) </w:t>
            </w:r>
          </w:p>
        </w:tc>
      </w:tr>
      <w:tr>
        <w:trPr/>
        <w:tc>
          <w:tcPr>
            <w:tcW w:w="508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8,000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13,502</w:t>
            </w:r>
          </w:p>
        </w:tc>
        <w:tc>
          <w:tcPr>
            <w:tcW w:w="159" w:type="dxa"/>
            <w:tcBorders/>
            <w:vAlign w:val="bottom"/>
          </w:tcPr>
          <w:p>
            <w:pPr>
              <w:pStyle w:val="TableContents"/>
              <w:bidi w:val="0"/>
              <w:spacing w:before="0" w:after="283"/>
              <w:jc w:val="left"/>
              <w:rPr/>
            </w:pPr>
            <w:r>
              <w:rPr/>
              <w:t> </w:t>
            </w:r>
          </w:p>
        </w:tc>
      </w:tr>
      <w:tr>
        <w:trPr/>
        <w:tc>
          <w:tcPr>
            <w:tcW w:w="50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w:t>
            </w:r>
          </w:p>
        </w:tc>
        <w:tc>
          <w:tcPr>
            <w:tcW w:w="159" w:type="dxa"/>
            <w:tcBorders/>
            <w:shd w:fill="CCEEFF" w:val="clear"/>
            <w:vAlign w:val="bottom"/>
          </w:tcPr>
          <w:p>
            <w:pPr>
              <w:pStyle w:val="TableContents"/>
              <w:bidi w:val="0"/>
              <w:spacing w:before="0" w:after="283"/>
              <w:jc w:val="left"/>
              <w:rPr/>
            </w:pPr>
            <w:r>
              <w:rPr/>
              <w:t> </w:t>
            </w:r>
          </w:p>
        </w:tc>
      </w:tr>
      <w:tr>
        <w:trPr/>
        <w:tc>
          <w:tcPr>
            <w:tcW w:w="5081"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1"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(13,966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(10,860</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of $22.0 million was comprised of the net loss of $19.6 million and $1.5 million of non-cash items and a $3.9 million change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net cash used in operating activities of $24.4 million was comprised of the net loss of $25.0 million, $1.6 million of non-cash items and $1.0 million change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provided by investing activities of $8.0 million was comprised of the maturities of marketable securities. For the three months ended March 31, 2025, net cash used in investing activities of $13.5 million was primarily comprised of $36.0 million of maturities of marketable securities, partially offset by $22.4 million of marketable securities purchases.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and 2025, the cash provided by financing activities did not have a meaningful impact on our operations. </w:t>
      </w:r>
    </w:p>
    <w:p>
      <w:pPr>
        <w:pStyle w:val="TextBody"/>
        <w:bidi w:val="0"/>
        <w:spacing w:before="360" w:after="0"/>
        <w:jc w:val="left"/>
        <w:rPr>
          <w:rFonts w:ascii="Times New Roman" w:hAnsi="Times New Roman"/>
          <w:b/>
          <w:i/>
          <w:sz w:val="20"/>
        </w:rPr>
      </w:pPr>
      <w:r>
        <w:rPr>
          <w:rFonts w:ascii="Times New Roman" w:hAnsi="Times New Roman"/>
          <w:b/>
          <w:i/>
          <w:sz w:val="20"/>
        </w:rPr>
        <w:t>Comparison of the Years Ended December 31, 2025 and 2024</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years ended December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65"/>
        <w:gridCol w:w="357"/>
        <w:gridCol w:w="140"/>
        <w:gridCol w:w="764"/>
        <w:gridCol w:w="166"/>
        <w:gridCol w:w="303"/>
        <w:gridCol w:w="140"/>
        <w:gridCol w:w="850"/>
        <w:gridCol w:w="170"/>
      </w:tblGrid>
      <w:tr>
        <w:trPr/>
        <w:tc>
          <w:tcPr>
            <w:tcW w:w="486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70"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(90,393</w:t>
            </w:r>
          </w:p>
        </w:tc>
        <w:tc>
          <w:tcPr>
            <w:tcW w:w="16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(75,002</w:t>
            </w:r>
          </w:p>
        </w:tc>
        <w:tc>
          <w:tcPr>
            <w:tcW w:w="170" w:type="dxa"/>
            <w:tcBorders/>
            <w:shd w:fill="CCEEFF" w:val="clear"/>
            <w:vAlign w:val="bottom"/>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81,017</w:t>
            </w:r>
          </w:p>
        </w:tc>
        <w:tc>
          <w:tcPr>
            <w:tcW w:w="16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(53,874</w:t>
            </w:r>
          </w:p>
        </w:tc>
        <w:tc>
          <w:tcPr>
            <w:tcW w:w="170" w:type="dxa"/>
            <w:tcBorders/>
            <w:vAlign w:val="bottom"/>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20</w:t>
            </w:r>
          </w:p>
        </w:tc>
        <w:tc>
          <w:tcPr>
            <w:tcW w:w="16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162,515</w:t>
            </w:r>
          </w:p>
        </w:tc>
        <w:tc>
          <w:tcPr>
            <w:tcW w:w="170"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(9,356</w:t>
            </w:r>
          </w:p>
        </w:tc>
        <w:tc>
          <w:tcPr>
            <w:tcW w:w="16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(33,639</w:t>
            </w:r>
          </w:p>
        </w:tc>
        <w:tc>
          <w:tcPr>
            <w:tcW w:w="17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of $90.4 million was comprised of the net loss of $100.6 million, $7.7 million increase of non-cash items and $2.6 million increase of changes in operating assets and liabilities. For the year ended December 31, 2024, net cash used in operating activities of $75.0 million was comprised of the net loss of $83.1 million, $6.4 million increase of non-cash items and $1.8 million increase of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investing activities of $81.0 million was primarily comprised of $162.0 million from the maturities of marketable securities offset by $80.9 million of purchases of marketable securities. For the year ended December 31, 2024, net cash used in investing activities of $53.9 million was primarily comprised of $131.1 million of purchases of marketable securities, partially offset by $78.0 million from the maturities of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cash provided by financing activities did not have a meaningful impact on our operations. For the year ended December 31, 2024, net cash provided by financing activities of $162.5 million was primarily comprised of $160.5 million of proceeds from the Series C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enter into contracts in the normal course of business with third parties for preclinical research studies, upcoming clinical trials and testing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the service providers, up to the date of cancellation and in the case of certain arrangements may include noncancelable fees. </w:t>
      </w:r>
    </w:p>
    <w:p>
      <w:pPr>
        <w:pStyle w:val="TextBody"/>
        <w:bidi w:val="0"/>
        <w:spacing w:before="360" w:after="0"/>
        <w:jc w:val="left"/>
        <w:rPr>
          <w:rFonts w:ascii="Times New Roman" w:hAnsi="Times New Roman"/>
          <w:i/>
          <w:sz w:val="20"/>
        </w:rPr>
      </w:pPr>
      <w:r>
        <w:rPr>
          <w:rFonts w:ascii="Times New Roman" w:hAnsi="Times New Roman"/>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amount of future operating lease obligations over the term of our leases was $4.5 million as of December 31, 2025, of which $3.0 million is expected to be paid within one year. For additional information on our leases and timing of future payments, see Note 11, </w:t>
      </w:r>
      <w:r>
        <w:rPr>
          <w:rFonts w:ascii="Times New Roman" w:hAnsi="Times New Roman"/>
          <w:i/>
          <w:sz w:val="20"/>
        </w:rPr>
        <w:t>Leases</w:t>
      </w:r>
      <w:r>
        <w:rPr>
          <w:rFonts w:ascii="Times New Roman" w:hAnsi="Times New Roman"/>
          <w:sz w:val="20"/>
        </w:rPr>
        <w:t xml:space="preserve">, to our consolidated financial statements included in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sz w:val="20"/>
        </w:rPr>
      </w:pPr>
      <w:r>
        <w:rPr>
          <w:rFonts w:ascii="Times New Roman" w:hAnsi="Times New Roman"/>
          <w:sz w:val="20"/>
        </w:rPr>
        <w:t>Below is a summary of the key terms for certain of our license and collaboration agreements. For a more detailed description of these agreements, see the section titled “</w:t>
      </w:r>
      <w:r>
        <w:rPr>
          <w:rFonts w:ascii="Times New Roman" w:hAnsi="Times New Roman"/>
          <w:i/>
          <w:sz w:val="20"/>
        </w:rPr>
        <w:t>Information Regarding Obsidian-M.D. Anderson License Agreement</w:t>
      </w:r>
      <w:r>
        <w:rPr>
          <w:rFonts w:ascii="Times New Roman" w:hAnsi="Times New Roman"/>
          <w:sz w:val="20"/>
        </w:rPr>
        <w:t xml:space="preserve">” beginning on page 262 of this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Collaboration and License Agreement with University of Texas M.D. Anderson Cancer Center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we entered into the Collaboration Agreement with the Board of Regents of The University of Texas System, on behalf of M.D. Anderson, designed to expedite the research and development of novel engineered tumor infiltrating lymphocytes, or TIL, for the treatment of solid tumors. Pursuant to the Collaboration Agreement, as amended, we agreed to fund research activities of up to $8.3 million over approximately two years and received the option to obtain a license to certain intellectual property arising from the collaboration. The collaboration focused on developing TIL containing regulated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we exercised our option to license certain intellectual property arising from the collaboration, and subsequently entered into the M.D. Anderson License Agreement, in October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M.D. Anderson License Agreement, we are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us from sublicensees under any sublicense agreements with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have made approximately $11.1 in aggregate payments to M.D. Anderson in connection with the Collaboration Agreement and the M.D. Anderson License Agreement, including with respect to the payment of option exercise fees, milestone payments and certain reimbursable patent and research expenses which were incurred by M.D. Anderson prior to entering into the M.D. Anderson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M.D. Anderson License Agreement may be terminated by the Board of Regents upon notice for an uncured challenge of the Board of Regents’ patents and by mutual agreement of us and the Board of Regents.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changes to the Company’s leases and license and collaboration agreements during the three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are based on our consolidated financial statements, which are prepared in accordance with generally accepted accounting principles in the United States, or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our significant accounting policies are more fully described in Note 2, “Summary of Significant Accounting Policies” to our consolidated financial statements appearing elsewhere in this Current Report on Form 8-K, we believe that the following accounting policies are the most critical for fully understanding and evaluating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Accruals </w:t>
      </w:r>
    </w:p>
    <w:p>
      <w:pPr>
        <w:pStyle w:val="TextBody"/>
        <w:bidi w:val="0"/>
        <w:spacing w:before="120" w:after="0"/>
        <w:jc w:val="left"/>
        <w:rPr>
          <w:rFonts w:ascii="Times New Roman" w:hAnsi="Times New Roman"/>
          <w:sz w:val="20"/>
        </w:rPr>
      </w:pPr>
      <w:r>
        <w:rPr>
          <w:rFonts w:ascii="Times New Roman" w:hAnsi="Times New Roman"/>
          <w:sz w:val="20"/>
        </w:rPr>
        <w:t xml:space="preserve">We record research and development expenses to operations as incurred. Research and development expenses represent costs incurred by us for the discovery and development of our product candidates and the development of our technology and include employee salaries, benefits and stock-based compensation, third-party research and development expenses, including contract manufacturing and research services, consulting expenses, laboratory supplies, and certain allocated expenses, as well as amounts incurred under license agreements. </w:t>
      </w:r>
    </w:p>
    <w:p>
      <w:pPr>
        <w:pStyle w:val="TextBody"/>
        <w:bidi w:val="0"/>
        <w:spacing w:before="240" w:after="0"/>
        <w:jc w:val="left"/>
        <w:rPr>
          <w:rFonts w:ascii="Times New Roman" w:hAnsi="Times New Roman"/>
          <w:sz w:val="20"/>
        </w:rPr>
      </w:pPr>
      <w:r>
        <w:rPr>
          <w:rFonts w:ascii="Times New Roman" w:hAnsi="Times New Roman"/>
          <w:sz w:val="20"/>
        </w:rPr>
        <w:t xml:space="preserve">We record accrued liabilities for estimated costs of research and development activities conducted by third-party service providers, which include the conduct of preclinical studies, clinical trials and contract manufacturing activities. We estimate preclinical study and clinical trial and other research and development expenses based on the services performed, pursuant to contracts with research institutions and third-party service providers that conduct and manage preclinical studies and clinical trials and research services on our behalf. We record the costs of research and development activities based upon the estimated services provided but not yet invoiced and include these costs in accrued expenses and other current liabilities in our consolidated balance sheets and in research and development expense in our consolidated statements of operations and comprehensive loss.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actual results and could result in us reporting amounts that are too high or too low in any particular period. Our accrued expenses are dependent, in part, upon the receipt of timely and accurate reporting from external third-party service providers. Contingent milestone payments, if any, are expensed when the milestone results are probable and estimable, which is generally upon the achievement of the milestone. </w:t>
      </w:r>
    </w:p>
    <w:p>
      <w:pPr>
        <w:pStyle w:val="TextBody"/>
        <w:bidi w:val="0"/>
        <w:spacing w:before="240" w:after="0"/>
        <w:jc w:val="left"/>
        <w:rPr>
          <w:rFonts w:ascii="Times New Roman" w:hAnsi="Times New Roman"/>
          <w:sz w:val="20"/>
        </w:rPr>
      </w:pPr>
      <w:r>
        <w:rPr>
          <w:rFonts w:ascii="Times New Roman" w:hAnsi="Times New Roman"/>
          <w:sz w:val="20"/>
        </w:rPr>
        <w:t xml:space="preserve">Our expenses related to clinical trials are based on estimates of patient enrollment and related expenses at clinical investigator sites as well as estimates for the services provided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stock-based awards granted to employees, nonemployees and directors based on the fair value on the date of the grant recognized using the Black-Scholes option-pricing model, which requires inputs based on certain subjective assumptions, including the expected fair value of our common stock, the expected stock price volatility, the expected term of the option, the risk-free interest rate for a period that approximates the expected term of the option, and our expected dividend yield. We recognized compensation expense for those awards over the requisite service period, which is generally the vesting period of the respective award. Forfeitures are accounted for as they occur. Generally, we issue stock-based awards in the form of stock options with only service-based vesting conditions and records the expense for these awards using the straight-line method. We have also issued stock-based awards in the form of stock options with both performance and service-based vesting conditions. We record the expense for stock-based awards with both performance and service-based vesting using an accelerated attribution method, once the performance conditions are considered probable of being achieved, using management’s best estimates. </w:t>
      </w:r>
    </w:p>
    <w:p>
      <w:pPr>
        <w:pStyle w:val="TextBody"/>
        <w:bidi w:val="0"/>
        <w:spacing w:before="240" w:after="0"/>
        <w:jc w:val="left"/>
        <w:rPr>
          <w:rFonts w:ascii="Times New Roman" w:hAnsi="Times New Roman"/>
          <w:sz w:val="20"/>
        </w:rPr>
      </w:pPr>
      <w:r>
        <w:rPr>
          <w:rFonts w:ascii="Times New Roman" w:hAnsi="Times New Roman"/>
          <w:sz w:val="20"/>
        </w:rPr>
        <w:t>Refer to Note 2,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Significant Accounting Policies</w:t>
      </w:r>
      <w:r>
        <w:rPr>
          <w:rFonts w:ascii="Times New Roman" w:hAnsi="Times New Roman"/>
          <w:sz w:val="20"/>
        </w:rPr>
        <w:t xml:space="preserve">,” to our consolidated financial statements appearing elsewhere in this Current Report on Form 8-K for the detail on certain subjective assumptions relating to fair value measurement of stock-based awards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our common stock, the estimated fair value of our common stock has been determined by the Obsidian Board after considering valuation reports provided by an independent third-party valuation firm and exercising reasonable judgment and considering numerous objective and subjective factors to determine the best estimate of the fair value of our common stock at each stock option grant date. These third-party valuations were performed in accordance with the guidance outlined in the American Institute of Certified Public Accountants’ Accounting and Valuation Guide, Valuation of Privately-Held-Company Equity Securities Issued as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recent third-party valuations of common stock, in accordance with the Practice Aid, were prepared using the hybrid method, which we determined was the most appropriate method for determining the fair value of our common unit based on our stage of development and other relevant factors. The option-pricing method, or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probability-weighted expected return method, or PWERM, is a scenario-based methodology that estimates the fair value of common stock based upon an analysis of future values for us, assuming various outcomes. The hybrid method is a combination of the PWERM and the OPM. In the hybrid method, various exit scenarios are analyzed and the equity value in one or more of the scenarios is calculated using an OPM with the term equal to the estimated time to liquidity.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the absence of a public trading market, the Obsidian Board, with input from management considered numerous objective and subjective factors to determine the fair value of our common stock. The factors included, but were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we sold preferred stock and preferences of the preferred stock relative to our common stock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our research and development efforts, including the status of clinical development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liquidity of our equity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stage of development and business strategy and the material risks related to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enterprise milestones, including entering into collaboration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for the holders of our preferred stock and holders of our common stock, such as a sale of our company, given prevailing market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the mergers, it will no longer be necessary for the Obsidian Board to estimate the fair value of our common stock in connection with our accounting for granted stock options and other such awards we may grant, as the fair value of our common stock will be determined based on the quoted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A description of recently issued accounting pronouncements that may potentially impact our financial position and results of operations is disclosed in Note 2, “</w:t>
      </w:r>
      <w:r>
        <w:rPr>
          <w:rFonts w:ascii="Times New Roman" w:hAnsi="Times New Roman"/>
          <w:i/>
          <w:sz w:val="20"/>
        </w:rPr>
        <w:t>Summary of Significant Accounting Policies</w:t>
      </w:r>
      <w:r>
        <w:rPr>
          <w:rFonts w:ascii="Times New Roman" w:hAnsi="Times New Roman"/>
          <w:sz w:val="20"/>
        </w:rPr>
        <w:t xml:space="preserve">” to our audited consolidated financial statements and unaudited condensed financial statements included elsewhere in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represents the risk of loss that may impact our financial position because of adverse changes in financial market prices and rates. Our market risk exposure is primarily a result of exposure resulting from potential changes in interest rates, exchange rates or inflation. We do not hold financial instruments for trading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we had $58.8 million, in cash, cash equivalents and marketable securities, which consisted of cash, money market funds, and U.S. treasury bills.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December 31, 2024, we had $80.5 million and $168.3 million, respectively, in cash, cash equivalents and marketable securities, which consisted of cash, money market funds, and U.S. treasury bills.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cash and cash equivalents are maintained in accounts with multiple financial institutions in the United States. We may maintain cash and cash equivalent balances in excess of Federal Deposit Insurance Corporation (FDIC)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All of our employees and our operations are currently located in the United States and our expenses are generally denominated in U.S. dollars. However, we do utilize certain vendors outside of the United States in connection with our research and development activities.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bidi w:val="0"/>
        <w:spacing w:before="120" w:after="0"/>
        <w:jc w:val="left"/>
        <w:rPr>
          <w:rFonts w:ascii="Times New Roman" w:hAnsi="Times New Roman"/>
          <w:sz w:val="20"/>
        </w:rPr>
      </w:pPr>
      <w:r>
        <w:rPr>
          <w:rFonts w:ascii="Times New Roman" w:hAnsi="Times New Roman"/>
          <w:sz w:val="20"/>
        </w:rPr>
        <w:t xml:space="preserve">Inflation generally affects us by increasing our labor and research and development expenses. We do not believe that inflation had a material effect on our business, financial condition, or results of operations during the years ended December 31, 2025 and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30606/000119312526281076/d117787dex21.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593</Pages>
  <Words>317004</Words>
  <Characters>1706965</Characters>
  <CharactersWithSpaces>2027185</CharactersWithSpaces>
  <Paragraphs>10656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