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OBSIDIAN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upon the earlier of (i) the one-year anniversary of the grant date or (ii) the date of the Issuer's annual meeting of stockholders following the grant date, subject to the Reporting Person's continued service with the Issuer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3077" TargetMode="External"/><Relationship Id="rId5" Type="http://schemas.openxmlformats.org/officeDocument/2006/relationships/hyperlink" Target="http://www.sec.gov/cgi-bin/browse-edgar?action=getcompany&amp;CIK=00021306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3401</Characters>
  <CharactersWithSpaces>3953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