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Obsidian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4,101,576.00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4,101,576.00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4,101,576.00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4,101,576.00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3,613,771.00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3,613,771.00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3,613,771.00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Obsidian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1030 Massachusetts Avenue,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September 28,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61,772,876 shares of Common Stock outstanding as of August 10, 2026, as reported by the Issuer in its Form 10-Q filed with the SEC on August 14,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tm2626606d1_ex99-1.htm"/>
      <w:bookmarkStart w:id="29" w:name="kstm2626606d1_ex991"/>
      <w:bookmarkEnd w:id="28"/>
      <w:bookmarkEnd w:id="29"/>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13G (including amendments thereto) with respect to the Common Shares, par value $0.0001 per share, of Obsidian Therapeutics, Inc., and further agree that this Joint Filing Agreement be included as an Exhibit to such joint filing. In evidence thereof, the undersigned hereby execute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GP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International Fund Ltd.</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35"/>
        <w:gridCol w:w="1370"/>
        <w:gridCol w:w="75"/>
      </w:tblGrid>
      <w:tr>
        <w:trPr/>
        <w:tc>
          <w:tcPr>
            <w:tcW w:w="335" w:type="dxa"/>
            <w:tcBorders/>
            <w:vAlign w:val="center"/>
          </w:tcPr>
          <w:p>
            <w:pPr>
              <w:pStyle w:val="TableContents"/>
              <w:bidi w:val="0"/>
              <w:spacing w:before="0" w:after="283"/>
              <w:jc w:val="left"/>
              <w:rPr>
                <w:sz w:val="20"/>
              </w:rPr>
            </w:pPr>
            <w:r>
              <w:rPr>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K. Kim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K. Kim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50"/>
        <w:gridCol w:w="75"/>
      </w:tblGrid>
      <w:tr>
        <w:trPr/>
        <w:tc>
          <w:tcPr>
            <w:tcW w:w="1850" w:type="dxa"/>
            <w:tcBorders>
              <w:bottom w:val="single" w:sz="8" w:space="0" w:color="000000"/>
            </w:tcBorders>
            <w:vAlign w:val="center"/>
          </w:tcPr>
          <w:p>
            <w:pPr>
              <w:pStyle w:val="TableContents"/>
              <w:bidi w:val="0"/>
              <w:spacing w:before="0" w:after="283"/>
              <w:jc w:val="left"/>
              <w:rPr>
                <w:sz w:val="20"/>
              </w:rPr>
            </w:pPr>
            <w:r>
              <w:rPr>
                <w:sz w:val="20"/>
              </w:rPr>
              <w:t>/s/ Senai Asefaw, M.D.</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Senai Asefaw,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8161</Characters>
  <CharactersWithSpaces>9673</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