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Norkunas Matthew</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OBSIDIAN THERAPEUTICS,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1030 MASSACHUSETTS AVE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CAMBRIDGE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02138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Obsidian Therapeutics, Inc.</w:t>
              </w:r>
            </w:hyperlink>
            <w:r>
              <w:rPr/>
              <w:t xml:space="preserve"> [ </w:t>
            </w:r>
            <w:r>
              <w:rPr>
                <w:rFonts w:ascii="Times;serif" w:hAnsi="Times;serif"/>
                <w:color w:val="0000FF"/>
                <w:sz w:val="24"/>
                <w:shd w:fill="FFFFFF" w:val="clear"/>
              </w:rPr>
              <w:t>OBX</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08/03/2026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02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711"/>
        <w:gridCol w:w="276"/>
        <w:gridCol w:w="906"/>
        <w:gridCol w:w="801"/>
        <w:gridCol w:w="891"/>
        <w:gridCol w:w="801"/>
        <w:gridCol w:w="801"/>
        <w:gridCol w:w="936"/>
        <w:gridCol w:w="831"/>
        <w:gridCol w:w="846"/>
      </w:tblGrid>
      <w:tr>
        <w:trPr>
          <w:tblHeader w:val="true"/>
        </w:trPr>
        <w:tc>
          <w:tcPr>
            <w:tcW w:w="120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08/03/2026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37,653</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08/02/2036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37,653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37,653</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shares underlying this option shall vest and become exercisable upon the earlier of (i) the one-year anniversary of the grant date or (ii) the date of the Issuer's annual meeting of stockholders following the grant date, subject to the Reporting Person's continued service with the Issuer on such vesting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Gabriela Morales-Rivera,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16836" TargetMode="External"/><Relationship Id="rId5" Type="http://schemas.openxmlformats.org/officeDocument/2006/relationships/hyperlink" Target="http://www.sec.gov/cgi-bin/browse-edgar?action=getcompany&amp;CIK=000213060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622</Words>
  <Characters>3404</Characters>
  <CharactersWithSpaces>3955</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