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Fardis Maria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OBSIDIAN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1030 MASSACHUSETTS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Obsidian Therapeutics, Inc.</w:t>
              </w:r>
            </w:hyperlink>
            <w:r>
              <w:rPr/>
              <w:t xml:space="preserve"> [ </w:t>
            </w:r>
            <w:r>
              <w:rPr>
                <w:rFonts w:ascii="Times;serif" w:hAnsi="Times;serif"/>
                <w:color w:val="0000FF"/>
                <w:sz w:val="24"/>
                <w:shd w:fill="FFFFFF" w:val="clear"/>
              </w:rPr>
              <w:t>OBX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37,653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shall vest and become exercisable upon the earlier of (i) the one-year anniversary of the grant date or (ii) the date of the Issuer's annual meeting of stockholders following the grant date, subject to the Reporting Person's continued service with the Issuer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Gabriela Morales-Rivera,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9231" TargetMode="External"/><Relationship Id="rId5" Type="http://schemas.openxmlformats.org/officeDocument/2006/relationships/hyperlink" Target="http://www.sec.gov/cgi-bin/browse-edgar?action=getcompany&amp;CIK=00021306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3400</Characters>
  <CharactersWithSpaces>3951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