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27696ds1.htm"/>
        <w:bookmarkStart w:id="1" w:name="ksd127696ds1"/>
        <w:bookmarkEnd w:id="0"/>
        <w:bookmarkEnd w:id="1"/>
        <w:r>
          <w:rPr>
            <w:rStyle w:val="InternetLink"/>
            <w:b/>
            <w:sz w:val="20"/>
          </w:rPr>
          <w:t>Table of Contents</w:t>
        </w:r>
      </w:hyperlink>
    </w:p>
    <w:p>
      <w:pPr>
        <w:pStyle w:val="TextBody"/>
        <w:bidi w:val="0"/>
        <w:spacing w:before="0" w:after="0"/>
        <w:jc w:val="center"/>
        <w:rPr>
          <w:rFonts w:ascii="Times New Roman" w:hAnsi="Times New Roman"/>
          <w:b/>
          <w:sz w:val="16"/>
        </w:rPr>
      </w:pPr>
      <w:r>
        <w:rPr>
          <w:rFonts w:ascii="Times New Roman" w:hAnsi="Times New Roman"/>
          <w:b/>
          <w:sz w:val="16"/>
        </w:rPr>
        <w:t xml:space="preserve">As filed with the Securities and Exchange Commission on August 28, 2026. </w:t>
      </w:r>
    </w:p>
    <w:p>
      <w:pPr>
        <w:pStyle w:val="TextBody"/>
        <w:bidi w:val="0"/>
        <w:spacing w:before="0" w:after="0"/>
        <w:ind w:left="0" w:right="0" w:hanging="0"/>
        <w:jc w:val="right"/>
        <w:rPr>
          <w:rFonts w:ascii="Times New Roman" w:hAnsi="Times New Roman"/>
          <w:b/>
          <w:spacing w:val="0"/>
          <w:sz w:val="16"/>
        </w:rPr>
      </w:pPr>
      <w:r>
        <w:rPr>
          <w:rFonts w:ascii="Times New Roman" w:hAnsi="Times New Roman"/>
          <w:b/>
          <w:spacing w:val="0"/>
          <w:sz w:val="16"/>
        </w:rPr>
        <w:t xml:space="preserve">Registration No. 333-   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0"/>
        <w:ind w:left="0" w:right="0" w:hanging="0"/>
        <w:jc w:val="left"/>
        <w:rPr/>
      </w:pPr>
      <w:r>
        <w:rPr/>
        <w:t> </w:t>
      </w:r>
    </w:p>
    <w:p>
      <w:pPr>
        <w:pStyle w:val="TextBody"/>
        <w:bidi w:val="0"/>
        <w:spacing w:lineRule="atLeast" w:line="142" w:before="0" w:after="40"/>
        <w:ind w:left="0" w:right="0" w:hanging="0"/>
        <w:jc w:val="left"/>
        <w:rPr/>
      </w:pPr>
      <w:r>
        <w:rPr/>
        <w:t> </w:t>
      </w:r>
    </w:p>
    <w:p>
      <w:pPr>
        <w:pStyle w:val="TextBody"/>
        <w:bidi w:val="0"/>
        <w:spacing w:before="80" w:after="0"/>
        <w:ind w:left="0" w:right="0" w:hanging="0"/>
        <w:jc w:val="center"/>
        <w:rPr>
          <w:rFonts w:ascii="Times New Roman" w:hAnsi="Times New Roman"/>
          <w:b/>
          <w:spacing w:val="0"/>
          <w:sz w:val="28"/>
        </w:rPr>
      </w:pPr>
      <w:r>
        <w:rPr>
          <w:rFonts w:ascii="Times New Roman" w:hAnsi="Times New Roman"/>
          <w:b/>
          <w:spacing w:val="0"/>
          <w:sz w:val="28"/>
        </w:rPr>
        <w:t xml:space="preserve">UNITED STATES </w:t>
      </w:r>
    </w:p>
    <w:p>
      <w:pPr>
        <w:pStyle w:val="TextBody"/>
        <w:bidi w:val="0"/>
        <w:spacing w:before="0" w:after="0"/>
        <w:ind w:left="0" w:right="0" w:hanging="0"/>
        <w:jc w:val="center"/>
        <w:rPr>
          <w:rFonts w:ascii="Times New Roman" w:hAnsi="Times New Roman"/>
          <w:b/>
          <w:spacing w:val="0"/>
          <w:sz w:val="28"/>
        </w:rPr>
      </w:pPr>
      <w:r>
        <w:rPr>
          <w:rFonts w:ascii="Times New Roman" w:hAnsi="Times New Roman"/>
          <w:b/>
          <w:spacing w:val="0"/>
          <w:sz w:val="28"/>
        </w:rPr>
        <w:t xml:space="preserve">SECURITIES AND EXCHANGE COMMISSION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8"/>
        </w:rPr>
      </w:pPr>
      <w:r>
        <w:rPr>
          <w:rFonts w:ascii="Times New Roman" w:hAnsi="Times New Roman"/>
          <w:b/>
          <w:sz w:val="28"/>
        </w:rPr>
        <w:t xml:space="preserve">FORM </w:t>
      </w:r>
    </w:p>
    <w:p>
      <w:pPr>
        <w:pStyle w:val="TextBody"/>
        <w:bidi w:val="0"/>
        <w:spacing w:before="120" w:after="0"/>
        <w:jc w:val="center"/>
        <w:rPr>
          <w:rFonts w:ascii="Times New Roman" w:hAnsi="Times New Roman"/>
          <w:b/>
          <w:spacing w:val="0"/>
          <w:sz w:val="28"/>
        </w:rPr>
      </w:pPr>
      <w:r>
        <w:rPr>
          <w:rFonts w:ascii="Times New Roman" w:hAnsi="Times New Roman"/>
          <w:b/>
          <w:spacing w:val="0"/>
          <w:sz w:val="28"/>
        </w:rPr>
        <w:t>S-1</w:t>
      </w:r>
    </w:p>
    <w:p>
      <w:pPr>
        <w:pStyle w:val="TextBody"/>
        <w:bidi w:val="0"/>
        <w:spacing w:before="0" w:after="0"/>
        <w:jc w:val="center"/>
        <w:rPr>
          <w:rFonts w:ascii="Times New Roman" w:hAnsi="Times New Roman"/>
          <w:b/>
          <w:sz w:val="28"/>
        </w:rPr>
      </w:pPr>
      <w:r>
        <w:rPr>
          <w:rFonts w:ascii="Times New Roman" w:hAnsi="Times New Roman"/>
          <w:b/>
          <w:sz w:val="28"/>
        </w:rPr>
        <w:t xml:space="preserve">REGISTRATION STATEMENT </w:t>
      </w:r>
    </w:p>
    <w:p>
      <w:pPr>
        <w:pStyle w:val="TextBody"/>
        <w:bidi w:val="0"/>
        <w:spacing w:before="0" w:after="0"/>
        <w:jc w:val="center"/>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UNDER </w:t>
      </w:r>
    </w:p>
    <w:p>
      <w:pPr>
        <w:pStyle w:val="TextBody"/>
        <w:bidi w:val="0"/>
        <w:spacing w:before="0" w:after="0"/>
        <w:jc w:val="center"/>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0"/>
        </w:rPr>
      </w:pPr>
      <w:r>
        <w:rPr>
          <w:rFonts w:ascii="Times New Roman" w:hAnsi="Times New Roman"/>
          <w:b/>
          <w:sz w:val="40"/>
        </w:rPr>
        <w:t xml:space="preserve">OBSIDIAN THERAPEUTICS, INC. </w:t>
      </w:r>
    </w:p>
    <w:p>
      <w:pPr>
        <w:pStyle w:val="TextBody"/>
        <w:bidi w:val="0"/>
        <w:spacing w:before="0" w:after="0"/>
        <w:jc w:val="center"/>
        <w:rPr>
          <w:rFonts w:ascii="Times New Roman" w:hAnsi="Times New Roman"/>
          <w:b/>
          <w:sz w:val="16"/>
        </w:rPr>
      </w:pPr>
      <w:r>
        <w:rPr>
          <w:rFonts w:ascii="Times New Roman" w:hAnsi="Times New Roman"/>
          <w:b/>
          <w:sz w:val="16"/>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16"/>
        </w:rPr>
      </w:pPr>
      <w:r>
        <w:rPr>
          <w:rFonts w:ascii="Times New Roman" w:hAnsi="Times New Roman"/>
          <w:b/>
          <w:sz w:val="16"/>
        </w:rPr>
        <w:t xml:space="preserve">Delaware </w:t>
      </w:r>
    </w:p>
    <w:p>
      <w:pPr>
        <w:pStyle w:val="TextBody"/>
        <w:bidi w:val="0"/>
        <w:spacing w:before="0" w:after="0"/>
        <w:jc w:val="center"/>
        <w:rPr>
          <w:rFonts w:ascii="Times New Roman" w:hAnsi="Times New Roman"/>
          <w:b/>
          <w:sz w:val="14"/>
        </w:rPr>
      </w:pPr>
      <w:r>
        <w:rPr>
          <w:rFonts w:ascii="Times New Roman" w:hAnsi="Times New Roman"/>
          <w:b/>
          <w:sz w:val="14"/>
        </w:rPr>
        <w:t xml:space="preserve">(State or other jurisdiction of incorporation or organization) </w:t>
      </w:r>
    </w:p>
    <w:p>
      <w:pPr>
        <w:pStyle w:val="TextBody"/>
        <w:bidi w:val="0"/>
        <w:spacing w:before="120" w:after="0"/>
        <w:jc w:val="center"/>
        <w:rPr>
          <w:rFonts w:ascii="Times New Roman" w:hAnsi="Times New Roman"/>
          <w:b/>
          <w:sz w:val="16"/>
        </w:rPr>
      </w:pPr>
      <w:r>
        <w:rPr>
          <w:rFonts w:ascii="Times New Roman" w:hAnsi="Times New Roman"/>
          <w:b/>
          <w:sz w:val="16"/>
        </w:rPr>
        <w:t xml:space="preserve">2834 </w:t>
      </w:r>
    </w:p>
    <w:p>
      <w:pPr>
        <w:pStyle w:val="TextBody"/>
        <w:bidi w:val="0"/>
        <w:spacing w:before="0" w:after="0"/>
        <w:jc w:val="center"/>
        <w:rPr>
          <w:rFonts w:ascii="Times New Roman" w:hAnsi="Times New Roman"/>
          <w:b/>
          <w:sz w:val="14"/>
        </w:rPr>
      </w:pPr>
      <w:r>
        <w:rPr>
          <w:rFonts w:ascii="Times New Roman" w:hAnsi="Times New Roman"/>
          <w:b/>
          <w:sz w:val="14"/>
        </w:rPr>
        <w:t xml:space="preserve">(Primary Standard Industrial Classification Code Number) </w:t>
      </w:r>
    </w:p>
    <w:p>
      <w:pPr>
        <w:pStyle w:val="TextBody"/>
        <w:bidi w:val="0"/>
        <w:spacing w:before="120" w:after="0"/>
        <w:jc w:val="center"/>
        <w:rPr>
          <w:rFonts w:ascii="Times New Roman" w:hAnsi="Times New Roman"/>
          <w:b/>
          <w:spacing w:val="0"/>
          <w:sz w:val="16"/>
        </w:rPr>
      </w:pPr>
      <w:r>
        <w:rPr>
          <w:rFonts w:ascii="Times New Roman" w:hAnsi="Times New Roman"/>
          <w:b/>
          <w:spacing w:val="0"/>
          <w:sz w:val="16"/>
        </w:rPr>
        <w:t>42-1977778</w:t>
      </w:r>
    </w:p>
    <w:p>
      <w:pPr>
        <w:pStyle w:val="TextBody"/>
        <w:bidi w:val="0"/>
        <w:spacing w:before="0" w:after="0"/>
        <w:jc w:val="center"/>
        <w:rPr>
          <w:rFonts w:ascii="Times New Roman" w:hAnsi="Times New Roman"/>
          <w:b/>
          <w:sz w:val="14"/>
        </w:rPr>
      </w:pPr>
      <w:r>
        <w:rPr>
          <w:rFonts w:ascii="Times New Roman" w:hAnsi="Times New Roman"/>
          <w:b/>
          <w:sz w:val="14"/>
        </w:rPr>
        <w:t xml:space="preserve">(I.R.S. Employer Identification Number) </w:t>
      </w:r>
    </w:p>
    <w:p>
      <w:pPr>
        <w:pStyle w:val="TextBody"/>
        <w:bidi w:val="0"/>
        <w:spacing w:before="120" w:after="0"/>
        <w:jc w:val="center"/>
        <w:rPr>
          <w:rFonts w:ascii="Times New Roman" w:hAnsi="Times New Roman"/>
          <w:b/>
          <w:sz w:val="16"/>
        </w:rPr>
      </w:pPr>
      <w:r>
        <w:rPr>
          <w:rFonts w:ascii="Times New Roman" w:hAnsi="Times New Roman"/>
          <w:b/>
          <w:sz w:val="16"/>
        </w:rPr>
        <w:t xml:space="preserve">1030 Massachusetts Avenue </w:t>
      </w:r>
    </w:p>
    <w:p>
      <w:pPr>
        <w:pStyle w:val="TextBody"/>
        <w:bidi w:val="0"/>
        <w:spacing w:before="0" w:after="0"/>
        <w:jc w:val="center"/>
        <w:rPr>
          <w:rFonts w:ascii="Times New Roman" w:hAnsi="Times New Roman"/>
          <w:b/>
          <w:sz w:val="16"/>
        </w:rPr>
      </w:pPr>
      <w:r>
        <w:rPr>
          <w:rFonts w:ascii="Times New Roman" w:hAnsi="Times New Roman"/>
          <w:b/>
          <w:sz w:val="16"/>
        </w:rPr>
        <w:t xml:space="preserve">Cambridge,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MA</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02138</w:t>
      </w:r>
    </w:p>
    <w:p>
      <w:pPr>
        <w:pStyle w:val="TextBody"/>
        <w:bidi w:val="0"/>
        <w:spacing w:before="0" w:after="0"/>
        <w:jc w:val="center"/>
        <w:rPr>
          <w:rFonts w:ascii="Times New Roman" w:hAnsi="Times New Roman"/>
          <w:b/>
          <w:sz w:val="16"/>
        </w:rPr>
      </w:pPr>
      <w:r>
        <w:rPr>
          <w:rFonts w:ascii="Times New Roman" w:hAnsi="Times New Roman"/>
          <w:b/>
          <w:sz w:val="16"/>
        </w:rPr>
        <w:t>(</w:t>
      </w:r>
    </w:p>
    <w:p>
      <w:pPr>
        <w:pStyle w:val="TextBody"/>
        <w:bidi w:val="0"/>
        <w:spacing w:before="0" w:after="0"/>
        <w:jc w:val="center"/>
        <w:rPr>
          <w:rFonts w:ascii="Times New Roman" w:hAnsi="Times New Roman"/>
          <w:b/>
          <w:sz w:val="15"/>
          <w:shd w:fill="FFFFFF" w:val="clear"/>
        </w:rPr>
      </w:pPr>
      <w:r>
        <w:rPr>
          <w:rFonts w:ascii="Times New Roman" w:hAnsi="Times New Roman"/>
          <w:b/>
          <w:sz w:val="15"/>
          <w:shd w:fill="FFFFFF" w:val="clear"/>
        </w:rPr>
        <w:t>781</w:t>
      </w:r>
    </w:p>
    <w:p>
      <w:pPr>
        <w:pStyle w:val="TextBody"/>
        <w:bidi w:val="0"/>
        <w:spacing w:before="0" w:after="0"/>
        <w:jc w:val="center"/>
        <w:rPr>
          <w:rFonts w:ascii="Times New Roman" w:hAnsi="Times New Roman"/>
          <w:b/>
          <w:sz w:val="16"/>
        </w:rPr>
      </w:pPr>
      <w:r>
        <w:rPr>
          <w:rFonts w:ascii="Times New Roman" w:hAnsi="Times New Roman"/>
          <w:b/>
          <w:sz w:val="16"/>
        </w:rPr>
        <w:t xml:space="preserve">) </w:t>
      </w:r>
    </w:p>
    <w:p>
      <w:pPr>
        <w:pStyle w:val="TextBody"/>
        <w:bidi w:val="0"/>
        <w:spacing w:before="0" w:after="0"/>
        <w:jc w:val="center"/>
        <w:rPr>
          <w:rFonts w:ascii="Times New Roman" w:hAnsi="Times New Roman"/>
          <w:b/>
          <w:spacing w:val="0"/>
          <w:sz w:val="15"/>
          <w:shd w:fill="FFFFFF" w:val="clear"/>
        </w:rPr>
      </w:pPr>
      <w:r>
        <w:rPr>
          <w:rFonts w:ascii="Times New Roman" w:hAnsi="Times New Roman"/>
          <w:b/>
          <w:spacing w:val="0"/>
          <w:sz w:val="15"/>
          <w:shd w:fill="FFFFFF" w:val="clear"/>
        </w:rPr>
        <w:t>806-6245</w:t>
      </w:r>
    </w:p>
    <w:p>
      <w:pPr>
        <w:pStyle w:val="TextBody"/>
        <w:bidi w:val="0"/>
        <w:spacing w:before="0" w:after="0"/>
        <w:jc w:val="center"/>
        <w:rPr>
          <w:rFonts w:ascii="Times New Roman" w:hAnsi="Times New Roman"/>
          <w:b/>
          <w:sz w:val="14"/>
        </w:rPr>
      </w:pPr>
      <w:r>
        <w:rPr>
          <w:rFonts w:ascii="Times New Roman" w:hAnsi="Times New Roman"/>
          <w:b/>
          <w:sz w:val="14"/>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16"/>
        </w:rPr>
      </w:pPr>
      <w:r>
        <w:rPr>
          <w:rFonts w:ascii="Times New Roman" w:hAnsi="Times New Roman"/>
          <w:b/>
          <w:sz w:val="16"/>
        </w:rPr>
        <w:t xml:space="preserve">Madan Jagasia </w:t>
      </w:r>
    </w:p>
    <w:p>
      <w:pPr>
        <w:pStyle w:val="TextBody"/>
        <w:bidi w:val="0"/>
        <w:spacing w:before="0" w:after="0"/>
        <w:jc w:val="center"/>
        <w:rPr>
          <w:rFonts w:ascii="Times New Roman" w:hAnsi="Times New Roman"/>
          <w:b/>
          <w:sz w:val="16"/>
        </w:rPr>
      </w:pPr>
      <w:r>
        <w:rPr>
          <w:rFonts w:ascii="Times New Roman" w:hAnsi="Times New Roman"/>
          <w:b/>
          <w:sz w:val="16"/>
        </w:rPr>
        <w:t xml:space="preserve">Chief Executive Officer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1030</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Massachusetts Avenue</w:t>
      </w:r>
    </w:p>
    <w:p>
      <w:pPr>
        <w:pStyle w:val="TextBody"/>
        <w:bidi w:val="0"/>
        <w:spacing w:before="0" w:after="0"/>
        <w:jc w:val="center"/>
        <w:rPr>
          <w:rFonts w:ascii="Times New Roman" w:hAnsi="Times New Roman"/>
          <w:b/>
          <w:sz w:val="16"/>
        </w:rPr>
      </w:pPr>
      <w:r>
        <w:rPr>
          <w:rFonts w:ascii="Times New Roman" w:hAnsi="Times New Roman"/>
          <w:b/>
          <w:sz w:val="16"/>
        </w:rPr>
        <w:t xml:space="preserve">Cambridge,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MA</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02138</w:t>
      </w:r>
    </w:p>
    <w:p>
      <w:pPr>
        <w:pStyle w:val="TextBody"/>
        <w:bidi w:val="0"/>
        <w:spacing w:before="0" w:after="0"/>
        <w:jc w:val="center"/>
        <w:rPr>
          <w:rFonts w:ascii="Times New Roman" w:hAnsi="Times New Roman"/>
          <w:b/>
          <w:sz w:val="16"/>
        </w:rPr>
      </w:pPr>
      <w:r>
        <w:rPr>
          <w:rFonts w:ascii="Times New Roman" w:hAnsi="Times New Roman"/>
          <w:b/>
          <w:sz w:val="16"/>
        </w:rPr>
        <w:t>(</w:t>
      </w:r>
    </w:p>
    <w:p>
      <w:pPr>
        <w:pStyle w:val="TextBody"/>
        <w:bidi w:val="0"/>
        <w:spacing w:before="0" w:after="0"/>
        <w:jc w:val="center"/>
        <w:rPr>
          <w:rFonts w:ascii="Times New Roman" w:hAnsi="Times New Roman"/>
          <w:b/>
          <w:sz w:val="15"/>
          <w:shd w:fill="FFFFFF" w:val="clear"/>
        </w:rPr>
      </w:pPr>
      <w:r>
        <w:rPr>
          <w:rFonts w:ascii="Times New Roman" w:hAnsi="Times New Roman"/>
          <w:b/>
          <w:sz w:val="15"/>
          <w:shd w:fill="FFFFFF" w:val="clear"/>
        </w:rPr>
        <w:t>781</w:t>
      </w:r>
    </w:p>
    <w:p>
      <w:pPr>
        <w:pStyle w:val="TextBody"/>
        <w:bidi w:val="0"/>
        <w:spacing w:before="0" w:after="0"/>
        <w:jc w:val="center"/>
        <w:rPr>
          <w:rFonts w:ascii="Times New Roman" w:hAnsi="Times New Roman"/>
          <w:b/>
          <w:sz w:val="16"/>
        </w:rPr>
      </w:pPr>
      <w:r>
        <w:rPr>
          <w:rFonts w:ascii="Times New Roman" w:hAnsi="Times New Roman"/>
          <w:b/>
          <w:sz w:val="16"/>
        </w:rPr>
        <w:t xml:space="preserve">) </w:t>
      </w:r>
    </w:p>
    <w:p>
      <w:pPr>
        <w:pStyle w:val="TextBody"/>
        <w:bidi w:val="0"/>
        <w:spacing w:before="0" w:after="0"/>
        <w:jc w:val="center"/>
        <w:rPr>
          <w:rFonts w:ascii="Times New Roman" w:hAnsi="Times New Roman"/>
          <w:b/>
          <w:spacing w:val="0"/>
          <w:sz w:val="15"/>
          <w:shd w:fill="FFFFFF" w:val="clear"/>
        </w:rPr>
      </w:pPr>
      <w:r>
        <w:rPr>
          <w:rFonts w:ascii="Times New Roman" w:hAnsi="Times New Roman"/>
          <w:b/>
          <w:spacing w:val="0"/>
          <w:sz w:val="15"/>
          <w:shd w:fill="FFFFFF" w:val="clear"/>
        </w:rPr>
        <w:t>806-6245</w:t>
      </w:r>
    </w:p>
    <w:p>
      <w:pPr>
        <w:pStyle w:val="TextBody"/>
        <w:bidi w:val="0"/>
        <w:spacing w:before="0" w:after="0"/>
        <w:jc w:val="center"/>
        <w:rPr>
          <w:rFonts w:ascii="Times New Roman" w:hAnsi="Times New Roman"/>
          <w:b/>
          <w:sz w:val="14"/>
        </w:rPr>
      </w:pPr>
      <w:r>
        <w:rPr>
          <w:rFonts w:ascii="Times New Roman" w:hAnsi="Times New Roman"/>
          <w:b/>
          <w:sz w:val="14"/>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i/>
          <w:caps w:val="false"/>
          <w:smallCaps w:val="false"/>
          <w:spacing w:val="0"/>
          <w:sz w:val="16"/>
        </w:rPr>
      </w:pPr>
      <w:r>
        <w:rPr>
          <w:rFonts w:ascii="Times New Roman" w:hAnsi="Times New Roman"/>
          <w:b/>
          <w:i/>
          <w:caps w:val="false"/>
          <w:smallCaps w:val="false"/>
          <w:spacing w:val="0"/>
          <w:sz w:val="16"/>
        </w:rPr>
        <w:t xml:space="preserve">Copies to: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1865"/>
        <w:gridCol w:w="60"/>
        <w:gridCol w:w="2045"/>
      </w:tblGrid>
      <w:tr>
        <w:trPr/>
        <w:tc>
          <w:tcPr>
            <w:tcW w:w="18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Gabriela Morales-Rivera</w:t>
            </w:r>
          </w:p>
          <w:p>
            <w:pPr>
              <w:pStyle w:val="TableContents"/>
              <w:bidi w:val="0"/>
              <w:spacing w:before="0" w:after="0"/>
              <w:jc w:val="center"/>
              <w:rPr>
                <w:rFonts w:ascii="Times New Roman" w:hAnsi="Times New Roman"/>
                <w:b/>
                <w:sz w:val="16"/>
              </w:rPr>
            </w:pPr>
            <w:r>
              <w:rPr>
                <w:rFonts w:ascii="Times New Roman" w:hAnsi="Times New Roman"/>
                <w:b/>
                <w:sz w:val="16"/>
              </w:rPr>
              <w:t>William D. Collins</w:t>
            </w:r>
          </w:p>
          <w:p>
            <w:pPr>
              <w:pStyle w:val="TableContents"/>
              <w:bidi w:val="0"/>
              <w:spacing w:before="0" w:after="0"/>
              <w:jc w:val="center"/>
              <w:rPr>
                <w:rFonts w:ascii="Times New Roman" w:hAnsi="Times New Roman"/>
                <w:b/>
                <w:sz w:val="16"/>
              </w:rPr>
            </w:pPr>
            <w:r>
              <w:rPr>
                <w:rFonts w:ascii="Times New Roman" w:hAnsi="Times New Roman"/>
                <w:b/>
                <w:sz w:val="16"/>
              </w:rPr>
              <w:t>Pia Kaur</w:t>
            </w:r>
          </w:p>
          <w:p>
            <w:pPr>
              <w:pStyle w:val="TableContents"/>
              <w:bidi w:val="0"/>
              <w:spacing w:before="0" w:after="0"/>
              <w:jc w:val="center"/>
              <w:rPr>
                <w:rFonts w:ascii="Times New Roman" w:hAnsi="Times New Roman"/>
                <w:b/>
                <w:sz w:val="16"/>
              </w:rPr>
            </w:pPr>
            <w:r>
              <w:rPr>
                <w:rFonts w:ascii="Times New Roman" w:hAnsi="Times New Roman"/>
                <w:b/>
                <w:sz w:val="16"/>
              </w:rPr>
              <w:t>Goodwin Procter LLP</w:t>
            </w:r>
          </w:p>
          <w:p>
            <w:pPr>
              <w:pStyle w:val="TableContents"/>
              <w:bidi w:val="0"/>
              <w:spacing w:before="0" w:after="0"/>
              <w:jc w:val="center"/>
              <w:rPr>
                <w:rFonts w:ascii="Times New Roman" w:hAnsi="Times New Roman"/>
                <w:b/>
                <w:sz w:val="16"/>
              </w:rPr>
            </w:pPr>
            <w:r>
              <w:rPr>
                <w:rFonts w:ascii="Times New Roman" w:hAnsi="Times New Roman"/>
                <w:b/>
                <w:sz w:val="16"/>
              </w:rPr>
              <w:t>100 Northern Avenue</w:t>
            </w:r>
          </w:p>
          <w:p>
            <w:pPr>
              <w:pStyle w:val="TableContents"/>
              <w:bidi w:val="0"/>
              <w:spacing w:before="0" w:after="0"/>
              <w:jc w:val="center"/>
              <w:rPr>
                <w:rFonts w:ascii="Times New Roman" w:hAnsi="Times New Roman"/>
                <w:b/>
                <w:sz w:val="16"/>
              </w:rPr>
            </w:pPr>
            <w:r>
              <w:rPr>
                <w:rFonts w:ascii="Times New Roman" w:hAnsi="Times New Roman"/>
                <w:b/>
                <w:sz w:val="16"/>
              </w:rPr>
              <w:t>Boston, MA 02210</w:t>
            </w:r>
          </w:p>
          <w:p>
            <w:pPr>
              <w:pStyle w:val="TableContents"/>
              <w:bidi w:val="0"/>
              <w:spacing w:before="0" w:after="20"/>
              <w:jc w:val="center"/>
              <w:rPr>
                <w:rFonts w:ascii="Times New Roman" w:hAnsi="Times New Roman"/>
                <w:b/>
                <w:sz w:val="16"/>
              </w:rPr>
            </w:pPr>
            <w:r>
              <w:rPr>
                <w:rFonts w:ascii="Times New Roman" w:hAnsi="Times New Roman"/>
                <w:b/>
                <w:sz w:val="16"/>
              </w:rPr>
              <w:t xml:space="preserve">(617) </w:t>
            </w:r>
          </w:p>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570-1000</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Julie Feder</w:t>
            </w:r>
          </w:p>
          <w:p>
            <w:pPr>
              <w:pStyle w:val="TableContents"/>
              <w:bidi w:val="0"/>
              <w:spacing w:before="0" w:after="0"/>
              <w:jc w:val="center"/>
              <w:rPr>
                <w:rFonts w:ascii="Times New Roman" w:hAnsi="Times New Roman"/>
                <w:b/>
                <w:sz w:val="16"/>
              </w:rPr>
            </w:pPr>
            <w:r>
              <w:rPr>
                <w:rFonts w:ascii="Times New Roman" w:hAnsi="Times New Roman"/>
                <w:b/>
                <w:sz w:val="16"/>
              </w:rPr>
              <w:t>Chief Financial Officer</w:t>
            </w:r>
          </w:p>
          <w:p>
            <w:pPr>
              <w:pStyle w:val="TableContents"/>
              <w:bidi w:val="0"/>
              <w:spacing w:before="0" w:after="0"/>
              <w:jc w:val="center"/>
              <w:rPr>
                <w:rFonts w:ascii="Times New Roman" w:hAnsi="Times New Roman"/>
                <w:b/>
                <w:sz w:val="16"/>
              </w:rPr>
            </w:pPr>
            <w:r>
              <w:rPr>
                <w:rFonts w:ascii="Times New Roman" w:hAnsi="Times New Roman"/>
                <w:b/>
                <w:sz w:val="16"/>
              </w:rPr>
              <w:t>Obsidian Therapeutics, Inc.</w:t>
            </w:r>
          </w:p>
          <w:p>
            <w:pPr>
              <w:pStyle w:val="TableContents"/>
              <w:bidi w:val="0"/>
              <w:spacing w:before="0" w:after="0"/>
              <w:jc w:val="center"/>
              <w:rPr>
                <w:rFonts w:ascii="Times New Roman" w:hAnsi="Times New Roman"/>
                <w:b/>
                <w:sz w:val="16"/>
              </w:rPr>
            </w:pPr>
            <w:r>
              <w:rPr>
                <w:rFonts w:ascii="Times New Roman" w:hAnsi="Times New Roman"/>
                <w:b/>
                <w:sz w:val="16"/>
              </w:rPr>
              <w:t>1030 Massachusetts Avenue</w:t>
            </w:r>
          </w:p>
          <w:p>
            <w:pPr>
              <w:pStyle w:val="TableContents"/>
              <w:bidi w:val="0"/>
              <w:spacing w:before="0" w:after="0"/>
              <w:jc w:val="center"/>
              <w:rPr>
                <w:rFonts w:ascii="Times New Roman" w:hAnsi="Times New Roman"/>
                <w:b/>
                <w:sz w:val="16"/>
              </w:rPr>
            </w:pPr>
            <w:r>
              <w:rPr>
                <w:rFonts w:ascii="Times New Roman" w:hAnsi="Times New Roman"/>
                <w:b/>
                <w:sz w:val="16"/>
              </w:rPr>
              <w:t>Cambridge, MA 02138</w:t>
            </w:r>
          </w:p>
          <w:p>
            <w:pPr>
              <w:pStyle w:val="TableContents"/>
              <w:bidi w:val="0"/>
              <w:spacing w:before="0" w:after="20"/>
              <w:jc w:val="center"/>
              <w:rPr>
                <w:rFonts w:ascii="Times New Roman" w:hAnsi="Times New Roman"/>
                <w:b/>
                <w:sz w:val="16"/>
              </w:rPr>
            </w:pPr>
            <w:r>
              <w:rPr>
                <w:rFonts w:ascii="Times New Roman" w:hAnsi="Times New Roman"/>
                <w:b/>
                <w:sz w:val="16"/>
              </w:rPr>
              <w:t xml:space="preserve">(781) </w:t>
            </w:r>
          </w:p>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806-6245</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b/>
          <w:spacing w:val="0"/>
          <w:sz w:val="16"/>
        </w:rPr>
      </w:pPr>
      <w:r>
        <w:rPr>
          <w:rFonts w:ascii="Times New Roman" w:hAnsi="Times New Roman"/>
          <w:b/>
          <w:spacing w:val="0"/>
          <w:sz w:val="16"/>
        </w:rPr>
        <w:t>Approximate Date of Commencement of Proposed Sale to the Public:</w:t>
      </w:r>
    </w:p>
    <w:p>
      <w:pPr>
        <w:pStyle w:val="TextBody"/>
        <w:bidi w:val="0"/>
        <w:spacing w:before="120" w:after="0"/>
        <w:jc w:val="left"/>
        <w:rPr>
          <w:rFonts w:ascii="Times New Roman" w:hAnsi="Times New Roman"/>
          <w:sz w:val="16"/>
        </w:rPr>
      </w:pPr>
      <w:r>
        <w:rPr>
          <w:rFonts w:ascii="Times New Roman" w:hAnsi="Times New Roman"/>
          <w:sz w:val="16"/>
        </w:rPr>
        <w:t xml:space="preserve">From time to time after the effective date of this registration statement. </w:t>
      </w:r>
    </w:p>
    <w:p>
      <w:pPr>
        <w:pStyle w:val="TextBody"/>
        <w:bidi w:val="0"/>
        <w:spacing w:before="120" w:after="0"/>
        <w:jc w:val="left"/>
        <w:rPr>
          <w:rFonts w:ascii="Times New Roman" w:hAnsi="Times New Roman"/>
          <w:sz w:val="16"/>
        </w:rPr>
      </w:pPr>
      <w:r>
        <w:rPr>
          <w:rFonts w:ascii="Times New Roman" w:hAnsi="Times New Roman"/>
          <w:sz w:val="16"/>
        </w:rPr>
        <w:t xml:space="preserve">If any of the securities being registered on this Form are to be offered on a delayed or continuous basis pursuant to Rule 415 under the Securities Act of 1933 check the following box. ☒ </w:t>
      </w:r>
    </w:p>
    <w:p>
      <w:pPr>
        <w:pStyle w:val="TextBody"/>
        <w:bidi w:val="0"/>
        <w:spacing w:before="120" w:after="0"/>
        <w:jc w:val="left"/>
        <w:rPr>
          <w:rFonts w:ascii="Times New Roman" w:hAnsi="Times New Roman"/>
          <w:sz w:val="16"/>
        </w:rPr>
      </w:pPr>
      <w:r>
        <w:rPr>
          <w:rFonts w:ascii="Times New Roman" w:hAnsi="Times New Roman"/>
          <w:sz w:val="16"/>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6"/>
        </w:rPr>
      </w:pPr>
      <w:r>
        <w:rPr>
          <w:rFonts w:ascii="Times New Roman" w:hAnsi="Times New Roman"/>
          <w:sz w:val="16"/>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6"/>
        </w:rPr>
      </w:pPr>
      <w:r>
        <w:rPr>
          <w:rFonts w:ascii="Times New Roman" w:hAnsi="Times New Roman"/>
          <w:sz w:val="16"/>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6"/>
        </w:rPr>
      </w:pPr>
      <w:r>
        <w:rPr>
          <w:rFonts w:ascii="Times New Roman" w:hAnsi="Times New Roman"/>
          <w:sz w:val="16"/>
        </w:rPr>
        <w:t xml:space="preserve">Indicate by check mark whether the registrant is a large accelerated filer, an accelerated filer, a </w:t>
      </w:r>
    </w:p>
    <w:p>
      <w:pPr>
        <w:pStyle w:val="TextBody"/>
        <w:bidi w:val="0"/>
        <w:spacing w:before="120" w:after="0"/>
        <w:jc w:val="left"/>
        <w:rPr>
          <w:rFonts w:ascii="Times New Roman" w:hAnsi="Times New Roman"/>
          <w:spacing w:val="0"/>
          <w:sz w:val="16"/>
        </w:rPr>
      </w:pPr>
      <w:r>
        <w:rPr>
          <w:rFonts w:ascii="Times New Roman" w:hAnsi="Times New Roman"/>
          <w:spacing w:val="0"/>
          <w:sz w:val="16"/>
        </w:rPr>
        <w:t>non-accelerated</w:t>
      </w:r>
    </w:p>
    <w:p>
      <w:pPr>
        <w:pStyle w:val="TextBody"/>
        <w:bidi w:val="0"/>
        <w:spacing w:before="120" w:after="0"/>
        <w:jc w:val="left"/>
        <w:rPr>
          <w:rFonts w:ascii="Times New Roman" w:hAnsi="Times New Roman"/>
          <w:sz w:val="16"/>
        </w:rPr>
      </w:pPr>
      <w:r>
        <w:rPr>
          <w:rFonts w:ascii="Times New Roman" w:hAnsi="Times New Roman"/>
          <w:sz w:val="16"/>
        </w:rPr>
        <w:t xml:space="preserve">filer, a smaller reporting company or an emerging growth company. See the definitions of “large accelerated filer,” “accelerated filer,” “smaller reporting company” and “emerging growth company” in Rule </w:t>
      </w:r>
    </w:p>
    <w:p>
      <w:pPr>
        <w:pStyle w:val="TextBody"/>
        <w:bidi w:val="0"/>
        <w:spacing w:before="120" w:after="0"/>
        <w:jc w:val="left"/>
        <w:rPr>
          <w:rFonts w:ascii="Times New Roman" w:hAnsi="Times New Roman"/>
          <w:spacing w:val="0"/>
          <w:sz w:val="16"/>
        </w:rPr>
      </w:pPr>
      <w:r>
        <w:rPr>
          <w:rFonts w:ascii="Times New Roman" w:hAnsi="Times New Roman"/>
          <w:spacing w:val="0"/>
          <w:sz w:val="16"/>
        </w:rPr>
        <w:t>12b-2</w:t>
      </w:r>
    </w:p>
    <w:p>
      <w:pPr>
        <w:pStyle w:val="TextBody"/>
        <w:bidi w:val="0"/>
        <w:spacing w:before="120" w:after="0"/>
        <w:jc w:val="left"/>
        <w:rPr>
          <w:rFonts w:ascii="Times New Roman" w:hAnsi="Times New Roman"/>
          <w:sz w:val="16"/>
        </w:rPr>
      </w:pPr>
      <w:r>
        <w:rPr>
          <w:rFonts w:ascii="Times New Roman" w:hAnsi="Times New Roman"/>
          <w:sz w:val="16"/>
        </w:rPr>
        <w:t xml:space="preserve">of the Exchange Act. </w:t>
      </w:r>
    </w:p>
    <w:p>
      <w:pPr>
        <w:pStyle w:val="TextBody"/>
        <w:bidi w:val="0"/>
        <w:spacing w:before="0" w:after="0"/>
        <w:jc w:val="left"/>
        <w:rPr/>
      </w:pPr>
      <w:r>
        <w:rPr/>
        <w:t> </w:t>
      </w:r>
    </w:p>
    <w:tbl>
      <w:tblPr>
        <w:tblW w:w="5720" w:type="dxa"/>
        <w:jc w:val="left"/>
        <w:tblInd w:w="0" w:type="dxa"/>
        <w:tblLayout w:type="fixed"/>
        <w:tblCellMar>
          <w:top w:w="0" w:type="dxa"/>
          <w:left w:w="0" w:type="dxa"/>
          <w:bottom w:w="0" w:type="dxa"/>
          <w:right w:w="0" w:type="dxa"/>
        </w:tblCellMar>
      </w:tblPr>
      <w:tblGrid>
        <w:gridCol w:w="2270"/>
        <w:gridCol w:w="60"/>
        <w:gridCol w:w="230"/>
        <w:gridCol w:w="120"/>
        <w:gridCol w:w="2735"/>
        <w:gridCol w:w="60"/>
        <w:gridCol w:w="245"/>
      </w:tblGrid>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pPr>
            <w:r>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283"/>
              <w:jc w:val="left"/>
              <w:rPr/>
            </w:pPr>
            <w:r>
              <w:rPr/>
              <w:t>Accelerated Filer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85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0"/>
              <w:jc w:val="left"/>
              <w:rPr>
                <w:spacing w:val="0"/>
              </w:rPr>
            </w:pPr>
            <w:r>
              <w:rPr>
                <w:spacing w:val="0"/>
              </w:rPr>
              <w:t>Non-Accelerated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283"/>
              <w:jc w:val="left"/>
              <w:rPr/>
            </w:pPr>
            <w:r>
              <w:rPr/>
              <w:t>Smaller Reporting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85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283"/>
              <w:jc w:val="left"/>
              <w:rPr/>
            </w:pPr>
            <w:r>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120" w:after="0"/>
        <w:jc w:val="left"/>
        <w:rPr>
          <w:rFonts w:ascii="Times New Roman" w:hAnsi="Times New Roman"/>
          <w:sz w:val="16"/>
        </w:rPr>
      </w:pPr>
      <w:r>
        <w:rPr>
          <w:rFonts w:ascii="Times New Roman" w:hAnsi="Times New Roman"/>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b/>
          <w:sz w:val="16"/>
        </w:rPr>
      </w:pPr>
      <w:r>
        <w:rPr>
          <w:rFonts w:ascii="Times New Roman" w:hAnsi="Times New Roman"/>
          <w:b/>
          <w:sz w:val="16"/>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x127696_1"/>
      <w:bookmarkEnd w:id="2"/>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On August 3, 2026, or the Closing Date, Obsidian Therapeutics, Inc., a Delaware corporation (formerly known as Gazelle Parent, Inc.), or the Parent (also referred to herein as “we” or “us”), completed the previously announced Mergers (as defined below) pursuant to the Agreement and Plan of Merger, dated April 14, 2026, or the Merger Agreement, by and among Parent, Obsidian Therapeutics Sub, Inc., a Delaware corporation, (formerly known as Obsidian Therapeutics, Inc., or Legacy Obsidian), Onyx MergerSub, Inc., a Delaware corporation and a direct, wholly owned subsidiary of Parent, or Obsidian Merger Sub, Galera Therapeutics, Inc., a Delaware corporation, or Legacy Galera, and Gazelle Merger Subsidiary, Inc., a Delaware corporation and a direct, wholly owned subsidiary of Parent, or Galera Merger Sub. On the Closing Date, pursuant to the Merger Agreement and on the terms and conditions set forth therein, each pursuant to the provisions of the General Corporation Law of the State of Delaware, as amended, or the DGCL, (a) Obsidian Merger Sub merged with and into Legacy Obsidian, with Legacy Obsidian as the surviving entity, which transaction is referred to herein as the “Obsidian Merger,” and (b) immediately following the Obsidian Merger, Galera Merger Sub merged with and into Legacy Galera, with Legacy Galera as the surviving entity, which transaction is referred to herein as the “Galera Merger,” and together with the Obsidian Merger, referred to herein as the “Mergers.”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entering into the Merger Agreement, on April 14, 2026, Legacy Obsidian and Legacy Galera entered into a securities purchase agreement, or the Securities Purchase Agreement, with certain qualified institutional buyers and/or accredited investors, or the Investors. Pursuant to the Securities Purchase Agreement, and subject to the terms and conditions therein, the Investors agreed to purchase, and Legacy Galera agreed to issue and sell, immediately prior to the effective time of the Obsidian Merger, or the Obsidian Effective Time, shares of Legacy Galera’s Series C Non-Voting Convertible Preferred Stock, par value $0.001 per share, or Series C Preferred Stock, for an aggregate purchase price of $350.0 million, or the PIPE Financing. On the Closing Date, each outstanding share of Legacy Galera common stock (including those resulting from the conversion of the preferred stock and pre-funded warrants, but excluding dissenting shares and certain excluded shares as described in the prospectus filed by the Parent on July 2, 2026) was converted into the right to receive a number of shares of common stock of Parent, par value $0.0001 per share, or Parent Common Stock, calculated as described in the prospectus filed by the Parent on July 2, 2026.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began trading on the Nasdaq Capital Market, or Nasdaq, under the symbol “OBX” on August 4, 2026.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state or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August 28, 2026 </w:t>
      </w:r>
    </w:p>
    <w:p>
      <w:pPr>
        <w:pStyle w:val="TextBody"/>
        <w:bidi w:val="0"/>
        <w:spacing w:before="0" w:after="0"/>
        <w:ind w:left="960" w:right="960" w:hanging="0"/>
        <w:jc w:val="left"/>
        <w:rPr/>
      </w:pPr>
      <w:r>
        <w:rPr/>
        <w:t> </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PRELIMINARY PROSPECTUS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2742565" cy="65278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2565" cy="652780"/>
                    </a:xfrm>
                    <a:prstGeom prst="rect">
                      <a:avLst/>
                    </a:prstGeom>
                  </pic:spPr>
                </pic:pic>
              </a:graphicData>
            </a:graphic>
          </wp:inline>
        </w:drawing>
      </w:r>
      <w:r>
        <w:rPr/>
        <w:t xml:space="preserve"> </w:t>
      </w:r>
    </w:p>
    <w:p>
      <w:pPr>
        <w:pStyle w:val="TextBody"/>
        <w:bidi w:val="0"/>
        <w:spacing w:before="240" w:after="0"/>
        <w:ind w:left="960" w:right="960" w:hanging="0"/>
        <w:jc w:val="center"/>
        <w:rPr>
          <w:rFonts w:ascii="Times New Roman" w:hAnsi="Times New Roman"/>
          <w:b/>
          <w:sz w:val="28"/>
        </w:rPr>
      </w:pPr>
      <w:r>
        <w:rPr>
          <w:rFonts w:ascii="Times New Roman" w:hAnsi="Times New Roman"/>
          <w:b/>
          <w:sz w:val="28"/>
        </w:rPr>
        <w:t xml:space="preserve">29,164,045 Shares of Common Stock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This prospectus relates to the proposed offer and resale or other disposition from time to time by the selling stockholders identified in this prospectus of up to an aggregate of 29,164,045 shares of our common stock, par value $0.0001 per share.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We are registering the resale of the shares of common stock pursuant to the selling stockholders’ registration rights under a registration rights agreement between us and the selling stockholders. Our registration of the resale of the shares of common stock covered by this prospectus does not mean that the selling stockholders will offer or sell all or any of the shares of common stock. The selling stockholders may offer, sell or distribute all or a portion of their shares of common stock from time to time directly or indirectly through one or more underwriters, broker-dealers or agents, and in one or more public or private transactions. The shares of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 See the section titled “</w:t>
      </w:r>
      <w:r>
        <w:rPr>
          <w:rFonts w:ascii="Times New Roman" w:hAnsi="Times New Roman"/>
          <w:i/>
          <w:sz w:val="20"/>
        </w:rPr>
        <w:t>Plan of Distribution</w:t>
      </w:r>
      <w:r>
        <w:rPr>
          <w:rFonts w:ascii="Times New Roman" w:hAnsi="Times New Roman"/>
          <w:sz w:val="20"/>
        </w:rPr>
        <w:t xml:space="preserve">” for more information.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will not receive any proceeds from any sale of common stock by the selling stockholders pursuant to this prospectus. We have agreed to bear the expenses in connection with the registration of the resale of the shares of common stock to be offered by this prospectus by the selling stockholders other than any underwriting discounts and commissions or transfer taxes relating to the sale of common stock, which will be borne by the selling stockholders.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Our common stock is listed on Nasdaq under the symbol “OBX.” On August 27, 2026, the closing price for our common stock, as reported on Nasdaq, was $17.04 per share.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pPr>
      <w:r>
        <w:rPr>
          <w:rFonts w:ascii="Times New Roman" w:hAnsi="Times New Roman"/>
          <w:b/>
          <w:sz w:val="24"/>
        </w:rPr>
        <w:t>See the section titled “</w:t>
      </w:r>
      <w:hyperlink w:anchor="tx127696_6">
        <w:r>
          <w:rPr>
            <w:rStyle w:val="InternetLink"/>
            <w:rFonts w:ascii="Times New Roman" w:hAnsi="Times New Roman"/>
            <w:b/>
            <w:sz w:val="24"/>
          </w:rPr>
          <w:t>Risk Factors</w:t>
        </w:r>
      </w:hyperlink>
      <w:r>
        <w:rPr>
          <w:rFonts w:ascii="Times New Roman" w:hAnsi="Times New Roman"/>
          <w:b/>
          <w:sz w:val="24"/>
        </w:rPr>
        <w:t xml:space="preserve">” beginning on page 9 of this prospectus to read about factors you should consider before buying our securities. </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center"/>
        <w:rPr>
          <w:rFonts w:ascii="Times New Roman" w:hAnsi="Times New Roman"/>
          <w:b/>
          <w:sz w:val="20"/>
        </w:rPr>
      </w:pPr>
      <w:r>
        <w:rPr>
          <w:rFonts w:ascii="Times New Roman" w:hAnsi="Times New Roman"/>
          <w:b/>
          <w:sz w:val="20"/>
        </w:rPr>
        <w:t xml:space="preserve">The date of this prospectus is    , 2026. </w:t>
      </w:r>
    </w:p>
    <w:p>
      <w:pPr>
        <w:pStyle w:val="TextBody"/>
        <w:bidi w:val="0"/>
        <w:spacing w:before="0" w:after="0"/>
        <w:ind w:left="960" w:right="960" w:hanging="0"/>
        <w:jc w:val="left"/>
        <w:rPr/>
      </w:pPr>
      <w:r>
        <w:rPr/>
        <w:t> </w:t>
      </w:r>
    </w:p>
    <w:p>
      <w:pPr>
        <w:pStyle w:val="TextBody"/>
        <w:bidi w:val="0"/>
        <w:jc w:val="left"/>
        <w:rPr/>
      </w:pPr>
      <w: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
      <w:bookmarkEnd w:id="3"/>
      <w:r>
        <w:rPr>
          <w:rFonts w:ascii="Times New Roman" w:hAnsi="Times New Roman"/>
          <w:b/>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570"/>
        <w:gridCol w:w="120"/>
        <w:gridCol w:w="60"/>
        <w:gridCol w:w="380"/>
        <w:gridCol w:w="75"/>
      </w:tblGrid>
      <w:tr>
        <w:trPr/>
        <w:tc>
          <w:tcPr>
            <w:tcW w:w="95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570" w:type="dxa"/>
            <w:tcBorders/>
            <w:vAlign w:val="center"/>
          </w:tcPr>
          <w:p>
            <w:pPr>
              <w:pStyle w:val="TableContents"/>
              <w:bidi w:val="0"/>
              <w:spacing w:before="0" w:after="283"/>
              <w:jc w:val="left"/>
              <w:rPr/>
            </w:pPr>
            <w:hyperlink w:anchor="tx127696_1">
              <w:r>
                <w:rPr>
                  <w:rStyle w:val="InternetLink"/>
                </w:rPr>
                <w:t>EXPLANATORY NOTE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570" w:type="dxa"/>
            <w:tcBorders/>
            <w:vAlign w:val="center"/>
          </w:tcPr>
          <w:p>
            <w:pPr>
              <w:pStyle w:val="TableContents"/>
              <w:bidi w:val="0"/>
              <w:spacing w:before="0" w:after="283"/>
              <w:jc w:val="left"/>
              <w:rPr/>
            </w:pPr>
            <w:hyperlink w:anchor="tx127696_2">
              <w:r>
                <w:rPr>
                  <w:rStyle w:val="InternetLink"/>
                </w:rPr>
                <w:t>ABOUT THIS PROSPECTUS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283"/>
              <w:jc w:val="left"/>
              <w:rPr/>
            </w:pPr>
            <w:hyperlink w:anchor="tx127696_3">
              <w:r>
                <w:rPr>
                  <w:rStyle w:val="InternetLink"/>
                </w:rPr>
                <w:t>MARKET AND INDUSTRY DATA</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283"/>
              <w:jc w:val="left"/>
              <w:rPr/>
            </w:pPr>
            <w:hyperlink w:anchor="tx127696_4">
              <w:r>
                <w:rPr>
                  <w:rStyle w:val="InternetLink"/>
                </w:rPr>
                <w:t>TRADEMARKS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283"/>
              <w:jc w:val="left"/>
              <w:rPr/>
            </w:pPr>
            <w:hyperlink w:anchor="tx127696_5">
              <w:r>
                <w:rPr>
                  <w:rStyle w:val="InternetLink"/>
                </w:rPr>
                <w:t>PROSPECTUS SUMMARY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283"/>
              <w:jc w:val="left"/>
              <w:rPr/>
            </w:pPr>
            <w:hyperlink w:anchor="tx127696_6">
              <w:r>
                <w:rPr>
                  <w:rStyle w:val="InternetLink"/>
                </w:rPr>
                <w:t>RISK FACTORS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283"/>
              <w:jc w:val="left"/>
              <w:rPr/>
            </w:pPr>
            <w:hyperlink w:anchor="tx127696_7">
              <w:r>
                <w:rPr>
                  <w:rStyle w:val="InternetLink"/>
                </w:rPr>
                <w:t>SPECIAL NOTE REGARDING FORWARD-LOOKING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64</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283"/>
              <w:jc w:val="left"/>
              <w:rPr/>
            </w:pPr>
            <w:hyperlink w:anchor="tx127696_8">
              <w:r>
                <w:rPr>
                  <w:rStyle w:val="InternetLink"/>
                </w:rPr>
                <w:t>USE OF PROCEEDS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67</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283"/>
              <w:jc w:val="left"/>
              <w:rPr/>
            </w:pPr>
            <w:hyperlink w:anchor="tx127696_9">
              <w:r>
                <w:rPr>
                  <w:rStyle w:val="InternetLink"/>
                </w:rPr>
                <w:t>MARKET PRICE OF AND DIVIDEND ON THE REGISTRANT’S COMMON EQUITY AND RELATED STOCKHOLDER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68</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283"/>
              <w:jc w:val="left"/>
              <w:rPr/>
            </w:pPr>
            <w:hyperlink w:anchor="tx127696_10">
              <w:r>
                <w:rPr>
                  <w:rStyle w:val="InternetLink"/>
                </w:rPr>
                <w:t>SELECTED UNAUDITED PRO FORMA CONDENSED COMBINED FINANCIAL DATA OF OBSIDIAN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69</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283"/>
              <w:jc w:val="left"/>
              <w:rPr/>
            </w:pPr>
            <w:hyperlink w:anchor="tx127696_12">
              <w:r>
                <w:rPr>
                  <w:rStyle w:val="InternetLink"/>
                </w:rPr>
                <w:t>MANAGEMENT’S DISCUSSION AND ANALYSIS OF FINANCIAL CONDITION AND RESULTS OF OPERATIONS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80</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283"/>
              <w:jc w:val="left"/>
              <w:rPr/>
            </w:pPr>
            <w:hyperlink w:anchor="tx127696_13">
              <w:r>
                <w:rPr>
                  <w:rStyle w:val="InternetLink"/>
                </w:rPr>
                <w:t>BUSINESS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91</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283"/>
              <w:jc w:val="left"/>
              <w:rPr/>
            </w:pPr>
            <w:hyperlink w:anchor="tx127696_14">
              <w:r>
                <w:rPr>
                  <w:rStyle w:val="InternetLink"/>
                </w:rPr>
                <w:t>MANAGEMENT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137</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283"/>
              <w:jc w:val="left"/>
              <w:rPr/>
            </w:pPr>
            <w:hyperlink w:anchor="tx127696_15">
              <w:r>
                <w:rPr>
                  <w:rStyle w:val="InternetLink"/>
                </w:rPr>
                <w:t>EXECUTIVE AND DIRECTOR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140</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283"/>
              <w:jc w:val="left"/>
              <w:rPr/>
            </w:pPr>
            <w:hyperlink w:anchor="tx127696_16">
              <w:r>
                <w:rPr>
                  <w:rStyle w:val="InternetLink"/>
                </w:rPr>
                <w:t>CERTAIN RELATIONSHIPS AND RELATED PARTY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155</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283"/>
              <w:jc w:val="left"/>
              <w:rPr/>
            </w:pPr>
            <w:hyperlink w:anchor="tx127696_17">
              <w:r>
                <w:rPr>
                  <w:rStyle w:val="InternetLink"/>
                </w:rPr>
                <w:t>SECURITY OWNERSHIP OF CERTAIN BENEFICIAL OWNERS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159</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283"/>
              <w:jc w:val="left"/>
              <w:rPr/>
            </w:pPr>
            <w:hyperlink w:anchor="tx127696_18">
              <w:r>
                <w:rPr>
                  <w:rStyle w:val="InternetLink"/>
                </w:rPr>
                <w:t>SELLING STOCKHOLDERS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161</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283"/>
              <w:jc w:val="left"/>
              <w:rPr/>
            </w:pPr>
            <w:hyperlink w:anchor="tx127696_20">
              <w:r>
                <w:rPr>
                  <w:rStyle w:val="InternetLink"/>
                </w:rPr>
                <w:t>PLAN OF DISTRIBUTION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166</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283"/>
              <w:jc w:val="left"/>
              <w:rPr/>
            </w:pPr>
            <w:hyperlink w:anchor="tx127696_21">
              <w:r>
                <w:rPr>
                  <w:rStyle w:val="InternetLink"/>
                </w:rPr>
                <w:t>DESCRIPTION OF CAPITAL STOCK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168</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283"/>
              <w:jc w:val="left"/>
              <w:rPr/>
            </w:pPr>
            <w:hyperlink w:anchor="tx127696_19">
              <w:r>
                <w:rPr>
                  <w:rStyle w:val="InternetLink"/>
                </w:rPr>
                <w:t>CERTAIN MATERIAL U.S. FEDERAL INCOME TAX CONSIDERATIONS FOR HOLDERS OF COMMON STOCK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172</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283"/>
              <w:jc w:val="left"/>
              <w:rPr/>
            </w:pPr>
            <w:hyperlink w:anchor="tx127696_22">
              <w:r>
                <w:rPr>
                  <w:rStyle w:val="InternetLink"/>
                </w:rPr>
                <w:t>LEGAL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176</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283"/>
              <w:jc w:val="left"/>
              <w:rPr/>
            </w:pPr>
            <w:hyperlink w:anchor="tx127696_23">
              <w:r>
                <w:rPr>
                  <w:rStyle w:val="InternetLink"/>
                </w:rPr>
                <w:t>EXPERTS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177</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283"/>
              <w:jc w:val="left"/>
              <w:rPr/>
            </w:pPr>
            <w:hyperlink w:anchor="tx127696_24">
              <w:r>
                <w:rPr>
                  <w:rStyle w:val="InternetLink"/>
                </w:rPr>
                <w:t>WHERE YOU CAN FIND MORE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177</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283"/>
              <w:jc w:val="left"/>
              <w:rPr/>
            </w:pPr>
            <w:hyperlink w:anchor="tx127696_25">
              <w:r>
                <w:rPr>
                  <w:rStyle w:val="InternetLink"/>
                </w:rPr>
                <w:t>INDEX TO CONSOLIDATED FINANCIAL STATEMENTS OF OBSIDIAN THERAPEUTICS SUB, INC. (F/K/A OBSIDIAN THERAPEUTICS, INC.)</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F-1</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provided in this prospectus, as well as the information incorporated by reference in the exhibits to the registration statement of which this prospectus forms a part and any applicable prospectus supplement or amendment. Neither we nor the Selling Stockholders have authorized anyone to provide you with different information. Neither we nor the Selling Stockholders are making an offer of these securities in any jurisdiction where the offer is not permitted. You should not assume that the information in this prospectus or any applicable prospectus supplement is accurate as of any date other than the date of the applicable document. Since the date of this prospectus and the documents filed as exhibits to the registration statement of which this prospectus forms a part, our business, financial condition, results of operations and prospects may have changed.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x127696_2"/>
      <w:bookmarkEnd w:id="4"/>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This prospectus is part of a registration statement on Form S-1, or the Registration Statement, that we filed with the Securities and Exchange Commission, or the SEC, using the “shelf” registration process, and relates to the resale by the selling stockholders identified in this prospectus under the caption “</w:t>
      </w:r>
      <w:r>
        <w:rPr>
          <w:rFonts w:ascii="Times New Roman" w:hAnsi="Times New Roman"/>
          <w:i/>
          <w:sz w:val="20"/>
        </w:rPr>
        <w:t>Selling Stockholders</w:t>
      </w:r>
      <w:r>
        <w:rPr>
          <w:rFonts w:ascii="Times New Roman" w:hAnsi="Times New Roman"/>
          <w:sz w:val="20"/>
        </w:rPr>
        <w:t xml:space="preserve">,” from time to time, of up to an aggregate of 29,164,045 shares of our common stock. We are not selling any shares of common stock under this prospectus, and we will not receive any proceeds from the sale of shares of common stock offered hereby by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information other than the information that we have provided in this prospectus and your reliance on any unauthorized information or representation is at your own risk. We are not making an offer to sell these securities in any jurisdiction where the offer or sale is not permitted. You should assume that the information appearing in this prospectus is accurate only as of the date on the front cover of this prospectus and that any information in a supplement or amendment to this prospectus is accurate only as of the date of such supplement or amendment. Our business, financial condition, results of operations and prospects may have changed since those dates. </w:t>
      </w:r>
    </w:p>
    <w:p>
      <w:pPr>
        <w:pStyle w:val="TextBody"/>
        <w:bidi w:val="0"/>
        <w:spacing w:before="480" w:after="0"/>
        <w:jc w:val="center"/>
        <w:rPr>
          <w:rFonts w:ascii="Times New Roman" w:hAnsi="Times New Roman"/>
          <w:b/>
          <w:sz w:val="20"/>
        </w:rPr>
      </w:pPr>
      <w:bookmarkStart w:id="5" w:name="tx127696_3"/>
      <w:bookmarkEnd w:id="5"/>
      <w:r>
        <w:rPr>
          <w:rFonts w:ascii="Times New Roman" w:hAnsi="Times New Roman"/>
          <w:b/>
          <w:sz w:val="20"/>
        </w:rPr>
        <w:t xml:space="preserve">MARKET AND INDUSTRY DATA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selling stockholders, have authorized anyone to give any information or to make any representation other than those contained in this prospectus. You must not rely upon any information or representation not contained in this prospectus. The selling stockholders are offering to sell, and seeking offers to buy, shares of our common stock only in jurisdictions where it is lawful to do so. This prospectus does not constitute an offer to sell or the solicitation of an offer to buy any shares other than the registered shares to which it relates, nor does this prospectus constitute an offer to sell or the solicitation of an offer to buy shares in any jurisdiction to any person to whom it is unlawful to make such offer or solicitation in such jurisdiction. You should not assume that the information contained in this prospectus is accurate on any date subsequent to the date set forth on the front of the document even though this prospectus is delivered or shares are sold on a later date. Our business, financial condition, results of operations and prospects may have changed since those dates. This prospectus includes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in this prospectus may involve estimates, assumptions and other risks and uncertainties and are subject to change based on various factors, including those discussed under the heading “Risk Factors” contained in this prospectus. Accordingly, investors should not place undue reliance on this information. </w:t>
      </w:r>
    </w:p>
    <w:p>
      <w:pPr>
        <w:pStyle w:val="TextBody"/>
        <w:bidi w:val="0"/>
        <w:spacing w:before="240" w:after="0"/>
        <w:jc w:val="left"/>
        <w:rPr>
          <w:rFonts w:ascii="Times New Roman" w:hAnsi="Times New Roman"/>
          <w:sz w:val="20"/>
        </w:rPr>
      </w:pPr>
      <w:r>
        <w:rPr>
          <w:rFonts w:ascii="Times New Roman" w:hAnsi="Times New Roman"/>
          <w:sz w:val="20"/>
        </w:rPr>
        <w:t>A prospectus supplement may add to, update or change the information contained in this prospectus. You should read both this prospectus and any applicable prospectus supplement together with additional information described below under the heading “</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x127696_4"/>
      <w:bookmarkEnd w:id="6"/>
      <w:r>
        <w:rPr>
          <w:rFonts w:ascii="Times New Roman" w:hAnsi="Times New Roman"/>
          <w:b/>
          <w:sz w:val="20"/>
        </w:rPr>
        <w:t xml:space="preserve">TRADEMARKS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indicates, references in this prospectus to “Company,” “we,” “our” and “us” refer collectively to Obsidian Therapeutics, Inc., a Delaware corporation, and its consolidated subsidiaries (including Legacy Obsidian). </w:t>
      </w:r>
    </w:p>
    <w:p>
      <w:pPr>
        <w:pStyle w:val="TextBody"/>
        <w:bidi w:val="0"/>
        <w:spacing w:before="240" w:after="0"/>
        <w:jc w:val="left"/>
        <w:rPr>
          <w:rFonts w:ascii="Times New Roman" w:hAnsi="Times New Roman"/>
          <w:sz w:val="20"/>
        </w:rPr>
      </w:pPr>
      <w:r>
        <w:rPr>
          <w:rFonts w:ascii="Times New Roman" w:hAnsi="Times New Roman"/>
          <w:sz w:val="20"/>
        </w:rPr>
        <w:t xml:space="preserve">We use various trademarks and trade names in our business, including without limitation our corporate name and logo. All other trademarks or trade names referred to in this prospectus are the property of their respective owners. Solely for convenience, the trademarks and trade names in this prospectus may be referred to without the ® and ™ symbols, but such references should not be construed as any indicator that their respective owners will not assert, to the fullest extent under applicable law, their rights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127696_5"/>
      <w:bookmarkEnd w:id="7"/>
      <w:r>
        <w:rPr>
          <w:rFonts w:ascii="Times New Roman" w:hAnsi="Times New Roman"/>
          <w:b/>
          <w:sz w:val="20"/>
        </w:rPr>
        <w:t xml:space="preserve">PROSPECTUS SUMMARY </w:t>
      </w:r>
    </w:p>
    <w:p>
      <w:pPr>
        <w:pStyle w:val="TextBody"/>
        <w:bidi w:val="0"/>
        <w:spacing w:before="240" w:after="0"/>
        <w:jc w:val="left"/>
        <w:rPr>
          <w:rFonts w:ascii="Times New Roman" w:hAnsi="Times New Roman"/>
          <w:i/>
          <w:sz w:val="20"/>
        </w:rPr>
      </w:pPr>
      <w:r>
        <w:rPr>
          <w:rFonts w:ascii="Times New Roman" w:hAnsi="Times New Roman"/>
          <w:i/>
          <w:sz w:val="20"/>
        </w:rPr>
        <w:t xml:space="preserve">This summary highlights information contained elsewhere in this prospectus and does not contain all of the information that you should consider in making your investment decision. Before investing in our common stock, you should carefully read this entire prospectus, including our consolidated financial statements and the related notes included elsewhere in this prospectus. You should also consider, among other things, the matters described under “Risk Factors” and “Management’s Discussion and Analysis of Financial Condition and Results of Operations,” in each case appearing elsewhere in this prospectus. Unless the context otherwise requires, the terms “Obsidian,” the “Company,” “we,” “us,” and “our” in this prospectus refer to Obsidian Therapeutics, Inc. (or the Parent) and its wholly owned subsidiaries, as the context may require.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clinical-stage biopharmaceutical company harnessing novel protein-regulation technology to develop engineered tumor infiltrating lymphocyte, or TIL, cell therapies for the treatment of patients with solid tumors. Our proprietary cytoDRiVE™ platform is highly versatile and allows us to leverage drug responsive domains, or DRDs, to control protein function, with our initial focus on TIL cell therapies developed from this platform, or cytoTILs™. Our lead product candidate, amsoki-cel (formerly, “OBX-115”), is a novel, genetically engineered, autologous TIL cell therapy currently in a Phase 2 clinical trial for the treatment of advanced melanoma and a Phase 1 clinical trial for the treatment of non-small cell lung cancer, or NSCLC. Our proprietary cytoDRiVE platform has enabled amsoki-cel to have the potential to drive superior tumor-killing activity with a significantly more tolerable safety profile. In contrast to other TIL approaches, amsoki-cel is designed with regulatable membrane-bound IL15, or mbIL15, which drives TIL persistence, eliminates the need to dose toxic interleukin-2, or IL2, and enables outpatient administration of low-dose lymphodepletion. We currently own or in-license the intellectual property rights to amsoki-cel and own the intellectual property to our proprietary cytoDRiVE platform. Furthermore, amsoki-cel can be manufactured using tumor tissue procurement from an outpatient, minimally invasive core needle biopsy. Across a cohort of fifteen patients with treatment-resistant or refractory melanoma in our Phase 1/2 clinical trial, amsoki-cel administration at the recommended Phase 2 dose demonstrated a 67% confirmed objective response rate, or ORR, and significant tumor burden reduction, including two confirmed complete responses, or CRs. This response rate, to our knowledge, is the highest current ORR shown in this setting across modalities. We believe that, if approved, the more favorable product profile will support rapid market adoption of amsoki-cel relative to currently available TIL cell therapies. Amsoki-cel has been granted Fast Track and Regenerative Medicine Advanced Therapy, or RMAT, designations from the U.S. Food and Drug Administration, or FDA, for the treatment of patients with unresectable or metastatic melanoma that is resistant to immune checkpoint inhibitor, or ICI, therapy. These designations are advantageous to facilitate and expedite the review of therapies, allow for more frequent meetings with FDA to discuss the development plan for the product candidate, and enable potential eligibility for rolling review and priority review, however such designations do not guarantee marketing approval, either on an accelerated basis or otherwise. In our Phase 1 clinical trial in NSCLC, early clinical results show robust tumor shrinkage and include multiple confirmed partial responses, or PRs. We expect to present updated melanoma RP2D data in the fourth quarter of 2026, followed by additional NSCLC Phase 1 clinical data in the first half of 2027 and topline data from our melanoma registration-enabling cohort by year-end 2027. We believe our product candidates are distinct from current cell therapies and have the potential to significantly impact the treatment of solid tumors and clinical outcomes of patients with cancer. </w:t>
      </w:r>
    </w:p>
    <w:p>
      <w:pPr>
        <w:pStyle w:val="TextBody"/>
        <w:bidi w:val="0"/>
        <w:spacing w:before="240" w:after="0"/>
        <w:jc w:val="left"/>
        <w:rPr>
          <w:rFonts w:ascii="Times New Roman" w:hAnsi="Times New Roman"/>
          <w:sz w:val="20"/>
        </w:rPr>
      </w:pPr>
      <w:r>
        <w:rPr>
          <w:rFonts w:ascii="Times New Roman" w:hAnsi="Times New Roman"/>
          <w:sz w:val="20"/>
        </w:rPr>
        <w:t xml:space="preserve">Cell therapies have delivered transformational benefits in treating hematological malignancies; however, their impact in treating solid tumors has been limited. Approved chimeric antigen receptor, or CAR-T, cell therapies or engineered T-cell receptor, or TCR-T, cell therapies, which target single antigens, have demonstrated limited efficacy in solid tumors while leading to significant toxicities. Solid tumors present formidable barriers to immune and cell therapies, including antigen heterogeneity, physical exclusion of immune cells, immunosuppressive tumor microenvironments, and adverse effects due to overlapping expression of tumor targets in tumor cells with non-tumor host cells. Furthermore, while immunotherapies such as ICIs have improved outcomes for patients, more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than 85% of cancer patients fail to respond to ICI therapy. As such, solid tumors represent an area of high unmet clinical need, accounting for over 90% of cancer deaths.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by using TIL, which are immune cells extracted from a patient’s own tumor, and our cytoDRiVE platform to develop amsoki-cel, we will be able to overcome the challenges faced by traditional cell therapies. As TIL contain T cells that recognize a broad spectrum of tumor antigens, the potential for loss of antitumor activity due to antigen heterogeneity is limited. In addition, TIL, being tumor-derived, has an advantage over T cell therapies manufactured from circulating T cells based on their ability to migrate to tumors. </w:t>
      </w:r>
    </w:p>
    <w:p>
      <w:pPr>
        <w:pStyle w:val="TextBody"/>
        <w:bidi w:val="0"/>
        <w:spacing w:before="240" w:after="0"/>
        <w:jc w:val="left"/>
        <w:rPr>
          <w:rFonts w:ascii="Times New Roman" w:hAnsi="Times New Roman"/>
          <w:sz w:val="20"/>
        </w:rPr>
      </w:pPr>
      <w:r>
        <w:rPr>
          <w:rFonts w:ascii="Times New Roman" w:hAnsi="Times New Roman"/>
          <w:sz w:val="20"/>
        </w:rPr>
        <w:t xml:space="preserve">Clinical trials with standard non-engineered TIL, the first generation of TIL cell therapy that involves isolation and expansion of all TIL in the tumor sample, have shown objective responses in clinical trials in limited solid tumor types. Amsoki-cel is an engineered TIL expressing pharmacologically regulatable mbIL15, which has been shown to enhance their cytotoxicity and potentially their persistence. </w:t>
      </w:r>
    </w:p>
    <w:p>
      <w:pPr>
        <w:pStyle w:val="TextBody"/>
        <w:bidi w:val="0"/>
        <w:spacing w:before="240" w:after="0"/>
        <w:jc w:val="left"/>
        <w:rPr>
          <w:rFonts w:ascii="Times New Roman" w:hAnsi="Times New Roman"/>
          <w:sz w:val="20"/>
        </w:rPr>
      </w:pPr>
      <w:r>
        <w:rPr>
          <w:rFonts w:ascii="Times New Roman" w:hAnsi="Times New Roman"/>
          <w:sz w:val="20"/>
        </w:rPr>
        <w:t xml:space="preserve">We have a growing library of internally discovered DRDs of varying sizes and purposes, and our cytoDRiVE platform is designed to enable rapid optimization of tunable and functional proteins. We have developed an extensive synthetic biology engineering toolkit to potentially optimize protein functionality in any cell type, including but not limited to, type I/II membrane proteins, membrane-tethered cytokines, intracellular proteins, secreted proteins, and genome editing proteins. In addition to the development of our cytoTILs, we are exploring the breadth of our cytoDRiVE platform by developing novel approaches that expand its potential applications to additional cell therapies, including the ability to regulate secreted proteins and expression of messenger RNA, or mRNA, or small interfering RNA, or siRNA. cytoDRiVE is highly versatile and can be applied across a broad range of therapeutic applications, including to broaden the reach of cell therapies (including CAR-T) and gene therapies outside of oncology. Our cytoDRiVE platform has led to the development of our lead cytoTIL product candidate, amsoki-cel, with carbonic anhydrase 2, or CA2, as the DRD which is pharmacologically regulated by acetazolamide, or ACZ, to allow for control of mbIL15 expression. </w:t>
      </w:r>
    </w:p>
    <w:p>
      <w:pPr>
        <w:pStyle w:val="TextBody"/>
        <w:bidi w:val="0"/>
        <w:spacing w:before="360" w:after="0"/>
        <w:jc w:val="left"/>
        <w:rPr>
          <w:rFonts w:ascii="Times New Roman" w:hAnsi="Times New Roman"/>
          <w:b/>
          <w:sz w:val="20"/>
        </w:rPr>
      </w:pPr>
      <w:r>
        <w:rPr>
          <w:rFonts w:ascii="Times New Roman" w:hAnsi="Times New Roman"/>
          <w:b/>
          <w:sz w:val="20"/>
        </w:rPr>
        <w:t xml:space="preserve">Our Strategy </w:t>
      </w:r>
    </w:p>
    <w:p>
      <w:pPr>
        <w:pStyle w:val="TextBody"/>
        <w:bidi w:val="0"/>
        <w:spacing w:before="120" w:after="0"/>
        <w:jc w:val="left"/>
        <w:rPr>
          <w:rFonts w:ascii="Times New Roman" w:hAnsi="Times New Roman"/>
          <w:sz w:val="20"/>
        </w:rPr>
      </w:pPr>
      <w:r>
        <w:rPr>
          <w:rFonts w:ascii="Times New Roman" w:hAnsi="Times New Roman"/>
          <w:sz w:val="20"/>
        </w:rPr>
        <w:t xml:space="preserve">Our goal is to leverage our cytoDRiVE platform to unlock the full potential of cell therapies to treat solid tumors. We believe that our ability to dynamically regulate the activity of our cell therapies in the body using our cytoDRiVE platform is key to achieving this goal. Our strategy is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Advance amsoki-cel for the treatment of melanoma and NSCLC. Clinical results in patients with second-line advanced melanoma previously treated with ICI therapy provide compelling support for the differentiated antitumor and tolerability profile of amsoki-cel. We expect to present updated melanoma RP2D data in the fourth quarter of 2026. Enrollment is ongoing in our registration-enabling cohort of our existing multicenter Agni-01 study for amsoki-cel in second-line advanced melanoma, with topline data expected by year-end 2027. A registration-enabling study is a clinical trial that is intended to obtain sufficient efficacy and safety data to support an NDA or BLA submission to obtain regulatory approval. Although registration-enabling clinical studies are often Phase 3 trials, the FDA has approved drugs based on Phase 2 registration-enabling clinical studies through its accelerated approval program, provided the product is eligible and meets the conditions of accelerated approval. We are also investigating the potential of amsoki-cel as a first-line treatment for advanced melanoma in a dedicated cohort of our ongoing Agni-01 multicenter study. In NSCLC, early clinical results in patients previously treated with ICIs suggest that amsoki-cel has the potential to deliver meaningful antitumor activity in NSCLC while maintaining a generally well-tolerated profile. We intend to continue enrolling patients in our ongoing trial and expect Phase 1 clinical data in the first half of 2027. Similar to melanoma, we believe that the observed tolerability profile of amsoki-cel may provide an opportunity to evaluate the potential of amsoki-cel earlier in the course of disease.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Evaluate the potential of amsoki-cel for the treatment of other solid tumors. Amsoki-cel may be applicable to additional solid tumor types where scientific rationale or prior TIL activity supports development, including tumors with prognostic TIL associations, supportive preclinical findings,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clinical responses to non-engineered TIL. This rationale extends to tumor types with FDA approved ICI therapies, where endogenous TIL activity is a mediator of response and progression following ICI therapy may indicate exhaustion of TIL function. By leveraging cytoDRiVE and our proprietary manufacturing process, in contrast to what is currently feasible with non-engineered TIL, amsoki-cel may be manufactured from these tumors, whether they harbor suppressed tumor reactive TIL that regulatable mbIL15 may functionally enhance or fewer TIL overall that are potentially expandable in the REP phase leading to robust cell dose yields.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Advance our manufacturing capabilities in anticipation of our biologics license application, or BLA, and, if approved, commercial launch. We believe our proprietary manufacturing process enables advantages in phenotype, yield, process robustness, and tumor procurement flexibility. We collaborate with leading contract development manufacturing organizations, or CDMOs, with cell therapies expertise to manufacture amsoki-cel, and plan to expand our capacity with these partners as we approach potential regulatory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Commercialize amsoki-cel in the United States and evaluate partnership opportunities in other regions. We intend to retain commercial rights to amsoki-cel in the United States and opportunistically evaluate strategic collaborations to maximize the commercial potential of amsoki-cel in other regions.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Continue to invest in our cytoDRiVE platform and intellectual property for our cytoTIL product candidates while actively exploring strategic partnerships and collaborations for other applications of our platform. Our cytoDRiVE platform is designed to be highly versatile and fit-for-purpose, with the ability to drive on- or off-activity across multiple classes of proteins and cell types. We believe there are potential next-generation applications across oncology and broader therapeutic areas. This abundance of potential treatment opportunities may enable us to selectively enter strategic collaborations involving our cytoDRiVE platform to maximize the patient benefit and long-term value of our research and development portfolio.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Our Pipeline </w:t>
      </w:r>
    </w:p>
    <w:p>
      <w:pPr>
        <w:pStyle w:val="TextBody"/>
        <w:bidi w:val="0"/>
        <w:spacing w:before="120" w:after="0"/>
        <w:jc w:val="left"/>
        <w:rPr>
          <w:rFonts w:ascii="Times New Roman" w:hAnsi="Times New Roman"/>
          <w:sz w:val="20"/>
        </w:rPr>
      </w:pPr>
      <w:r>
        <w:rPr>
          <w:rFonts w:ascii="Times New Roman" w:hAnsi="Times New Roman"/>
          <w:sz w:val="20"/>
        </w:rPr>
        <w:t xml:space="preserve">We are building an innovative pipeline of genetically engineered TIL cell therapies, led by amsoki-cel, for the treatment of solid tumors. We own worldwide rights to amsoki-cel and our earlier stage product candidates. Our current pipeline is summarized in the diagram below.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5800" cy="179006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65800" cy="1790065"/>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Summary of Material Risks Associated with our Business </w:t>
      </w:r>
    </w:p>
    <w:p>
      <w:pPr>
        <w:pStyle w:val="TextBody"/>
        <w:bidi w:val="0"/>
        <w:spacing w:before="120" w:after="0"/>
        <w:jc w:val="left"/>
        <w:rPr>
          <w:rFonts w:ascii="Times New Roman" w:hAnsi="Times New Roman"/>
          <w:sz w:val="20"/>
        </w:rPr>
      </w:pPr>
      <w:r>
        <w:rPr>
          <w:rFonts w:ascii="Times New Roman" w:hAnsi="Times New Roman"/>
          <w:sz w:val="20"/>
        </w:rPr>
        <w:t xml:space="preserve">Our business is subject to a number of risks of which you should be aware before making an investment decision. These risks include, but are not limited to,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are a clinical-stage biopharmaceutical company and have incurred significant financial losses since inception and anticipate that we will continue to incur significant financial losses for the foreseeable future. We may never achieve or maintain profitability.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raise capital when needed, or on acceptable terms, we could be forced to delay, reduce, or eliminate our product development programs or commercialization efforts.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Raising additional capital may cause dilution to our stockholders, restrict operations, or require us to relinquish rights to our product candidate.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business is highly dependent on the success of our product candidate, amsoki-cel. If we are unable to successfully complete clinical development, obtain regulatory approval for or commercialize our product candidate, or if we experience delays in doing so, our business will be materially harmed.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rely, and expect to continue to rely, on third parties, including independent clinical investigators, CROs and contract development manufacturing organizations, or CDMOs, to conduct certain aspects of our preclinical studies and clinical trials. If these third parties do not successfully carry out their contractual duties, comply with applicable regulatory requirements or meet expected deadlines, we may not be able to obtain regulatory approval for or commercialize our current and future product candidates and our business could be substantially harmed.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obtain and maintain patent protection for any products we develop and for our technology, or if the scope of the patent protection obtained is not sufficiently broad, our competitors could develop and commercialize products and technology similar or identical to ours, and our ability to successfully commercialize any product candidates we may develop and our technology may be adversely affected.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are highly dependent on our key personnel, and if we are not successful in attracting and retaining highly qualified personnel, we may not be able to successfully implement our business strategy. </w:t>
            </w:r>
          </w:p>
        </w:tc>
      </w:tr>
    </w:tbl>
    <w:p>
      <w:pPr>
        <w:pStyle w:val="TextBody"/>
        <w:bidi w:val="0"/>
        <w:spacing w:before="240" w:after="0"/>
        <w:jc w:val="left"/>
        <w:rPr>
          <w:rFonts w:ascii="Times New Roman" w:hAnsi="Times New Roman"/>
          <w:sz w:val="20"/>
        </w:rPr>
      </w:pPr>
      <w:r>
        <w:rPr>
          <w:rFonts w:ascii="Times New Roman" w:hAnsi="Times New Roman"/>
          <w:sz w:val="20"/>
        </w:rPr>
        <w:t>The summary risk factors described above should be read together with the text of the full risk factors in the section titled “</w:t>
      </w:r>
      <w:r>
        <w:rPr>
          <w:rFonts w:ascii="Times New Roman" w:hAnsi="Times New Roman"/>
          <w:i/>
          <w:sz w:val="20"/>
        </w:rPr>
        <w:t>Risk Factors</w:t>
      </w:r>
      <w:r>
        <w:rPr>
          <w:rFonts w:ascii="Times New Roman" w:hAnsi="Times New Roman"/>
          <w:sz w:val="20"/>
        </w:rPr>
        <w:t xml:space="preserve">” and the other information set forth in this prospectus, including our consolidated financial statements and the related notes, as well as in other documents that we file with the Securities and Exchange Commission, or the SEC. The risks summarized above or described in full elsewhere in this prospectus are not the only risks that we face. Additional risks and uncertainties not presently known to us, or that we currently deem to be immaterial may also materially adversely affect our business, financial condition, results of operations, and future, growth prospects.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History </w:t>
      </w:r>
    </w:p>
    <w:p>
      <w:pPr>
        <w:pStyle w:val="TextBody"/>
        <w:bidi w:val="0"/>
        <w:spacing w:before="120" w:after="0"/>
        <w:jc w:val="left"/>
        <w:rPr>
          <w:rFonts w:ascii="Times New Roman" w:hAnsi="Times New Roman"/>
          <w:sz w:val="20"/>
        </w:rPr>
      </w:pPr>
      <w:r>
        <w:rPr>
          <w:rFonts w:ascii="Times New Roman" w:hAnsi="Times New Roman"/>
          <w:sz w:val="20"/>
        </w:rPr>
        <w:t xml:space="preserve">Our principal corporate office is located at 1030 Massachusetts Avenue, Cambridge, MA 02138, and our telephone number is (781) 806-6245. Our website address is </w:t>
      </w:r>
      <w:r>
        <w:rPr>
          <w:rFonts w:ascii="Times New Roman" w:hAnsi="Times New Roman"/>
          <w:i/>
          <w:sz w:val="20"/>
        </w:rPr>
        <w:t>www.obsidiantx.com</w:t>
      </w:r>
      <w:r>
        <w:rPr>
          <w:rFonts w:ascii="Times New Roman" w:hAnsi="Times New Roman"/>
          <w:sz w:val="20"/>
        </w:rPr>
        <w:t xml:space="preserve">. We do not incorporate the information on or accessible through our website into this prospectus, and you should not consider any information on, or that can be accessed through, our website as part of this prospectus. We have included our website address in this prospectus solely as an inactive textual reference. Our common stock is listed on Nasdaq Capital Market under the symbol “OBX.” </w:t>
      </w:r>
    </w:p>
    <w:p>
      <w:pPr>
        <w:pStyle w:val="TextBody"/>
        <w:bidi w:val="0"/>
        <w:spacing w:before="360" w:after="0"/>
        <w:jc w:val="left"/>
        <w:rPr>
          <w:rFonts w:ascii="Times New Roman" w:hAnsi="Times New Roman"/>
          <w:b/>
          <w:sz w:val="20"/>
        </w:rPr>
      </w:pPr>
      <w:r>
        <w:rPr>
          <w:rFonts w:ascii="Times New Roman" w:hAnsi="Times New Roman"/>
          <w:b/>
          <w:sz w:val="20"/>
        </w:rPr>
        <w:t xml:space="preserve">Implications of Being an Emerging Growth Company </w:t>
      </w:r>
    </w:p>
    <w:p>
      <w:pPr>
        <w:pStyle w:val="TextBody"/>
        <w:bidi w:val="0"/>
        <w:spacing w:before="120" w:after="0"/>
        <w:jc w:val="left"/>
        <w:rPr>
          <w:rFonts w:ascii="Times New Roman" w:hAnsi="Times New Roman"/>
          <w:sz w:val="20"/>
        </w:rPr>
      </w:pPr>
      <w:r>
        <w:rPr>
          <w:rFonts w:ascii="Times New Roman" w:hAnsi="Times New Roman"/>
          <w:sz w:val="20"/>
        </w:rPr>
        <w:t xml:space="preserve">We qualify as an “emerging growth company” as defined in the Jumpstart Our Business Startups Act of 2012, as amended, or the JOBS Act. As an emerging growth company, we may take advantage of specified reduced disclosure and other requirements that are otherwise applicable generally to public companies. These provisions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being permitted to present only two years of audited financial statements in addition to any required unaudited interim financial statements with correspondingly reduced “Management’s Discussion and Analysis of Financial Condition and Results of Operations” disclosure; </w:t>
            </w:r>
          </w:p>
        </w:tc>
      </w:tr>
    </w:tbl>
    <w:p>
      <w:pPr>
        <w:pStyle w:val="TextBody"/>
        <w:bidi w:val="0"/>
        <w:spacing w:before="0" w:after="0"/>
        <w:jc w:val="left"/>
        <w:rPr/>
      </w:pPr>
      <w:r>
        <w:rPr/>
        <w:t> </w:t>
      </w:r>
    </w:p>
    <w:tbl>
      <w:tblPr>
        <w:tblW w:w="5875" w:type="dxa"/>
        <w:jc w:val="left"/>
        <w:tblInd w:w="0" w:type="dxa"/>
        <w:tblLayout w:type="fixed"/>
        <w:tblCellMar>
          <w:top w:w="0" w:type="dxa"/>
          <w:left w:w="0" w:type="dxa"/>
          <w:bottom w:w="0" w:type="dxa"/>
          <w:right w:w="0" w:type="dxa"/>
        </w:tblCellMar>
      </w:tblPr>
      <w:tblGrid>
        <w:gridCol w:w="75"/>
        <w:gridCol w:w="110"/>
        <w:gridCol w:w="60"/>
        <w:gridCol w:w="56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reduced disclosure about our executive compensation arrangements;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not being required to hold advisory votes on executive compensation or to obtain stockholder approval of any golden parachute arrangements not previously approved;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exemption from the auditor attestation requirement in the assessment of our internal control over financial reporting pursuant to Section 404 of the Sarbanes-Oxley Act of 2002, or the Sarbanes-Oxley Act;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exemption from compliance with the requirements of the Public Company Accounting Oversight Board regarding the communication of critical audit matters in the auditor’s report on financial statements.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revenues of $1.235 billion or more; (ii) the last day of our fiscal year following the fifth anniversary of the date of the completion of the Mergers; (iii) the date on which we have issued more than $1.0 billion in non-convertible debt during the previous three years; or (iv) the date on which we are deemed to be a large accelerated filer under the rules of the SEC.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 Additionally,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and, therefore, while we are an emerging growth company we will not be subject to new or revised accounting standards at the same time that they become applicable to other public companies that are not emerging growth companies. As a result of these elections, the information that we provide in this prospectus including our financial statements, may be different than the information you may receive from other public companies in which you hold equity interests. In addition, it is possible that some investors will find our common stock less attractive as a result of these elections, which may result in a less active trading market for our common stock and higher volatility in our share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212"/>
        <w:gridCol w:w="120"/>
        <w:gridCol w:w="7873"/>
      </w:tblGrid>
      <w:tr>
        <w:trPr/>
        <w:tc>
          <w:tcPr>
            <w:tcW w:w="22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73" w:type="dxa"/>
            <w:tcBorders/>
            <w:vAlign w:val="center"/>
          </w:tcPr>
          <w:p>
            <w:pPr>
              <w:pStyle w:val="TableContents"/>
              <w:bidi w:val="0"/>
              <w:spacing w:before="0" w:after="283"/>
              <w:jc w:val="left"/>
              <w:rPr>
                <w:sz w:val="4"/>
                <w:szCs w:val="4"/>
              </w:rPr>
            </w:pPr>
            <w:r>
              <w:rPr>
                <w:sz w:val="4"/>
                <w:szCs w:val="4"/>
              </w:rPr>
            </w:r>
          </w:p>
        </w:tc>
      </w:tr>
      <w:tr>
        <w:trPr/>
        <w:tc>
          <w:tcPr>
            <w:tcW w:w="2212" w:type="dxa"/>
            <w:tcBorders/>
            <w:vAlign w:val="center"/>
          </w:tcPr>
          <w:p>
            <w:pPr>
              <w:pStyle w:val="TableContents"/>
              <w:bidi w:val="0"/>
              <w:spacing w:before="0" w:after="283"/>
              <w:jc w:val="left"/>
              <w:rPr>
                <w:sz w:val="4"/>
                <w:szCs w:val="4"/>
              </w:rPr>
            </w:pPr>
            <w:r>
              <w:rPr>
                <w:sz w:val="4"/>
                <w:szCs w:val="4"/>
              </w:rPr>
            </w:r>
          </w:p>
        </w:tc>
        <w:tc>
          <w:tcPr>
            <w:tcW w:w="7993" w:type="dxa"/>
            <w:gridSpan w:val="2"/>
            <w:tcBorders/>
            <w:vAlign w:val="center"/>
          </w:tcPr>
          <w:p>
            <w:pPr>
              <w:pStyle w:val="TableContents"/>
              <w:bidi w:val="0"/>
              <w:spacing w:before="0" w:after="283"/>
              <w:jc w:val="left"/>
              <w:rPr>
                <w:sz w:val="4"/>
                <w:szCs w:val="4"/>
              </w:rPr>
            </w:pPr>
            <w:r>
              <w:rPr>
                <w:sz w:val="4"/>
                <w:szCs w:val="4"/>
              </w:rPr>
            </w:r>
          </w:p>
        </w:tc>
      </w:tr>
      <w:tr>
        <w:trPr/>
        <w:tc>
          <w:tcPr>
            <w:tcW w:w="22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Issuer</w:t>
            </w:r>
          </w:p>
        </w:tc>
        <w:tc>
          <w:tcPr>
            <w:tcW w:w="120" w:type="dxa"/>
            <w:tcBorders/>
            <w:vAlign w:val="center"/>
          </w:tcPr>
          <w:p>
            <w:pPr>
              <w:pStyle w:val="TableContents"/>
              <w:bidi w:val="0"/>
              <w:spacing w:before="0" w:after="283"/>
              <w:jc w:val="left"/>
              <w:rPr/>
            </w:pPr>
            <w:r>
              <w:rPr/>
              <w:t>  </w:t>
            </w:r>
          </w:p>
        </w:tc>
        <w:tc>
          <w:tcPr>
            <w:tcW w:w="7873" w:type="dxa"/>
            <w:tcBorders/>
            <w:vAlign w:val="center"/>
          </w:tcPr>
          <w:p>
            <w:pPr>
              <w:pStyle w:val="TableContents"/>
              <w:bidi w:val="0"/>
              <w:spacing w:before="0" w:after="283"/>
              <w:jc w:val="left"/>
              <w:rPr/>
            </w:pPr>
            <w:r>
              <w:rPr/>
              <w:t>Obsidian Therapeutics, Inc.</w:t>
            </w:r>
          </w:p>
        </w:tc>
      </w:tr>
      <w:tr>
        <w:trPr/>
        <w:tc>
          <w:tcPr>
            <w:tcW w:w="2212" w:type="dxa"/>
            <w:tcBorders/>
            <w:vAlign w:val="center"/>
          </w:tcPr>
          <w:p>
            <w:pPr>
              <w:pStyle w:val="TableContents"/>
              <w:bidi w:val="0"/>
              <w:spacing w:before="0" w:after="283"/>
              <w:jc w:val="left"/>
              <w:rPr>
                <w:sz w:val="4"/>
                <w:szCs w:val="4"/>
              </w:rPr>
            </w:pPr>
            <w:r>
              <w:rPr>
                <w:sz w:val="4"/>
                <w:szCs w:val="4"/>
              </w:rPr>
            </w:r>
          </w:p>
        </w:tc>
        <w:tc>
          <w:tcPr>
            <w:tcW w:w="7993" w:type="dxa"/>
            <w:gridSpan w:val="2"/>
            <w:tcBorders/>
            <w:vAlign w:val="center"/>
          </w:tcPr>
          <w:p>
            <w:pPr>
              <w:pStyle w:val="TableContents"/>
              <w:bidi w:val="0"/>
              <w:spacing w:before="0" w:after="283"/>
              <w:jc w:val="left"/>
              <w:rPr>
                <w:sz w:val="4"/>
                <w:szCs w:val="4"/>
              </w:rPr>
            </w:pPr>
            <w:r>
              <w:rPr>
                <w:sz w:val="4"/>
                <w:szCs w:val="4"/>
              </w:rPr>
            </w:r>
          </w:p>
        </w:tc>
      </w:tr>
      <w:tr>
        <w:trPr/>
        <w:tc>
          <w:tcPr>
            <w:tcW w:w="22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Offered by the Selling Stockholders</w:t>
            </w:r>
          </w:p>
        </w:tc>
        <w:tc>
          <w:tcPr>
            <w:tcW w:w="120" w:type="dxa"/>
            <w:tcBorders/>
            <w:vAlign w:val="center"/>
          </w:tcPr>
          <w:p>
            <w:pPr>
              <w:pStyle w:val="TableContents"/>
              <w:bidi w:val="0"/>
              <w:spacing w:before="0" w:after="283"/>
              <w:jc w:val="left"/>
              <w:rPr/>
            </w:pPr>
            <w:r>
              <w:rPr/>
              <w:t>  </w:t>
            </w:r>
          </w:p>
        </w:tc>
        <w:tc>
          <w:tcPr>
            <w:tcW w:w="7873" w:type="dxa"/>
            <w:tcBorders/>
            <w:vAlign w:val="center"/>
          </w:tcPr>
          <w:p>
            <w:pPr>
              <w:pStyle w:val="TableContents"/>
              <w:bidi w:val="0"/>
              <w:spacing w:before="0" w:after="283"/>
              <w:jc w:val="left"/>
              <w:rPr/>
            </w:pPr>
            <w:r>
              <w:rPr/>
              <w:t>29,164,045 shares of common stock</w:t>
            </w:r>
          </w:p>
        </w:tc>
      </w:tr>
      <w:tr>
        <w:trPr/>
        <w:tc>
          <w:tcPr>
            <w:tcW w:w="2212" w:type="dxa"/>
            <w:tcBorders/>
            <w:vAlign w:val="center"/>
          </w:tcPr>
          <w:p>
            <w:pPr>
              <w:pStyle w:val="TableContents"/>
              <w:bidi w:val="0"/>
              <w:spacing w:before="0" w:after="283"/>
              <w:jc w:val="left"/>
              <w:rPr>
                <w:sz w:val="4"/>
                <w:szCs w:val="4"/>
              </w:rPr>
            </w:pPr>
            <w:r>
              <w:rPr>
                <w:sz w:val="4"/>
                <w:szCs w:val="4"/>
              </w:rPr>
            </w:r>
          </w:p>
        </w:tc>
        <w:tc>
          <w:tcPr>
            <w:tcW w:w="7993" w:type="dxa"/>
            <w:gridSpan w:val="2"/>
            <w:tcBorders/>
            <w:vAlign w:val="center"/>
          </w:tcPr>
          <w:p>
            <w:pPr>
              <w:pStyle w:val="TableContents"/>
              <w:bidi w:val="0"/>
              <w:spacing w:before="0" w:after="283"/>
              <w:jc w:val="left"/>
              <w:rPr>
                <w:sz w:val="4"/>
                <w:szCs w:val="4"/>
              </w:rPr>
            </w:pPr>
            <w:r>
              <w:rPr>
                <w:sz w:val="4"/>
                <w:szCs w:val="4"/>
              </w:rPr>
            </w:r>
          </w:p>
        </w:tc>
      </w:tr>
      <w:tr>
        <w:trPr/>
        <w:tc>
          <w:tcPr>
            <w:tcW w:w="22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Use of Proceeds</w:t>
            </w:r>
          </w:p>
        </w:tc>
        <w:tc>
          <w:tcPr>
            <w:tcW w:w="120" w:type="dxa"/>
            <w:tcBorders/>
            <w:vAlign w:val="center"/>
          </w:tcPr>
          <w:p>
            <w:pPr>
              <w:pStyle w:val="TableContents"/>
              <w:bidi w:val="0"/>
              <w:spacing w:before="0" w:after="283"/>
              <w:jc w:val="left"/>
              <w:rPr/>
            </w:pPr>
            <w:r>
              <w:rPr/>
              <w:t>  </w:t>
            </w:r>
          </w:p>
        </w:tc>
        <w:tc>
          <w:tcPr>
            <w:tcW w:w="7873" w:type="dxa"/>
            <w:tcBorders/>
            <w:vAlign w:val="center"/>
          </w:tcPr>
          <w:p>
            <w:pPr>
              <w:pStyle w:val="TableContents"/>
              <w:bidi w:val="0"/>
              <w:spacing w:before="0" w:after="283"/>
              <w:jc w:val="left"/>
              <w:rPr/>
            </w:pPr>
            <w:r>
              <w:rPr/>
              <w:t>We will not receive any proceeds from the sale of the shares of common stock covered by this prospectus. See the section titled “</w:t>
            </w:r>
            <w:r>
              <w:rPr>
                <w:i/>
              </w:rPr>
              <w:t>Use of Proceeds</w:t>
            </w:r>
            <w:r>
              <w:rPr/>
              <w:t>” appearing elsewhere in this prospectus for more information.</w:t>
            </w:r>
          </w:p>
        </w:tc>
      </w:tr>
      <w:tr>
        <w:trPr/>
        <w:tc>
          <w:tcPr>
            <w:tcW w:w="2212" w:type="dxa"/>
            <w:tcBorders/>
            <w:vAlign w:val="center"/>
          </w:tcPr>
          <w:p>
            <w:pPr>
              <w:pStyle w:val="TableContents"/>
              <w:bidi w:val="0"/>
              <w:spacing w:before="0" w:after="283"/>
              <w:jc w:val="left"/>
              <w:rPr>
                <w:sz w:val="4"/>
                <w:szCs w:val="4"/>
              </w:rPr>
            </w:pPr>
            <w:r>
              <w:rPr>
                <w:sz w:val="4"/>
                <w:szCs w:val="4"/>
              </w:rPr>
            </w:r>
          </w:p>
        </w:tc>
        <w:tc>
          <w:tcPr>
            <w:tcW w:w="7993" w:type="dxa"/>
            <w:gridSpan w:val="2"/>
            <w:tcBorders/>
            <w:vAlign w:val="center"/>
          </w:tcPr>
          <w:p>
            <w:pPr>
              <w:pStyle w:val="TableContents"/>
              <w:bidi w:val="0"/>
              <w:spacing w:before="0" w:after="283"/>
              <w:jc w:val="left"/>
              <w:rPr>
                <w:sz w:val="4"/>
                <w:szCs w:val="4"/>
              </w:rPr>
            </w:pPr>
            <w:r>
              <w:rPr>
                <w:sz w:val="4"/>
                <w:szCs w:val="4"/>
              </w:rPr>
            </w:r>
          </w:p>
        </w:tc>
      </w:tr>
      <w:tr>
        <w:trPr/>
        <w:tc>
          <w:tcPr>
            <w:tcW w:w="22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Nasdaq Symbol</w:t>
            </w:r>
          </w:p>
        </w:tc>
        <w:tc>
          <w:tcPr>
            <w:tcW w:w="120" w:type="dxa"/>
            <w:tcBorders/>
            <w:vAlign w:val="center"/>
          </w:tcPr>
          <w:p>
            <w:pPr>
              <w:pStyle w:val="TableContents"/>
              <w:bidi w:val="0"/>
              <w:spacing w:before="0" w:after="283"/>
              <w:jc w:val="left"/>
              <w:rPr/>
            </w:pPr>
            <w:r>
              <w:rPr/>
              <w:t>  </w:t>
            </w:r>
          </w:p>
        </w:tc>
        <w:tc>
          <w:tcPr>
            <w:tcW w:w="7873" w:type="dxa"/>
            <w:tcBorders/>
            <w:vAlign w:val="center"/>
          </w:tcPr>
          <w:p>
            <w:pPr>
              <w:pStyle w:val="TableContents"/>
              <w:bidi w:val="0"/>
              <w:spacing w:before="0" w:after="283"/>
              <w:jc w:val="left"/>
              <w:rPr/>
            </w:pPr>
            <w:r>
              <w:rPr/>
              <w:t>“</w:t>
            </w:r>
            <w:r>
              <w:rPr/>
              <w:t>OBX.”</w:t>
            </w:r>
          </w:p>
        </w:tc>
      </w:tr>
      <w:tr>
        <w:trPr/>
        <w:tc>
          <w:tcPr>
            <w:tcW w:w="2212" w:type="dxa"/>
            <w:tcBorders/>
            <w:vAlign w:val="center"/>
          </w:tcPr>
          <w:p>
            <w:pPr>
              <w:pStyle w:val="TableContents"/>
              <w:bidi w:val="0"/>
              <w:spacing w:before="0" w:after="283"/>
              <w:jc w:val="left"/>
              <w:rPr>
                <w:sz w:val="4"/>
                <w:szCs w:val="4"/>
              </w:rPr>
            </w:pPr>
            <w:r>
              <w:rPr>
                <w:sz w:val="4"/>
                <w:szCs w:val="4"/>
              </w:rPr>
            </w:r>
          </w:p>
        </w:tc>
        <w:tc>
          <w:tcPr>
            <w:tcW w:w="7993" w:type="dxa"/>
            <w:gridSpan w:val="2"/>
            <w:tcBorders/>
            <w:vAlign w:val="center"/>
          </w:tcPr>
          <w:p>
            <w:pPr>
              <w:pStyle w:val="TableContents"/>
              <w:bidi w:val="0"/>
              <w:spacing w:before="0" w:after="283"/>
              <w:jc w:val="left"/>
              <w:rPr>
                <w:sz w:val="4"/>
                <w:szCs w:val="4"/>
              </w:rPr>
            </w:pPr>
            <w:r>
              <w:rPr>
                <w:sz w:val="4"/>
                <w:szCs w:val="4"/>
              </w:rPr>
            </w:r>
          </w:p>
        </w:tc>
      </w:tr>
      <w:tr>
        <w:trPr/>
        <w:tc>
          <w:tcPr>
            <w:tcW w:w="22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Offering Price</w:t>
            </w:r>
          </w:p>
        </w:tc>
        <w:tc>
          <w:tcPr>
            <w:tcW w:w="120" w:type="dxa"/>
            <w:tcBorders/>
            <w:vAlign w:val="center"/>
          </w:tcPr>
          <w:p>
            <w:pPr>
              <w:pStyle w:val="TableContents"/>
              <w:bidi w:val="0"/>
              <w:spacing w:before="0" w:after="283"/>
              <w:jc w:val="left"/>
              <w:rPr/>
            </w:pPr>
            <w:r>
              <w:rPr/>
              <w:t>  </w:t>
            </w:r>
          </w:p>
        </w:tc>
        <w:tc>
          <w:tcPr>
            <w:tcW w:w="7873" w:type="dxa"/>
            <w:tcBorders/>
            <w:vAlign w:val="center"/>
          </w:tcPr>
          <w:p>
            <w:pPr>
              <w:pStyle w:val="TableContents"/>
              <w:bidi w:val="0"/>
              <w:spacing w:before="0" w:after="283"/>
              <w:jc w:val="left"/>
              <w:rPr/>
            </w:pPr>
            <w:r>
              <w:rPr/>
              <w:t>The selling stockholders will offer the shares of common stock offered by this prospectus at the prevailing market prices or at privately negotiated prices.</w:t>
            </w:r>
          </w:p>
        </w:tc>
      </w:tr>
      <w:tr>
        <w:trPr/>
        <w:tc>
          <w:tcPr>
            <w:tcW w:w="2212" w:type="dxa"/>
            <w:tcBorders/>
            <w:vAlign w:val="center"/>
          </w:tcPr>
          <w:p>
            <w:pPr>
              <w:pStyle w:val="TableContents"/>
              <w:bidi w:val="0"/>
              <w:spacing w:before="0" w:after="283"/>
              <w:jc w:val="left"/>
              <w:rPr>
                <w:sz w:val="4"/>
                <w:szCs w:val="4"/>
              </w:rPr>
            </w:pPr>
            <w:r>
              <w:rPr>
                <w:sz w:val="4"/>
                <w:szCs w:val="4"/>
              </w:rPr>
            </w:r>
          </w:p>
        </w:tc>
        <w:tc>
          <w:tcPr>
            <w:tcW w:w="7993" w:type="dxa"/>
            <w:gridSpan w:val="2"/>
            <w:tcBorders/>
            <w:vAlign w:val="center"/>
          </w:tcPr>
          <w:p>
            <w:pPr>
              <w:pStyle w:val="TableContents"/>
              <w:bidi w:val="0"/>
              <w:spacing w:before="0" w:after="283"/>
              <w:jc w:val="left"/>
              <w:rPr>
                <w:sz w:val="4"/>
                <w:szCs w:val="4"/>
              </w:rPr>
            </w:pPr>
            <w:r>
              <w:rPr>
                <w:sz w:val="4"/>
                <w:szCs w:val="4"/>
              </w:rPr>
            </w:r>
          </w:p>
        </w:tc>
      </w:tr>
      <w:tr>
        <w:trPr/>
        <w:tc>
          <w:tcPr>
            <w:tcW w:w="22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Risk Factors</w:t>
            </w:r>
          </w:p>
        </w:tc>
        <w:tc>
          <w:tcPr>
            <w:tcW w:w="120" w:type="dxa"/>
            <w:tcBorders/>
            <w:vAlign w:val="center"/>
          </w:tcPr>
          <w:p>
            <w:pPr>
              <w:pStyle w:val="TableContents"/>
              <w:bidi w:val="0"/>
              <w:spacing w:before="0" w:after="283"/>
              <w:jc w:val="left"/>
              <w:rPr/>
            </w:pPr>
            <w:r>
              <w:rPr/>
              <w:t>  </w:t>
            </w:r>
          </w:p>
        </w:tc>
        <w:tc>
          <w:tcPr>
            <w:tcW w:w="7873" w:type="dxa"/>
            <w:tcBorders/>
            <w:vAlign w:val="center"/>
          </w:tcPr>
          <w:p>
            <w:pPr>
              <w:pStyle w:val="TableContents"/>
              <w:bidi w:val="0"/>
              <w:spacing w:before="0" w:after="283"/>
              <w:jc w:val="left"/>
              <w:rPr/>
            </w:pPr>
            <w:r>
              <w:rPr/>
              <w:t>You should read the “</w:t>
            </w:r>
            <w:r>
              <w:rPr>
                <w:i/>
              </w:rPr>
              <w:t>Risk Factors</w:t>
            </w:r>
            <w:r>
              <w:rPr/>
              <w:t>” section of this prospectus beginning on page 9 for a discussion of factors to consider carefully before deciding to invest in shares of our common stock.</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additional information concerning the offering, see “</w:t>
      </w:r>
      <w:r>
        <w:rPr>
          <w:rFonts w:ascii="Times New Roman" w:hAnsi="Times New Roman"/>
          <w:i/>
          <w:sz w:val="20"/>
          <w:bdr w:val="single" w:sz="8" w:space="1" w:color="000000"/>
        </w:rPr>
        <w:t>Plan of Distribution</w:t>
      </w:r>
      <w:r>
        <w:rPr>
          <w:rFonts w:ascii="Times New Roman" w:hAnsi="Times New Roman"/>
          <w:sz w:val="20"/>
          <w:bdr w:val="single" w:sz="8" w:space="1" w:color="000000"/>
        </w:rPr>
        <w:t xml:space="preserve">” beginning on page 166.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127696_6"/>
      <w:bookmarkEnd w:id="8"/>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securities involves risks. Before you make a decision to buy our securities, in addition to the risks and uncertainties discussed above under “Special Note Regarding Forward-Looking Statements,” you should carefully consider the specific risks set forth herein. We operate in a dynamic and rapidly changing industry that involves numerous risks and uncertainties. If any of these risks actually occur, it may materially harm our business, financial condition, liquidity and results of operations. As a result, the market price of our securities could decline, and you could lose all or part of your investment. When determining whether to invest, you should also refer to the other information contained in this prospectus, including our financial statements and the related notes thereto, and the other financial information concerning us included elsewhere in this prospectus. Additionally, the risks and uncertainties described in this prospectus or any prospectus supplement are not the only risks and uncertainties that we face. Additional risks and uncertainties not presently known to us or that we currently believe to be immaterial may become material and adversely affect our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Financial Condition, Need for Additional Capital and Manufacturing and Commercialization Efforts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are a clinical-stage biopharmaceutical company and have incurred significant financial losses since our inception and anticipate that we will continue to incur significant financial losses for the foreseeable future. We may never achieve or maintain profitability. </w:t>
      </w:r>
    </w:p>
    <w:p>
      <w:pPr>
        <w:pStyle w:val="TextBody"/>
        <w:bidi w:val="0"/>
        <w:spacing w:before="120" w:after="0"/>
        <w:jc w:val="left"/>
        <w:rPr>
          <w:rFonts w:ascii="Times New Roman" w:hAnsi="Times New Roman"/>
          <w:sz w:val="20"/>
        </w:rPr>
      </w:pPr>
      <w:r>
        <w:rPr>
          <w:rFonts w:ascii="Times New Roman" w:hAnsi="Times New Roman"/>
          <w:sz w:val="20"/>
        </w:rPr>
        <w:t xml:space="preserve">We are a clinical-stage biopharmaceutical company with a limited operating history and have incurred losses since our inception. Our operations to date have been limited to pre-commercial activities. We have not yet demonstrated an ability to generate revenue, obtain regulatory approvals, manufacture any product on a commercial scale or arrange for a third party to do so on our behalf, or conduct sales and marketing activities necessary for successful product commercialization. We will encounter risks and difficulties frequently experienced by clinical-stage biopharmaceutical companies in rapidly evolving fields, and we have not yet demonstrated an ability to successfully overcome such risks and difficulties. If we do not address these risks and difficulties successfully, our business will suffer. </w:t>
      </w:r>
    </w:p>
    <w:p>
      <w:pPr>
        <w:pStyle w:val="TextBody"/>
        <w:bidi w:val="0"/>
        <w:spacing w:before="240" w:after="0"/>
        <w:jc w:val="left"/>
        <w:rPr>
          <w:rFonts w:ascii="Times New Roman" w:hAnsi="Times New Roman"/>
          <w:sz w:val="20"/>
        </w:rPr>
      </w:pPr>
      <w:r>
        <w:rPr>
          <w:rFonts w:ascii="Times New Roman" w:hAnsi="Times New Roman"/>
          <w:sz w:val="20"/>
        </w:rPr>
        <w:t xml:space="preserve">We have no products approved for commercial sale and have not generated any revenue from product sales to date. We will continue to incur significant research and development and other expenses related to our preclinical and clinical development and ongoing operations. As a result, we are not profitable and have incurred losses in each period since our inception. Net losses and negative cash flows have had, and will continue to have, an adverse effect on our stockholders’ equity and working capital. We expect to continue to incur significant losses for the foreseeable future, and we expect these losses to increase as we continue our research and development of, and seek regulatory approvals for, our product candidate. </w:t>
      </w:r>
    </w:p>
    <w:p>
      <w:pPr>
        <w:pStyle w:val="TextBody"/>
        <w:bidi w:val="0"/>
        <w:spacing w:before="240" w:after="0"/>
        <w:jc w:val="left"/>
        <w:rPr>
          <w:rFonts w:ascii="Times New Roman" w:hAnsi="Times New Roman"/>
          <w:sz w:val="20"/>
        </w:rPr>
      </w:pPr>
      <w:r>
        <w:rPr>
          <w:rFonts w:ascii="Times New Roman" w:hAnsi="Times New Roman"/>
          <w:sz w:val="20"/>
        </w:rPr>
        <w:t xml:space="preserve">We anticipate that our expenses will increase substantially if, and as, we: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continue to advance our product candidate through clinical development, including conducting our ongoing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seek regulatory approvals for our product candidate or any future product candidates that successfully complete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expand our operational, financial and management systems and increase personnel, including personnel to support our clinical and preclinical development, manufacturing and commercialization efforts; </w:t>
            </w:r>
          </w:p>
        </w:tc>
      </w:tr>
    </w:tbl>
    <w:p>
      <w:pPr>
        <w:pStyle w:val="TextBody"/>
        <w:bidi w:val="0"/>
        <w:spacing w:before="0" w:after="0"/>
        <w:jc w:val="left"/>
        <w:rPr/>
      </w:pPr>
      <w:r>
        <w:rPr/>
        <w:t> </w:t>
      </w:r>
    </w:p>
    <w:tbl>
      <w:tblPr>
        <w:tblW w:w="9550" w:type="dxa"/>
        <w:jc w:val="left"/>
        <w:tblInd w:w="0" w:type="dxa"/>
        <w:tblLayout w:type="fixed"/>
        <w:tblCellMar>
          <w:top w:w="0" w:type="dxa"/>
          <w:left w:w="0" w:type="dxa"/>
          <w:bottom w:w="0" w:type="dxa"/>
          <w:right w:w="0" w:type="dxa"/>
        </w:tblCellMar>
      </w:tblPr>
      <w:tblGrid>
        <w:gridCol w:w="75"/>
        <w:gridCol w:w="110"/>
        <w:gridCol w:w="60"/>
        <w:gridCol w:w="9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undertake any pre-commercial or commercial activities to establish sales, marketing, and distribution capabilities; </w:t>
            </w:r>
          </w:p>
        </w:tc>
      </w:tr>
    </w:tbl>
    <w:p>
      <w:pPr>
        <w:pStyle w:val="TextBody"/>
        <w:bidi w:val="0"/>
        <w:spacing w:before="0" w:after="0"/>
        <w:jc w:val="left"/>
        <w:rPr/>
      </w:pPr>
      <w:r>
        <w:rPr/>
        <w:t> </w:t>
      </w:r>
    </w:p>
    <w:tbl>
      <w:tblPr>
        <w:tblW w:w="5665" w:type="dxa"/>
        <w:jc w:val="left"/>
        <w:tblInd w:w="0" w:type="dxa"/>
        <w:tblLayout w:type="fixed"/>
        <w:tblCellMar>
          <w:top w:w="0" w:type="dxa"/>
          <w:left w:w="0" w:type="dxa"/>
          <w:bottom w:w="0" w:type="dxa"/>
          <w:right w:w="0" w:type="dxa"/>
        </w:tblCellMar>
      </w:tblPr>
      <w:tblGrid>
        <w:gridCol w:w="75"/>
        <w:gridCol w:w="110"/>
        <w:gridCol w:w="60"/>
        <w:gridCol w:w="54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advance any future product candidates into clinical development;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seek to identify, acquire, and develop additional product candidates, including through business development efforts to invest in or in-license other technologies or product candidates;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590" w:type="dxa"/>
        <w:jc w:val="left"/>
        <w:tblInd w:w="0" w:type="dxa"/>
        <w:tblLayout w:type="fixed"/>
        <w:tblCellMar>
          <w:top w:w="0" w:type="dxa"/>
          <w:left w:w="0" w:type="dxa"/>
          <w:bottom w:w="0" w:type="dxa"/>
          <w:right w:w="0" w:type="dxa"/>
        </w:tblCellMar>
      </w:tblPr>
      <w:tblGrid>
        <w:gridCol w:w="75"/>
        <w:gridCol w:w="110"/>
        <w:gridCol w:w="60"/>
        <w:gridCol w:w="5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 expand, and protect our intellectual property portfolio;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make milestone, royalty, or other payments due under our license and collaboration agreements and any future license, collaboration or other agreements;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make milestone, royalty, interest, or other payments due under any future financing or other arrangements with third parties;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incur additional legal, accounting or other expenses in operating our business, including the additional costs associated with operating as a public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 or work with third-parties to establish sales, marketing, distribution, manufacturing, supply chain and other commercial infrastructure in the future to commercialize any product candidates for which we may obtain regulatory approval; and </w:t>
            </w:r>
          </w:p>
        </w:tc>
      </w:tr>
    </w:tbl>
    <w:p>
      <w:pPr>
        <w:pStyle w:val="TextBody"/>
        <w:bidi w:val="0"/>
        <w:spacing w:before="0" w:after="0"/>
        <w:jc w:val="left"/>
        <w:rPr/>
      </w:pPr>
      <w:r>
        <w:rPr/>
        <w:t> </w:t>
      </w:r>
    </w:p>
    <w:tbl>
      <w:tblPr>
        <w:tblW w:w="7135" w:type="dxa"/>
        <w:jc w:val="left"/>
        <w:tblInd w:w="0" w:type="dxa"/>
        <w:tblLayout w:type="fixed"/>
        <w:tblCellMar>
          <w:top w:w="0" w:type="dxa"/>
          <w:left w:w="0" w:type="dxa"/>
          <w:bottom w:w="0" w:type="dxa"/>
          <w:right w:w="0" w:type="dxa"/>
        </w:tblCellMar>
      </w:tblPr>
      <w:tblGrid>
        <w:gridCol w:w="75"/>
        <w:gridCol w:w="110"/>
        <w:gridCol w:w="60"/>
        <w:gridCol w:w="68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 equipment and physical infrastructure to support our research and development.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Biopharmaceutical product development entails substantial up-front capital expenditures and significant risk that any potential product candidate will fail to demonstrate adequate efficacy or an acceptable safety profile, gain regulatory approval, secure market access and reimbursement, or become commercially viable, and therefore any investment in us is highly speculative. Accordingly, before making an investment in us, you should consider our prospects, factoring in the costs, uncertainties, delays, and difficulties frequently encountered by companies in clinical development, especially clinical-stage biopharmaceutical companies such as ours. Any predictions you make about our future success or viability may not be as accurate as they would otherwise be if we had a longer operating history or a history of successfully developing and commercializing biopharmaceutical products. We may encounter unforeseen expenses, difficulties, complications, delays, and other known or unknown factors in achieving our business objectives. </w:t>
      </w:r>
    </w:p>
    <w:p>
      <w:pPr>
        <w:pStyle w:val="TextBody"/>
        <w:bidi w:val="0"/>
        <w:spacing w:before="240" w:after="0"/>
        <w:jc w:val="left"/>
        <w:rPr>
          <w:rFonts w:ascii="Times New Roman" w:hAnsi="Times New Roman"/>
          <w:sz w:val="20"/>
        </w:rPr>
      </w:pPr>
      <w:r>
        <w:rPr>
          <w:rFonts w:ascii="Times New Roman" w:hAnsi="Times New Roman"/>
          <w:sz w:val="20"/>
        </w:rPr>
        <w:t xml:space="preserve">Additionally, our expenses could increase beyond our expectations if we are required by the U.S. Food and Drug Administration, or the FDA, the European Medicines Agency, or the EMA, or other comparable regulatory authorities to perform clinical trials in addition to those that we currently expect, or if there are any delays in establishing appropriate manufacturing arrangements for or in completing our clinical trials or the development of our product candidate or any future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require additional funding in order to finance operations. If we are unable to raise capital when needed, or on acceptable terms, we could be forced to delay, reduce, or eliminate our product development programs or commercialization efforts. </w:t>
      </w:r>
    </w:p>
    <w:p>
      <w:pPr>
        <w:pStyle w:val="TextBody"/>
        <w:bidi w:val="0"/>
        <w:spacing w:before="120" w:after="0"/>
        <w:jc w:val="left"/>
        <w:rPr>
          <w:rFonts w:ascii="Times New Roman" w:hAnsi="Times New Roman"/>
          <w:sz w:val="20"/>
        </w:rPr>
      </w:pPr>
      <w:r>
        <w:rPr>
          <w:rFonts w:ascii="Times New Roman" w:hAnsi="Times New Roman"/>
          <w:sz w:val="20"/>
        </w:rPr>
        <w:t xml:space="preserve">Developing biopharmaceutical products, including conducting preclinical studies and clinical trials, is a very time-consuming, expensive, and uncertain process that takes years to complete. We expect our expenses to continue to increase in connection with our ongoing activities, particularly as we conduct clinical trials of, and seek regulatory and marketing approval for, our product candidate. Even if our current or future product candidates are approved for commercial sale, we anticipate incurring significant costs associated with commercializing any approved product candidate. To date, we have funded our operations principally through private financings. We expect our expenses to increase in connection with our ongoing activities, particularly as we continue the clinical and preclinical development of our product candidate, commence additional preclinical studies and clinical trials, and continue to identify and develop additional product candidates either through internal development or through acquisitions or in-licensing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we had cash and cash equivalents and marketable securities of $34.4 million. Based upon our current operating plans, we believe that the net proceeds from the PIPE financing, together with our existing cash and cash equivalents and short-term investments in marketable securities, will be sufficient to fund our operations into the second half of 2028.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have based this estimate on assumptions that may prove to be wrong, and we could utilize our available capital resources sooner than we expect. We may also raise additional financing on an opportunistic basis in the future. For example,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product candidate. Our future capital requirements will depend on many factors, including but not limited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scope, timing, progress, costs, and results of discovery, preclinical development, and clinical trials for our current or future product candidates; </w:t>
            </w:r>
          </w:p>
        </w:tc>
      </w:tr>
    </w:tbl>
    <w:p>
      <w:pPr>
        <w:pStyle w:val="TextBody"/>
        <w:bidi w:val="0"/>
        <w:spacing w:before="0" w:after="0"/>
        <w:jc w:val="left"/>
        <w:rPr/>
      </w:pPr>
      <w:r>
        <w:rPr/>
        <w:t> </w:t>
      </w:r>
    </w:p>
    <w:tbl>
      <w:tblPr>
        <w:tblW w:w="8725" w:type="dxa"/>
        <w:jc w:val="left"/>
        <w:tblInd w:w="0" w:type="dxa"/>
        <w:tblLayout w:type="fixed"/>
        <w:tblCellMar>
          <w:top w:w="0" w:type="dxa"/>
          <w:left w:w="0" w:type="dxa"/>
          <w:bottom w:w="0" w:type="dxa"/>
          <w:right w:w="0" w:type="dxa"/>
        </w:tblCellMar>
      </w:tblPr>
      <w:tblGrid>
        <w:gridCol w:w="75"/>
        <w:gridCol w:w="110"/>
        <w:gridCol w:w="60"/>
        <w:gridCol w:w="84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clinical trials required for regulatory approval of our current or future product candidates; </w:t>
            </w:r>
          </w:p>
        </w:tc>
      </w:tr>
    </w:tbl>
    <w:p>
      <w:pPr>
        <w:pStyle w:val="TextBody"/>
        <w:bidi w:val="0"/>
        <w:spacing w:before="0" w:after="0"/>
        <w:jc w:val="left"/>
        <w:rPr/>
      </w:pPr>
      <w:r>
        <w:rPr/>
        <w:t> </w:t>
      </w:r>
    </w:p>
    <w:tbl>
      <w:tblPr>
        <w:tblW w:w="8350" w:type="dxa"/>
        <w:jc w:val="left"/>
        <w:tblInd w:w="0" w:type="dxa"/>
        <w:tblLayout w:type="fixed"/>
        <w:tblCellMar>
          <w:top w:w="0" w:type="dxa"/>
          <w:left w:w="0" w:type="dxa"/>
          <w:bottom w:w="0" w:type="dxa"/>
          <w:right w:w="0" w:type="dxa"/>
        </w:tblCellMar>
      </w:tblPr>
      <w:tblGrid>
        <w:gridCol w:w="75"/>
        <w:gridCol w:w="110"/>
        <w:gridCol w:w="60"/>
        <w:gridCol w:w="81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timing, and outcome of regulatory review of our current or any future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associated with acquiring or licensing additional product candidates, technologies, or assets, including the timing and amount of any milestones, royalties, or other payments due in connection with our acquisitions and licenses; </w:t>
            </w:r>
          </w:p>
        </w:tc>
      </w:tr>
    </w:tbl>
    <w:p>
      <w:pPr>
        <w:pStyle w:val="TextBody"/>
        <w:bidi w:val="0"/>
        <w:spacing w:before="0" w:after="0"/>
        <w:jc w:val="left"/>
        <w:rPr/>
      </w:pPr>
      <w:r>
        <w:rPr/>
        <w:t> </w:t>
      </w:r>
    </w:p>
    <w:tbl>
      <w:tblPr>
        <w:tblW w:w="8635" w:type="dxa"/>
        <w:jc w:val="left"/>
        <w:tblInd w:w="0" w:type="dxa"/>
        <w:tblLayout w:type="fixed"/>
        <w:tblCellMar>
          <w:top w:w="0" w:type="dxa"/>
          <w:left w:w="0" w:type="dxa"/>
          <w:bottom w:w="0" w:type="dxa"/>
          <w:right w:w="0" w:type="dxa"/>
        </w:tblCellMar>
      </w:tblPr>
      <w:tblGrid>
        <w:gridCol w:w="75"/>
        <w:gridCol w:w="110"/>
        <w:gridCol w:w="60"/>
        <w:gridCol w:w="8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 of manufacturing clinical and commercial supplies of our current or future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our approach at identifying target patient populations and utilizing our approach to enrich our patient population in our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existing, and establish new, strategic collaborations or other arrangements and the financial terms of any such agreements, including the timing and amount of any future milestone, royalty, or other payments due under any such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future commercialization activities, including manufacturing, marketing, sales, and distribution, for our product candidate or any future product candidates for which we receive marketing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revenue, if any, received from commercial sales of our product candidate or any future product candidates for which we receive marketing approval; </w:t>
            </w:r>
          </w:p>
        </w:tc>
      </w:tr>
    </w:tbl>
    <w:p>
      <w:pPr>
        <w:pStyle w:val="TextBody"/>
        <w:bidi w:val="0"/>
        <w:spacing w:before="0" w:after="0"/>
        <w:jc w:val="left"/>
        <w:rPr/>
      </w:pPr>
      <w:r>
        <w:rPr/>
        <w:t> </w:t>
      </w:r>
    </w:p>
    <w:tbl>
      <w:tblPr>
        <w:tblW w:w="4630" w:type="dxa"/>
        <w:jc w:val="left"/>
        <w:tblInd w:w="0" w:type="dxa"/>
        <w:tblLayout w:type="fixed"/>
        <w:tblCellMar>
          <w:top w:w="0" w:type="dxa"/>
          <w:left w:w="0" w:type="dxa"/>
          <w:bottom w:w="0" w:type="dxa"/>
          <w:right w:w="0" w:type="dxa"/>
        </w:tblCellMar>
      </w:tblPr>
      <w:tblGrid>
        <w:gridCol w:w="75"/>
        <w:gridCol w:w="110"/>
        <w:gridCol w:w="60"/>
        <w:gridCol w:w="43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expenses to attract, hire, and retain skilled personnel; </w:t>
            </w:r>
          </w:p>
        </w:tc>
      </w:tr>
    </w:tbl>
    <w:p>
      <w:pPr>
        <w:pStyle w:val="TextBody"/>
        <w:bidi w:val="0"/>
        <w:spacing w:before="0" w:after="0"/>
        <w:jc w:val="left"/>
        <w:rPr/>
      </w:pPr>
      <w:r>
        <w:rPr/>
        <w:t> </w:t>
      </w:r>
    </w:p>
    <w:tbl>
      <w:tblPr>
        <w:tblW w:w="3835" w:type="dxa"/>
        <w:jc w:val="left"/>
        <w:tblInd w:w="0" w:type="dxa"/>
        <w:tblLayout w:type="fixed"/>
        <w:tblCellMar>
          <w:top w:w="0" w:type="dxa"/>
          <w:left w:w="0" w:type="dxa"/>
          <w:bottom w:w="0" w:type="dxa"/>
          <w:right w:w="0" w:type="dxa"/>
        </w:tblCellMar>
      </w:tblPr>
      <w:tblGrid>
        <w:gridCol w:w="75"/>
        <w:gridCol w:w="110"/>
        <w:gridCol w:w="60"/>
        <w:gridCol w:w="35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operating as a public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establish a commercially viable pricing structure and obtain approval for coverage and adequate reimbursement from third-party and government payors; </w:t>
            </w:r>
          </w:p>
        </w:tc>
      </w:tr>
    </w:tbl>
    <w:p>
      <w:pPr>
        <w:pStyle w:val="TextBody"/>
        <w:bidi w:val="0"/>
        <w:spacing w:before="0" w:after="0"/>
        <w:jc w:val="left"/>
        <w:rPr/>
      </w:pPr>
      <w:r>
        <w:rPr/>
        <w:t> </w:t>
      </w:r>
    </w:p>
    <w:tbl>
      <w:tblPr>
        <w:tblW w:w="6820" w:type="dxa"/>
        <w:jc w:val="left"/>
        <w:tblInd w:w="0" w:type="dxa"/>
        <w:tblLayout w:type="fixed"/>
        <w:tblCellMar>
          <w:top w:w="0" w:type="dxa"/>
          <w:left w:w="0" w:type="dxa"/>
          <w:bottom w:w="0" w:type="dxa"/>
          <w:right w:w="0" w:type="dxa"/>
        </w:tblCellMar>
      </w:tblPr>
      <w:tblGrid>
        <w:gridCol w:w="75"/>
        <w:gridCol w:w="110"/>
        <w:gridCol w:w="60"/>
        <w:gridCol w:w="6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effect of macroeconomic trends including inflation, tariffs, and interest rates; </w:t>
            </w:r>
          </w:p>
        </w:tc>
      </w:tr>
    </w:tbl>
    <w:p>
      <w:pPr>
        <w:pStyle w:val="TextBody"/>
        <w:bidi w:val="0"/>
        <w:spacing w:before="0" w:after="0"/>
        <w:jc w:val="left"/>
        <w:rPr/>
      </w:pPr>
      <w:r>
        <w:rPr/>
        <w:t> </w:t>
      </w:r>
    </w:p>
    <w:tbl>
      <w:tblPr>
        <w:tblW w:w="5350" w:type="dxa"/>
        <w:jc w:val="left"/>
        <w:tblInd w:w="0" w:type="dxa"/>
        <w:tblLayout w:type="fixed"/>
        <w:tblCellMar>
          <w:top w:w="0" w:type="dxa"/>
          <w:left w:w="0" w:type="dxa"/>
          <w:bottom w:w="0" w:type="dxa"/>
          <w:right w:w="0" w:type="dxa"/>
        </w:tblCellMar>
      </w:tblPr>
      <w:tblGrid>
        <w:gridCol w:w="75"/>
        <w:gridCol w:w="110"/>
        <w:gridCol w:w="60"/>
        <w:gridCol w:w="51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addressing any potential supply chain interruptions or delays; </w:t>
            </w:r>
          </w:p>
        </w:tc>
      </w:tr>
    </w:tbl>
    <w:p>
      <w:pPr>
        <w:pStyle w:val="TextBody"/>
        <w:bidi w:val="0"/>
        <w:spacing w:before="0" w:after="0"/>
        <w:jc w:val="left"/>
        <w:rPr/>
      </w:pPr>
      <w:r>
        <w:rPr/>
        <w:t> </w:t>
      </w:r>
    </w:p>
    <w:tbl>
      <w:tblPr>
        <w:tblW w:w="5905" w:type="dxa"/>
        <w:jc w:val="left"/>
        <w:tblInd w:w="0" w:type="dxa"/>
        <w:tblLayout w:type="fixed"/>
        <w:tblCellMar>
          <w:top w:w="0" w:type="dxa"/>
          <w:left w:w="0" w:type="dxa"/>
          <w:bottom w:w="0" w:type="dxa"/>
          <w:right w:w="0" w:type="dxa"/>
        </w:tblCellMar>
      </w:tblPr>
      <w:tblGrid>
        <w:gridCol w:w="75"/>
        <w:gridCol w:w="110"/>
        <w:gridCol w:w="60"/>
        <w:gridCol w:w="5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effect of competing technological and market developments; and </w:t>
            </w:r>
          </w:p>
        </w:tc>
      </w:tr>
    </w:tbl>
    <w:p>
      <w:pPr>
        <w:pStyle w:val="TextBody"/>
        <w:bidi w:val="0"/>
        <w:spacing w:before="0" w:after="0"/>
        <w:jc w:val="left"/>
        <w:rPr/>
      </w:pPr>
      <w:r>
        <w:rPr/>
        <w:t> </w:t>
      </w:r>
    </w:p>
    <w:tbl>
      <w:tblPr>
        <w:tblW w:w="6820" w:type="dxa"/>
        <w:jc w:val="left"/>
        <w:tblInd w:w="0" w:type="dxa"/>
        <w:tblLayout w:type="fixed"/>
        <w:tblCellMar>
          <w:top w:w="0" w:type="dxa"/>
          <w:left w:w="0" w:type="dxa"/>
          <w:bottom w:w="0" w:type="dxa"/>
          <w:right w:w="0" w:type="dxa"/>
        </w:tblCellMar>
      </w:tblPr>
      <w:tblGrid>
        <w:gridCol w:w="75"/>
        <w:gridCol w:w="110"/>
        <w:gridCol w:w="60"/>
        <w:gridCol w:w="6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we acquire or invest in business, products, and technologies.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Because of the numerous risks and uncertainties associated with research and development of product candidates, we are unable to predict the timing or amount of our working capital requirements. In addition, if we obtain regulatory approval for our product candidate, we expect to incur significant commercialization expenses related to product manufacturing, marketing, sales, and distribution which make it difficult to predict when or if we will be able to achieve or maintain profitability. Furthermore, we expect to incur additional costs associated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operating as a public company. Accordingly, we will need to obtain substantial additional funding in order to support our continuing operations. Our ability to raise additional funds will depend on financial, economic, political, and market conditions and other factors, over which we may have no or limited control. Additional funds may not be available when we need them, on terms that are acceptable to us, or at all. If we fail to obtain necessary capital when needed on acceptable terms, or at all, it could force us to delay, limit, reduce, or terminate our product development programs, future commercialization efforts, or other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Raising additional capital may cause dilution to our stockholders, restrict our operations, or require us to relinquish rights to our product candidate. </w:t>
      </w:r>
    </w:p>
    <w:p>
      <w:pPr>
        <w:pStyle w:val="TextBody"/>
        <w:bidi w:val="0"/>
        <w:spacing w:before="120" w:after="0"/>
        <w:jc w:val="left"/>
        <w:rPr>
          <w:rFonts w:ascii="Times New Roman" w:hAnsi="Times New Roman"/>
          <w:sz w:val="20"/>
        </w:rPr>
      </w:pPr>
      <w:r>
        <w:rPr>
          <w:rFonts w:ascii="Times New Roman" w:hAnsi="Times New Roman"/>
          <w:sz w:val="20"/>
        </w:rPr>
        <w:t xml:space="preserve">Until such time, if ever, as we can generate substantial product revenue, we expect to finance our operations with our existing cash, cash equivalents, and marketable securities, the net proceeds from the Mergers and the PIPE Financing, any future equity or debt financings, and upfront and milestone and royalties payments, if any, received under any future licenses or collaborations. If we raise additional capital through the sale of equity or convertible debt securities, or issue any equity or convertible debt securities in connection with a collaboration agreement or other contractual arrangement, your ownership interest will be diluted, and the terms of these securities may include liquidation or other preferences that adversely affect your rights as a holder of our common stock. In addition, the possibility of such issuance may cause the market price of our common stock to decline. Debt financing, if available, may result in increased fixed payment obligations and involve agreements that include covenants limiting or restricting our ability to take specific actions, such as incurring additional debt, making capital expenditures, declaring dividends, or acquiring, selling, or licensing intellectual property rights or assets, which could adversely impact our ability to conduct our business. If we raise additional funds through collaborations, strategic alliances, or marketing, distribution, or licensing arrangements with third parties, we may have to relinquish valuable rights to our intellectual property, technologies, future revenue streams, or product candidates or grant licenses on terms that may not be favorable to us. We could also be required to seek funds through arrangements with collaborators or others at an earlier stage than otherwise would be desirable. Any of these occurrences may have a material adverse effect on our business, operating results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We maintain the majority of our cash and cash equivalents in accounts with major U.S. and multi-national financial institutions, and our deposits at certain of these institutions exceed insured limits. Market conditions and changes in financial regulations and policies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 In addition, changes in regulations governing financial institutions are beyond our control and difficult to predict; consequently, the impact of such changes on our business and results of operations is difficult to predict and may have an adverse effect on us.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Business Operations and Industry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business is highly dependent on the success of our product candidate, amsoki-cel. If we are unable to successfully complete clinical development, obtain regulatory approval for or commercialize our product candidate, or if we experience delays in doing so, our business will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To date, as an organization, we have not completed the development of any product candidates and our current product candidate remains in clinical development. Our future success and ability to generate revenue from our product candidate is dependent on our ability to successfully develop, obtain regulatory approval for, and commercialize our product candidate or any future product candidate. Our product candidate and any future product candidates will require substantial additional investment for clinical development, regulatory review, and approval in one or more jurisdictions. If our product candidate or any future product candidates encounter safety or efficacy problems, development delays or regulatory issues or other problems, our development plans and business would be materially harmed.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not have the financial resources to continue development of our product candidate if we experience any issues that delay or prevent regulatory approval of, or our ability to commercialize, our product candidate,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demonstrate to the satisfaction of the FDA, EMA, or other comparable regulatory authorities that our product candidate is safe and effective for one or more intended uses; </w:t>
            </w:r>
          </w:p>
        </w:tc>
      </w:tr>
    </w:tbl>
    <w:p>
      <w:pPr>
        <w:pStyle w:val="TextBody"/>
        <w:bidi w:val="0"/>
        <w:spacing w:before="0" w:after="0"/>
        <w:jc w:val="left"/>
        <w:rPr/>
      </w:pPr>
      <w:r>
        <w:rPr/>
        <w:t> </w:t>
      </w:r>
    </w:p>
    <w:tbl>
      <w:tblPr>
        <w:tblW w:w="9595" w:type="dxa"/>
        <w:jc w:val="left"/>
        <w:tblInd w:w="0" w:type="dxa"/>
        <w:tblLayout w:type="fixed"/>
        <w:tblCellMar>
          <w:top w:w="0" w:type="dxa"/>
          <w:left w:w="0" w:type="dxa"/>
          <w:bottom w:w="0" w:type="dxa"/>
          <w:right w:w="0" w:type="dxa"/>
        </w:tblCellMar>
      </w:tblPr>
      <w:tblGrid>
        <w:gridCol w:w="75"/>
        <w:gridCol w:w="110"/>
        <w:gridCol w:w="60"/>
        <w:gridCol w:w="93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sufficiency of our financial and other resources to complete the necessary clinical trials and preclinical studies;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negative or inconclusive results from our clinical trials, preclinical studies, or the clinical trials of others for product candidates similar to ours, leading to a decision or requirement to conduct additional clinical trials or preclinical studies or abandon a program;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product-related adverse events experienced by subjects in our clinical trials, including unexpected toxicity results, or by individuals using drugs or therapeutic biologics similar to our product candidate;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submitting an Investigational New Drug application, or IND, or other regulatory submission to the FDA, EMA, or other comparable regulatory authorities, or delays or failure in obtaining the necessary approvals from regulators to commence a clinical trial or a suspension, termination, or hold, of a clinical trial once commenced, including any delays caused by prolonged government shutdowns, inadequate funding, loss of employees, changes in regulations, leadership, or policies by a new administration or other disruptions of regulatory authorities;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conditions imposed by the FDA, the EMA, or other comparable regulatory authorities regarding the scope or design of our clinical trials; </w:t>
            </w:r>
          </w:p>
        </w:tc>
      </w:tr>
    </w:tbl>
    <w:p>
      <w:pPr>
        <w:pStyle w:val="TextBody"/>
        <w:bidi w:val="0"/>
        <w:spacing w:before="0" w:after="0"/>
        <w:jc w:val="left"/>
        <w:rPr/>
      </w:pPr>
      <w:r>
        <w:rPr/>
        <w:t> </w:t>
      </w:r>
    </w:p>
    <w:tbl>
      <w:tblPr>
        <w:tblW w:w="5590" w:type="dxa"/>
        <w:jc w:val="left"/>
        <w:tblInd w:w="0" w:type="dxa"/>
        <w:tblLayout w:type="fixed"/>
        <w:tblCellMar>
          <w:top w:w="0" w:type="dxa"/>
          <w:left w:w="0" w:type="dxa"/>
          <w:bottom w:w="0" w:type="dxa"/>
          <w:right w:w="0" w:type="dxa"/>
        </w:tblCellMar>
      </w:tblPr>
      <w:tblGrid>
        <w:gridCol w:w="75"/>
        <w:gridCol w:w="110"/>
        <w:gridCol w:w="60"/>
        <w:gridCol w:w="5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poor effectiveness of our product candidate during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better than expected performance of control arms, such as placebo groups, which could lead to negative or inconclusive results from our clinical trials; </w:t>
            </w:r>
          </w:p>
        </w:tc>
      </w:tr>
    </w:tbl>
    <w:p>
      <w:pPr>
        <w:pStyle w:val="TextBody"/>
        <w:bidi w:val="0"/>
        <w:spacing w:before="0" w:after="0"/>
        <w:jc w:val="left"/>
        <w:rPr/>
      </w:pPr>
      <w:r>
        <w:rPr/>
        <w:t> </w:t>
      </w:r>
    </w:p>
    <w:tbl>
      <w:tblPr>
        <w:tblW w:w="5305" w:type="dxa"/>
        <w:jc w:val="left"/>
        <w:tblInd w:w="0" w:type="dxa"/>
        <w:tblLayout w:type="fixed"/>
        <w:tblCellMar>
          <w:top w:w="0" w:type="dxa"/>
          <w:left w:w="0" w:type="dxa"/>
          <w:bottom w:w="0" w:type="dxa"/>
          <w:right w:w="0" w:type="dxa"/>
        </w:tblCellMar>
      </w:tblPr>
      <w:tblGrid>
        <w:gridCol w:w="75"/>
        <w:gridCol w:w="110"/>
        <w:gridCol w:w="60"/>
        <w:gridCol w:w="50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recruiting or enrolling subjects in our clinical trials; </w:t>
            </w:r>
          </w:p>
        </w:tc>
      </w:tr>
    </w:tbl>
    <w:p>
      <w:pPr>
        <w:pStyle w:val="TextBody"/>
        <w:bidi w:val="0"/>
        <w:spacing w:before="0" w:after="0"/>
        <w:jc w:val="left"/>
        <w:rPr/>
      </w:pPr>
      <w:r>
        <w:rPr/>
        <w:t> </w:t>
      </w:r>
    </w:p>
    <w:tbl>
      <w:tblPr>
        <w:tblW w:w="4690" w:type="dxa"/>
        <w:jc w:val="left"/>
        <w:tblInd w:w="0" w:type="dxa"/>
        <w:tblLayout w:type="fixed"/>
        <w:tblCellMar>
          <w:top w:w="0" w:type="dxa"/>
          <w:left w:w="0" w:type="dxa"/>
          <w:bottom w:w="0" w:type="dxa"/>
          <w:right w:w="0" w:type="dxa"/>
        </w:tblCellMar>
      </w:tblPr>
      <w:tblGrid>
        <w:gridCol w:w="75"/>
        <w:gridCol w:w="110"/>
        <w:gridCol w:w="60"/>
        <w:gridCol w:w="4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high drop-out rates of subjects from our clinical trials; </w:t>
            </w:r>
          </w:p>
        </w:tc>
      </w:tr>
    </w:tbl>
    <w:p>
      <w:pPr>
        <w:pStyle w:val="TextBody"/>
        <w:bidi w:val="0"/>
        <w:spacing w:before="0" w:after="0"/>
        <w:jc w:val="left"/>
        <w:rPr/>
      </w:pPr>
      <w:r>
        <w:rPr/>
        <w:t> </w:t>
      </w:r>
    </w:p>
    <w:tbl>
      <w:tblPr>
        <w:tblW w:w="9955" w:type="dxa"/>
        <w:jc w:val="left"/>
        <w:tblInd w:w="0" w:type="dxa"/>
        <w:tblLayout w:type="fixed"/>
        <w:tblCellMar>
          <w:top w:w="0" w:type="dxa"/>
          <w:left w:w="0" w:type="dxa"/>
          <w:bottom w:w="0" w:type="dxa"/>
          <w:right w:w="0" w:type="dxa"/>
        </w:tblCellMar>
      </w:tblPr>
      <w:tblGrid>
        <w:gridCol w:w="75"/>
        <w:gridCol w:w="110"/>
        <w:gridCol w:w="60"/>
        <w:gridCol w:w="97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inadequate supply or quality of our product candidate or other materials necessary for the conduct of our clinical trials; </w:t>
            </w:r>
          </w:p>
        </w:tc>
      </w:tr>
    </w:tbl>
    <w:p>
      <w:pPr>
        <w:pStyle w:val="TextBody"/>
        <w:bidi w:val="0"/>
        <w:spacing w:before="0" w:after="0"/>
        <w:jc w:val="left"/>
        <w:rPr/>
      </w:pPr>
      <w:r>
        <w:rPr/>
        <w:t> </w:t>
      </w:r>
    </w:p>
    <w:tbl>
      <w:tblPr>
        <w:tblW w:w="5200" w:type="dxa"/>
        <w:jc w:val="left"/>
        <w:tblInd w:w="0" w:type="dxa"/>
        <w:tblLayout w:type="fixed"/>
        <w:tblCellMar>
          <w:top w:w="0" w:type="dxa"/>
          <w:left w:w="0" w:type="dxa"/>
          <w:bottom w:w="0" w:type="dxa"/>
          <w:right w:w="0" w:type="dxa"/>
        </w:tblCellMar>
      </w:tblPr>
      <w:tblGrid>
        <w:gridCol w:w="75"/>
        <w:gridCol w:w="110"/>
        <w:gridCol w:w="60"/>
        <w:gridCol w:w="49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higher than anticipated clinical trial or manufacturing costs; </w:t>
            </w:r>
          </w:p>
        </w:tc>
      </w:tr>
    </w:tbl>
    <w:p>
      <w:pPr>
        <w:pStyle w:val="TextBody"/>
        <w:bidi w:val="0"/>
        <w:spacing w:before="0" w:after="0"/>
        <w:jc w:val="left"/>
        <w:rPr/>
      </w:pPr>
      <w:r>
        <w:rPr/>
        <w:t> </w:t>
      </w:r>
    </w:p>
    <w:tbl>
      <w:tblPr>
        <w:tblW w:w="9565" w:type="dxa"/>
        <w:jc w:val="left"/>
        <w:tblInd w:w="0" w:type="dxa"/>
        <w:tblLayout w:type="fixed"/>
        <w:tblCellMar>
          <w:top w:w="0" w:type="dxa"/>
          <w:left w:w="0" w:type="dxa"/>
          <w:bottom w:w="0" w:type="dxa"/>
          <w:right w:w="0" w:type="dxa"/>
        </w:tblCellMar>
      </w:tblPr>
      <w:tblGrid>
        <w:gridCol w:w="75"/>
        <w:gridCol w:w="110"/>
        <w:gridCol w:w="60"/>
        <w:gridCol w:w="93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unfavorable FDA, EMA, or other comparable regulatory authority inspections and review of our clinical trial sites;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of our third-party contractors or investigators to comply with regulatory requirements or the clinical trial protocol or otherwise to meet their contractual obligations in a timely manner, or at all;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and changes in regulatory requirements, policies, leadership, and guidelines, including the imposition of additional regulatory oversight around clinical testing generally or with respect to our investigational therapies in particular; or </w:t>
            </w:r>
          </w:p>
        </w:tc>
      </w:tr>
    </w:tbl>
    <w:p>
      <w:pPr>
        <w:pStyle w:val="TextBody"/>
        <w:bidi w:val="0"/>
        <w:spacing w:before="0" w:after="0"/>
        <w:jc w:val="left"/>
        <w:rPr/>
      </w:pPr>
      <w:r>
        <w:rPr/>
        <w:t> </w:t>
      </w:r>
    </w:p>
    <w:tbl>
      <w:tblPr>
        <w:tblW w:w="7975" w:type="dxa"/>
        <w:jc w:val="left"/>
        <w:tblInd w:w="0" w:type="dxa"/>
        <w:tblLayout w:type="fixed"/>
        <w:tblCellMar>
          <w:top w:w="0" w:type="dxa"/>
          <w:left w:w="0" w:type="dxa"/>
          <w:bottom w:w="0" w:type="dxa"/>
          <w:right w:w="0" w:type="dxa"/>
        </w:tblCellMar>
      </w:tblPr>
      <w:tblGrid>
        <w:gridCol w:w="75"/>
        <w:gridCol w:w="110"/>
        <w:gridCol w:w="60"/>
        <w:gridCol w:w="77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varying interpretations of data by the FDA, EMA, and other comparable regulatory authorities.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We face significant competition from other biotechnology and pharmaceutical companies, and our operating results will suffer if we fail to compete effectively. </w:t>
      </w:r>
    </w:p>
    <w:p>
      <w:pPr>
        <w:pStyle w:val="TextBody"/>
        <w:bidi w:val="0"/>
        <w:spacing w:before="120" w:after="0"/>
        <w:jc w:val="left"/>
        <w:rPr>
          <w:rFonts w:ascii="Times New Roman" w:hAnsi="Times New Roman"/>
          <w:sz w:val="20"/>
        </w:rPr>
      </w:pPr>
      <w:r>
        <w:rPr>
          <w:rFonts w:ascii="Times New Roman" w:hAnsi="Times New Roman"/>
          <w:sz w:val="20"/>
        </w:rPr>
        <w:t xml:space="preserve">The biotechnology industry is intensely competitive and subject to rapid and significant technological change. Our current or future product candidates may face competition from major pharmaceutical companies, specialty pharmaceutical companies, universities, and other research institutions and from products and therapies that currently exist or are being developed, some of which products and therapies we may not currently know about.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Many of our competitors have significantly greater financial, manufacturing, marketing, product development, technical, and human resources than we do. Large pharmaceutical companies, in particular, have extensive experience in clinical testing, obtaining marketing approvals, recruiting patients, and manufacturing pharmaceutical products, and they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cell therapies or to in-license novel cell therapies that could make the product candidates that we develop obsolete. Mergers and acquisitions in the pharmaceutical and biotechnology industries may result in even more resources being concentrated among a smaller number of our competitors. As a result of all of these factors, our competitors may succeed in obtaining patent protection and/or FDA or other regulatory approval or discovering, developing, and commercializing products in our field before we do, which could result in our competitors establishing a strong market position before we are able to enter the market. </w:t>
      </w:r>
    </w:p>
    <w:p>
      <w:pPr>
        <w:pStyle w:val="TextBody"/>
        <w:bidi w:val="0"/>
        <w:spacing w:before="240" w:after="0"/>
        <w:jc w:val="left"/>
        <w:rPr>
          <w:rFonts w:ascii="Times New Roman" w:hAnsi="Times New Roman"/>
          <w:sz w:val="20"/>
        </w:rPr>
      </w:pPr>
      <w:r>
        <w:rPr>
          <w:rFonts w:ascii="Times New Roman" w:hAnsi="Times New Roman"/>
          <w:sz w:val="20"/>
        </w:rPr>
        <w:t xml:space="preserve">Our competitors may obtain FDA or other regulatory approval of their product candidates more rapidly than we may or may obtain patent protection or other intellectual property rights that limit our ability to develop or commercialize our product candidates or platform technologies. Our competitors may also develop cell therapies or other platform technologies that are more effective, more convenient, more widely used, or less costly than our product candidate or, in the case of drugs, have a better safety profile than our product candidate. These competitors may also be more successful than us in manufacturing and marketing their products and have significantly greater financial resources and expertise in research and development. </w:t>
      </w:r>
    </w:p>
    <w:p>
      <w:pPr>
        <w:pStyle w:val="TextBody"/>
        <w:bidi w:val="0"/>
        <w:spacing w:before="240" w:after="0"/>
        <w:jc w:val="left"/>
        <w:rPr>
          <w:rFonts w:ascii="Times New Roman" w:hAnsi="Times New Roman"/>
          <w:sz w:val="20"/>
        </w:rPr>
      </w:pPr>
      <w:r>
        <w:rPr>
          <w:rFonts w:ascii="Times New Roman" w:hAnsi="Times New Roman"/>
          <w:sz w:val="20"/>
        </w:rPr>
        <w:t xml:space="preserve">There are a large number of companies developing or marketing treatments for cancer, including many major pharmaceutical and biotechnology companies. We may compete with other cell therapy or immunotherapy companies such as Iovance Biotherapeutics Inc., Replimune Group Inc., AbelZeta Inc., Biosyngen Pte Ltd, GRIT Biotechnology Co., Ltd., Shanghai Juncell Therapeutics Co., Ltd., Immatics N.V., Immunocore Holdings plc, Intima Bioscience, Inc., KSQ Therapeutics, Inc., Marker Therapeutics, Inc., TILT Biotherapeutics Ltd, and others. In addition, numerous compounds are in clinical development for cancer treatment. Many of these companies are well-capitalized and have significant clinical experience. </w:t>
      </w:r>
    </w:p>
    <w:p>
      <w:pPr>
        <w:pStyle w:val="TextBody"/>
        <w:bidi w:val="0"/>
        <w:spacing w:before="240" w:after="0"/>
        <w:jc w:val="left"/>
        <w:rPr>
          <w:rFonts w:ascii="Times New Roman" w:hAnsi="Times New Roman"/>
          <w:sz w:val="20"/>
        </w:rPr>
      </w:pPr>
      <w:r>
        <w:rPr>
          <w:rFonts w:ascii="Times New Roman" w:hAnsi="Times New Roman"/>
          <w:sz w:val="20"/>
        </w:rPr>
        <w:t xml:space="preserve">Smaller and other early-stage companies may also prove to be significant competitors. These third parties compete with us in recruiting and retaining qualified scientific and management personnel, establishing clinical trial sites and patient registration for clinical trials, as well as in acquiring technologies complementary to, or necessary for, our current and any future product candidates. In addition, the biopharmaceutical industry is characterized by rapid technological change. If we fail to stay at the forefront of technological change, we may be unable to compete effectively. Technological advances or products developed by our competitors may render our product candidates obsolete, less competitive, or not economical. </w:t>
      </w:r>
    </w:p>
    <w:p>
      <w:pPr>
        <w:pStyle w:val="TextBody"/>
        <w:bidi w:val="0"/>
        <w:spacing w:before="240" w:after="0"/>
        <w:jc w:val="left"/>
        <w:rPr>
          <w:rFonts w:ascii="Times New Roman" w:hAnsi="Times New Roman"/>
          <w:sz w:val="20"/>
        </w:rPr>
      </w:pPr>
      <w:r>
        <w:rPr>
          <w:rFonts w:ascii="Times New Roman" w:hAnsi="Times New Roman"/>
          <w:sz w:val="20"/>
        </w:rPr>
        <w:t xml:space="preserve">Universities and public and private research institutions in the United States and Europe are also potential competitors. For example, a Phase 3 M14TIL clinical trial compared TIL to standard ipilimumab in patients with metastatic melanoma was conducted in Europe by the Netherlands Cancer Institute, the Copenhagen County Herlev University Hospital, and the University of Manchester. Results from the M14TIL clinical trial were presented at the European Society for Medical Oncology Congress in September 2022 and were subsequently published. In patients with advance melanoma, progression-free survival was significantly longer among those who received TIL cell therapy than among those who received ipilimumab. While these universities and public and private research institutions primarily have educational objectives, they may develop proprietary technologies that lead to other FDA approved therapies or that secure patent protection that we may need for the development of our technologies and products. </w:t>
      </w:r>
    </w:p>
    <w:p>
      <w:pPr>
        <w:pStyle w:val="TextBody"/>
        <w:bidi w:val="0"/>
        <w:spacing w:before="240" w:after="0"/>
        <w:jc w:val="left"/>
        <w:rPr>
          <w:rFonts w:ascii="Times New Roman" w:hAnsi="Times New Roman"/>
          <w:sz w:val="20"/>
        </w:rPr>
      </w:pPr>
      <w:r>
        <w:rPr>
          <w:rFonts w:ascii="Times New Roman" w:hAnsi="Times New Roman"/>
          <w:sz w:val="20"/>
        </w:rPr>
        <w:t xml:space="preserve">Our commercial opportunities could be reduced or eliminated if our competitors develop and commercialize products that are safer, more effective, have fewer or less severe side effects, are more convenient, have a broader label, are marketed more effectively, are reimbursed, or are less expensive than any products that we may develop. Even if our product candidates achieve marketing approval, they may be priced at a significant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premium over competitive products if any, which have been approved by then, resulting in reduced competitiveness. If we do not compete successfully, we may not generate or derive sufficient revenue from any product candidate for which we obtain marketing approval and may not become and remain profitable.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Due to the significant resources required for the development of our pipeline, and depending on our ability to access capital, we must prioritize the development of certain product candidates over others. Moreover, we may fail to expend our limited resources on product candidates or indications that may be more profitable or for which there is a greater likelihood of success. </w:t>
      </w:r>
    </w:p>
    <w:p>
      <w:pPr>
        <w:pStyle w:val="TextBody"/>
        <w:bidi w:val="0"/>
        <w:spacing w:before="120" w:after="0"/>
        <w:jc w:val="left"/>
        <w:rPr>
          <w:rFonts w:ascii="Times New Roman" w:hAnsi="Times New Roman"/>
          <w:sz w:val="20"/>
        </w:rPr>
      </w:pPr>
      <w:r>
        <w:rPr>
          <w:rFonts w:ascii="Times New Roman" w:hAnsi="Times New Roman"/>
          <w:sz w:val="20"/>
        </w:rPr>
        <w:t xml:space="preserve">Our lead product candidate, amsoki-cel, is currently in Phase 2 clinical development for the treatment of advanced melanoma and is currently in Phase 1 clinical development for the treatment of non-small cell lung cancer, or NSCLC, and our other product candidates and programs are at various stages of preclinical development. We seek to develop engineered TIL cell therapies for the treatment of patients with solid tumors. </w:t>
      </w:r>
    </w:p>
    <w:p>
      <w:pPr>
        <w:pStyle w:val="TextBody"/>
        <w:bidi w:val="0"/>
        <w:spacing w:before="240" w:after="0"/>
        <w:jc w:val="left"/>
        <w:rPr>
          <w:rFonts w:ascii="Times New Roman" w:hAnsi="Times New Roman"/>
          <w:sz w:val="20"/>
        </w:rPr>
      </w:pPr>
      <w:r>
        <w:rPr>
          <w:rFonts w:ascii="Times New Roman" w:hAnsi="Times New Roman"/>
          <w:sz w:val="20"/>
        </w:rPr>
        <w:t xml:space="preserve">Due to the significant resources required for the development of amsoki-cel, we must decide which product candidates and indications to pursue and advance and the amount of resources to allocate to each. Our decisions concerning the allocation of research, development, collaboration, management, and financial resources toward particular product candidates, therapeutic areas, or indications may not lead to the development of viable commercial products and may divert resources away from better opportunities. Similarly, our decisions to delay, terminate, or collaborate with third parties in respect of certain product development programs may also prove not to be optimal and could cause us to miss valuable opportunities. If we make incorrect determinations regarding the viability or market potential of our current or future product candidates or misread trends in the pharmaceutical industry, our business, financial condition, and results of operations could be materially and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royalty arrangements in cases in which it would have been advantageous for us to invest additional resources to retain sole development and commercialization rights.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seek to grow our business through acquisitions or investments in new or complementary businesses, products, or technologies, through the licensing of products or technologies from third parties or other strategic alliances. The failure to manage acquisitions, investments, licenses, or other strategic alliances, or the failure to integrate them with our existing business, could have a material adverse effect on our operating results, dilute our stockholders’ ownership, increase our debt, or cause us to incur significant expense. </w:t>
      </w:r>
    </w:p>
    <w:p>
      <w:pPr>
        <w:pStyle w:val="TextBody"/>
        <w:bidi w:val="0"/>
        <w:spacing w:before="120" w:after="0"/>
        <w:jc w:val="left"/>
        <w:rPr>
          <w:rFonts w:ascii="Times New Roman" w:hAnsi="Times New Roman"/>
          <w:sz w:val="20"/>
        </w:rPr>
      </w:pPr>
      <w:r>
        <w:rPr>
          <w:rFonts w:ascii="Times New Roman" w:hAnsi="Times New Roman"/>
          <w:sz w:val="20"/>
        </w:rPr>
        <w:t xml:space="preserve">Our success depends on our ability to continually enhance and broaden our product offerings in response to changing clinician and patients’ needs, competitive technologies, and market pressures. Accordingly, from time to time we may consider opportunities to acquire, make investments in, or license other technologies, products, and businesses that may enhance our capabilities, complement our existing products and technologies, or expand the breadth of our markets or customer base. Potential and completed acquisitions, strategic investments, licenses, and other alliances involve numerous risks, including difficulty integrating acquired or licensed technologies, products, employees, or business operations, unanticipated costs associated with acquisitions or strategic alliances, and diversion of management’s attention from our core business and disruption of ongoing operations. </w:t>
      </w:r>
    </w:p>
    <w:p>
      <w:pPr>
        <w:pStyle w:val="TextBody"/>
        <w:bidi w:val="0"/>
        <w:spacing w:before="240" w:after="0"/>
        <w:jc w:val="left"/>
        <w:rPr>
          <w:rFonts w:ascii="Times New Roman" w:hAnsi="Times New Roman"/>
          <w:sz w:val="20"/>
        </w:rPr>
      </w:pPr>
      <w:r>
        <w:rPr>
          <w:rFonts w:ascii="Times New Roman" w:hAnsi="Times New Roman"/>
          <w:sz w:val="20"/>
        </w:rPr>
        <w:t xml:space="preserve">We do not know if we will be able to identify acquisitions or strategic relationships we deem suitable, whether we will be able to successfully complete any such transactions on favorable terms, if at all. Our ability to successfully grow through strategic transactions depends upon our ability to identify, negotiate, complete, and integrate suitable target businesses, technologies, or products and to obtain any necessary financing. These efforts could be expensive and time-consuming and may disrupt our ongoing business and prevent management from focusing on our operations. To finance any acquisitions, investments, or strategic alliances, we may choose to issue shares of our common stock as consideration, which could dilute the ownership of our stockholders. Additional funds may not be available on terms that are favorable to us, or at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employees, independent contractors, consultants, including CDMOs and CROs, and vendors may engage in misconduct or other improper activities, including noncompliance with regulatory standards and requirements. </w:t>
      </w:r>
    </w:p>
    <w:p>
      <w:pPr>
        <w:pStyle w:val="TextBody"/>
        <w:bidi w:val="0"/>
        <w:spacing w:before="120" w:after="0"/>
        <w:jc w:val="left"/>
        <w:rPr>
          <w:rFonts w:ascii="Times New Roman" w:hAnsi="Times New Roman"/>
          <w:sz w:val="20"/>
        </w:rPr>
      </w:pPr>
      <w:r>
        <w:rPr>
          <w:rFonts w:ascii="Times New Roman" w:hAnsi="Times New Roman"/>
          <w:sz w:val="20"/>
        </w:rPr>
        <w:t xml:space="preserve">We are exposed to the risk of employee fraud or other illegal activity by our current and any future employees, independent contractors, consultants, CDMOs, and vendors including but not limited to contract research organizations, or CROs. Misconduct by these parties could include intentional, unintentional, reckless, and/or negligent conduct that fails to comply with FDA or other comparable regulations, provide true, complete and accurate information to the FDA and other comparable regulatory authorities, comply with manufacturing standards we may establish, comply with healthcare fraud and abuse laws and regulations, report financial information or data accurately, or disclose unauthorized activities to us. If we obtain FDA approval of our product candidate or any future product candidates and begin commercializing those products in the United States, our potential exposure under these laws will increase significantly, and our costs associated with compliance with these laws are likely to increase. Employee misconduct could also involve the improper use of information obtained in the course of clinical trials, which could result in regulatory sanctions and serious harm to our reputation. Additionally, we are subject to the risk that a person could allege such fraud or other misconduct, even if none occurred.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If any such actions are instituted against us, and we are not successful in defending ourselves or asserting our rights, those actions could have a material and adverse effect on our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our collaborators, and our service providers are subject to a variety of privacy and data security laws, regulations, and contractual obligations, which may require us to incur substantial compliance costs, and any failure or perceived failure by us to comply with them could expose us to significant fines and other penalties and otherwise harm our business and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legislative and regulatory framework for the collection, use, safeguarding, sharing, transfer, and other processing of personal information worldwide is rapidly evolving and is likely to remain uncertain for the foreseeable future. Globally, numerous jurisdictions, including those in which we operate or collect personal information, have established their own data security and privacy frameworks with which we must comply. In the United States, numerous federal and state laws and regulations, including federal health information privacy laws, state information security and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and service providers. In particular, regulations promulgated pursuant to the Health Insurance Portability and Accountability Act, or HIPAA, establish privacy and security standards that limit the use and disclosure of individually identifiable health information, or protected health information, and impose requirements regarding the privacy and security of individually identifiable health information, including mandatory contractual terms, for covered entities, or certain healthcare providers, health plans and healthcare clearinghouses, and their business associates that provide services to the covered entity that involve individually identifiable health information and their subcontractors that use, disclose or otherwise process individually identifiable health information. While pharmaceutical and biotechnology companies are typically not directly regulated by HIPAA, our business may be indirectly impacted by HIPAA in our interactions with providers, payors, and others that have HIPAA compliance obligations. If we are unable to properly protect the privacy and security of protected health information, we could be found to have violated these privacy and security laws and/or breached certain contracts. Further, if we fail to comply with applicable privacy laws, including applicable HIPAA privacy and security standards, we could face significant civil and criminal penalties. U.S. Department of Health &amp; Human Services, or HHS, enforcement activity can result in financial liability and reputational harm, and responses to such enforcement activity can consume significant internal resources.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At the state level, numerous states have or are in the process of enacting or considering comprehensive data privacy and security laws, rules, and regulations while other states have focused on more narrow aspects of privacy.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would make our compliance obligations more complex and costly and may increase the likelihood that we may be subject to enforcement actions or otherwise incur liability for noncompliance. In the state of Washington, for example, the My Health My Data Act, which has a private right of action that further increases the relevant compliance risk, requires regulated entities to obtain consent to collect health-related information and grants consumers certain rights, including to request deletion of their information. Connecticut and Nevada have also passed similar laws regulating consumer health data. In addition, other states have proposed and/or passed legislation that regulates the privacy and/or security of certain specific types of information. For example, a small number of states, such as Illinois and Texas, have passed laws that regulate biometric data specifically. Although many of the existing state privacy laws exempt clinical trial information and health information governed as “protected health information” by HIPAA, future privacy and data protection laws may be broader in scope. Taken together, these state and federal laws may be subject to varying interpretations by the courts and government agencies and are subject to frequent change. Further, these varying interpretations could create complex compliance issues for us and our partners and potentially expose us to additional expense, liability, penalties, negatively impact our business, and lead to adverse publicity, and all of these risks could adversely affect our business in the short and long term. In addition, contractual obligations and in the future, legislation may limit, forbid or regulate the use or transmission of health information outside of the United States or across other national borders, which could make reliance on non-U.S. resources for work related to such processing personal information impracticable or substantially more expensive. </w:t>
      </w:r>
    </w:p>
    <w:p>
      <w:pPr>
        <w:pStyle w:val="TextBody"/>
        <w:bidi w:val="0"/>
        <w:spacing w:before="240" w:after="0"/>
        <w:jc w:val="left"/>
        <w:rPr>
          <w:rFonts w:ascii="Times New Roman" w:hAnsi="Times New Roman"/>
          <w:sz w:val="20"/>
        </w:rPr>
      </w:pPr>
      <w:r>
        <w:rPr>
          <w:rFonts w:ascii="Times New Roman" w:hAnsi="Times New Roman"/>
          <w:sz w:val="20"/>
        </w:rPr>
        <w:t xml:space="preserve">All of these evolving compliance and operational requirements impose significant costs, such as costs related to organizational changes, implementing additional protection technologies, training employees and engaging consultants and legal advisors, which are likely to increase over time. In addition, such requirements may require us to modify our data processing practices and policies, utilize management’s time and/or divert resources from other initiatives and projects. Any failure or perceived failure by us to comply with any applicable federal, state or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injunctions, penalties or judgments. Any of the foregoing could have a material adverse effect on our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unable to protect the confidentiality of our proprietary information, the value of our technology and products could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patent protection, we also rely on other proprietary rights, including protection of trade secrets and/or confidential know-how, unpatented know-how, and/or other proprietary information. We may rely on other proprietary rights, including protection of trade secrets, confidential know-how, unpatented know-how, and/or other proprietary information to protect our technology, especially where patent protection is believed to be of limited value. However, trade secrets and/or confidential know-how can be difficult to maintain as confidential. </w:t>
      </w:r>
    </w:p>
    <w:p>
      <w:pPr>
        <w:pStyle w:val="TextBody"/>
        <w:bidi w:val="0"/>
        <w:spacing w:before="240" w:after="0"/>
        <w:jc w:val="left"/>
        <w:rPr>
          <w:rFonts w:ascii="Times New Roman" w:hAnsi="Times New Roman"/>
          <w:sz w:val="20"/>
        </w:rPr>
      </w:pPr>
      <w:r>
        <w:rPr>
          <w:rFonts w:ascii="Times New Roman" w:hAnsi="Times New Roman"/>
          <w:sz w:val="20"/>
        </w:rPr>
        <w:t xml:space="preserve">To maintain the confidentiality of this type of information, it is our policy to enter into confidentiality agreements with our employees, consultants, advisors, collaborators, contractors (including CDMOs and CROs) and others upon the commencement of their relationships with us. These agreements require that all confidential information developed by the individual(s) or made known to the individual by us during the course of the individual’s relationship or work with us be kept confidential and not disclosed to third parties. Our agreements with employees and our personnel policies also provide that any inventions conceived by the individual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course of rendering services to us shall be our exclusive property. However, we may not obtain these agreements in all circumstances, and/or individuals with whom we have these agreements may not comply with their terms, intentionally or unintentionally. Thus, despite such agreements, inventions may become assigned to third parties. In the event of unauthorized use or disclosure of our trade secrets or proprietary information, these agreements, even if obtained, may not provide meaningful protection, particularly for our trade secrets or other confidential information. To the extent that our employees, consultants, contractors, or others use technology or know-how owned by third parties in their work for us, disputes may arise between us and those third parties as to the rights in related inventions. To the extent that an individual who is not obligated to assign rights in intellectual property to us or a current or future licensor is rightfully an inventor of intellectual property, we may need to obtain an assignment or a license to that intellectual property from that individual, or a third party, or from that individual’s assignee. Such assignment or license may not be available at all or on commercially reasonable terms. The disclosure of our trade secrets could impair our competitive position and may materially harm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Enforcing a claim that a third party illegally obtained our trade secrets and/or confidential know-how and is using these is expensive, time consuming, and unpredictable. The enforceability of confidentiality agreements and theft of trade secret claims may vary from jurisdiction to jurisdiction. Additionally, if the steps taken to maintain our trade secrets are deemed inadequate, we may have insufficient recourse against third parties for misappropriating the trade secret. As such, adequate remedies may not exist in the event of unauthorized use or disclosure of our proprietary information.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others may independently discover or develop our trade secrets and proprietary information, and the existence of our own trade secrets afford no protection against such independent discovery. Such persons may even apply for patent protection in respect of the same. If successful in obtaining such patent protection, such persons could limit our use of our trade secrets and/or confidential know-how. Under certain circumstances and to guarantee our freedom to operate, we may also decide to publish some know-how to prevent others from obtaining patent rights covering such know-how.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Discovery and Development of Our Current or Future Product Candidates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business is dependent on our ability to advance our current and future product candidates through clinical trials, obtain marketing approval, and if obtained, ultimately commercialize them.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generate product revenues, which we do not expect will occur for several years, if ever, will depend heavily on the successful development and eventual regulatory approval and commercialization of our current product candidate or future product candidates we develop, which may never occur. Our current product candidate and any future product candidates we develop will require significant preclinical or clinical development, management of clinical, preclinical, and manufacturing activities, efforts toward obtaining marketing approval in the United States and other jurisdictions, and if approved, demonstration of effectiveness to pricing and reimbursement authorities, sufficient manufacturing supply for both preclinical and clinical development and, if approved, for commercial production, as well as investments to build a commercial organization, and substantial investment and significant marketing efforts before we generate any revenues from product sales. </w:t>
      </w:r>
    </w:p>
    <w:p>
      <w:pPr>
        <w:pStyle w:val="TextBody"/>
        <w:bidi w:val="0"/>
        <w:spacing w:before="240" w:after="0"/>
        <w:jc w:val="left"/>
        <w:rPr>
          <w:rFonts w:ascii="Times New Roman" w:hAnsi="Times New Roman"/>
          <w:sz w:val="20"/>
        </w:rPr>
      </w:pPr>
      <w:r>
        <w:rPr>
          <w:rFonts w:ascii="Times New Roman" w:hAnsi="Times New Roman"/>
          <w:sz w:val="20"/>
        </w:rPr>
        <w:t xml:space="preserve">The clinical and commercial success of our current and future product candidates will depend on several factors, including the following: </w:t>
      </w:r>
    </w:p>
    <w:p>
      <w:pPr>
        <w:pStyle w:val="TextBody"/>
        <w:bidi w:val="0"/>
        <w:spacing w:before="0" w:after="0"/>
        <w:jc w:val="left"/>
        <w:rPr/>
      </w:pPr>
      <w:r>
        <w:rPr/>
        <w:t> </w:t>
      </w:r>
    </w:p>
    <w:tbl>
      <w:tblPr>
        <w:tblW w:w="6610" w:type="dxa"/>
        <w:jc w:val="left"/>
        <w:tblInd w:w="0" w:type="dxa"/>
        <w:tblLayout w:type="fixed"/>
        <w:tblCellMar>
          <w:top w:w="0" w:type="dxa"/>
          <w:left w:w="0" w:type="dxa"/>
          <w:bottom w:w="0" w:type="dxa"/>
          <w:right w:w="0" w:type="dxa"/>
        </w:tblCellMar>
      </w:tblPr>
      <w:tblGrid>
        <w:gridCol w:w="75"/>
        <w:gridCol w:w="110"/>
        <w:gridCol w:w="60"/>
        <w:gridCol w:w="6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timely and successful completion of our preclinical studies and clinical trials; </w:t>
            </w:r>
          </w:p>
        </w:tc>
      </w:tr>
    </w:tbl>
    <w:p>
      <w:pPr>
        <w:pStyle w:val="TextBody"/>
        <w:bidi w:val="0"/>
        <w:spacing w:before="0" w:after="0"/>
        <w:jc w:val="left"/>
        <w:rPr/>
      </w:pPr>
      <w:r>
        <w:rPr/>
        <w:t> </w:t>
      </w:r>
    </w:p>
    <w:tbl>
      <w:tblPr>
        <w:tblW w:w="9295" w:type="dxa"/>
        <w:jc w:val="left"/>
        <w:tblInd w:w="0" w:type="dxa"/>
        <w:tblLayout w:type="fixed"/>
        <w:tblCellMar>
          <w:top w:w="0" w:type="dxa"/>
          <w:left w:w="0" w:type="dxa"/>
          <w:bottom w:w="0" w:type="dxa"/>
          <w:right w:w="0" w:type="dxa"/>
        </w:tblCellMar>
      </w:tblPr>
      <w:tblGrid>
        <w:gridCol w:w="75"/>
        <w:gridCol w:w="110"/>
        <w:gridCol w:w="60"/>
        <w:gridCol w:w="90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sufficiency of our financial and other resources to complete the necessary preclinical studies and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plans to successfully submit amendments to existing INDs or new INDs with the FDA for our current and future product candidates;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6985" w:type="dxa"/>
        <w:jc w:val="left"/>
        <w:tblInd w:w="0" w:type="dxa"/>
        <w:tblLayout w:type="fixed"/>
        <w:tblCellMar>
          <w:top w:w="0" w:type="dxa"/>
          <w:left w:w="0" w:type="dxa"/>
          <w:bottom w:w="0" w:type="dxa"/>
          <w:right w:w="0" w:type="dxa"/>
        </w:tblCellMar>
      </w:tblPr>
      <w:tblGrid>
        <w:gridCol w:w="75"/>
        <w:gridCol w:w="110"/>
        <w:gridCol w:w="60"/>
        <w:gridCol w:w="67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complete preclinical studies for current or future product candidates; </w:t>
            </w:r>
          </w:p>
        </w:tc>
      </w:tr>
    </w:tbl>
    <w:p>
      <w:pPr>
        <w:pStyle w:val="TextBody"/>
        <w:bidi w:val="0"/>
        <w:spacing w:before="0" w:after="0"/>
        <w:jc w:val="left"/>
        <w:rPr/>
      </w:pPr>
      <w:r>
        <w:rPr/>
        <w:t> </w:t>
      </w:r>
    </w:p>
    <w:tbl>
      <w:tblPr>
        <w:tblW w:w="5950" w:type="dxa"/>
        <w:jc w:val="left"/>
        <w:tblInd w:w="0" w:type="dxa"/>
        <w:tblLayout w:type="fixed"/>
        <w:tblCellMar>
          <w:top w:w="0" w:type="dxa"/>
          <w:left w:w="0" w:type="dxa"/>
          <w:bottom w:w="0" w:type="dxa"/>
          <w:right w:w="0" w:type="dxa"/>
        </w:tblCellMar>
      </w:tblPr>
      <w:tblGrid>
        <w:gridCol w:w="75"/>
        <w:gridCol w:w="110"/>
        <w:gridCol w:w="60"/>
        <w:gridCol w:w="57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successful enrollment of subjects in, and completion of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successful data from our clinical program that supports an acceptable risk-benefit profile of our product candidate in the intended patient populations; </w:t>
            </w:r>
          </w:p>
        </w:tc>
      </w:tr>
    </w:tbl>
    <w:p>
      <w:pPr>
        <w:pStyle w:val="TextBody"/>
        <w:bidi w:val="0"/>
        <w:spacing w:before="0" w:after="0"/>
        <w:jc w:val="left"/>
        <w:rPr/>
      </w:pPr>
      <w:r>
        <w:rPr/>
        <w:t> </w:t>
      </w:r>
    </w:p>
    <w:tbl>
      <w:tblPr>
        <w:tblW w:w="9850" w:type="dxa"/>
        <w:jc w:val="left"/>
        <w:tblInd w:w="0" w:type="dxa"/>
        <w:tblLayout w:type="fixed"/>
        <w:tblCellMar>
          <w:top w:w="0" w:type="dxa"/>
          <w:left w:w="0" w:type="dxa"/>
          <w:bottom w:w="0" w:type="dxa"/>
          <w:right w:w="0" w:type="dxa"/>
        </w:tblCellMar>
      </w:tblPr>
      <w:tblGrid>
        <w:gridCol w:w="75"/>
        <w:gridCol w:w="110"/>
        <w:gridCol w:w="60"/>
        <w:gridCol w:w="96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establish and maintain agreements with third-party manufacturers on a timely and cost-efficient manner;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we are required by the FDA or comparable foreign regulatory authorities to conduct additional clinical trials or other studies beyond those planned or anticipated to support approval of our lead product candidate, amsoki-cel;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acceptance of our proposed indications and the primary endpoint assessments evaluated in the clinical trials of our product candidate by the FDA and comparable foreign regulatory authorities; </w:t>
            </w:r>
          </w:p>
        </w:tc>
      </w:tr>
    </w:tbl>
    <w:p>
      <w:pPr>
        <w:pStyle w:val="TextBody"/>
        <w:bidi w:val="0"/>
        <w:spacing w:before="0" w:after="0"/>
        <w:jc w:val="left"/>
        <w:rPr/>
      </w:pPr>
      <w:r>
        <w:rPr/>
        <w:t> </w:t>
      </w:r>
    </w:p>
    <w:tbl>
      <w:tblPr>
        <w:tblW w:w="7975" w:type="dxa"/>
        <w:jc w:val="left"/>
        <w:tblInd w:w="0" w:type="dxa"/>
        <w:tblLayout w:type="fixed"/>
        <w:tblCellMar>
          <w:top w:w="0" w:type="dxa"/>
          <w:left w:w="0" w:type="dxa"/>
          <w:bottom w:w="0" w:type="dxa"/>
          <w:right w:w="0" w:type="dxa"/>
        </w:tblCellMar>
      </w:tblPr>
      <w:tblGrid>
        <w:gridCol w:w="75"/>
        <w:gridCol w:w="110"/>
        <w:gridCol w:w="60"/>
        <w:gridCol w:w="77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timely receipt and maintenance of marketing approvals from applicable regulatory authorities; </w:t>
            </w:r>
          </w:p>
        </w:tc>
      </w:tr>
    </w:tbl>
    <w:p>
      <w:pPr>
        <w:pStyle w:val="TextBody"/>
        <w:bidi w:val="0"/>
        <w:spacing w:before="0" w:after="0"/>
        <w:jc w:val="left"/>
        <w:rPr/>
      </w:pPr>
      <w:r>
        <w:rPr/>
        <w:t> </w:t>
      </w:r>
    </w:p>
    <w:tbl>
      <w:tblPr>
        <w:tblW w:w="8080" w:type="dxa"/>
        <w:jc w:val="left"/>
        <w:tblInd w:w="0" w:type="dxa"/>
        <w:tblLayout w:type="fixed"/>
        <w:tblCellMar>
          <w:top w:w="0" w:type="dxa"/>
          <w:left w:w="0" w:type="dxa"/>
          <w:bottom w:w="0" w:type="dxa"/>
          <w:right w:w="0" w:type="dxa"/>
        </w:tblCellMar>
      </w:tblPr>
      <w:tblGrid>
        <w:gridCol w:w="75"/>
        <w:gridCol w:w="110"/>
        <w:gridCol w:w="60"/>
        <w:gridCol w:w="7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successfully launching commercial distribution and sales of our product candidate, if approved;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prevalence, duration, and severity of potential side effects or other safety issues experienced with our product candidate, if approved; </w:t>
            </w:r>
          </w:p>
        </w:tc>
      </w:tr>
    </w:tbl>
    <w:p>
      <w:pPr>
        <w:pStyle w:val="TextBody"/>
        <w:bidi w:val="0"/>
        <w:spacing w:before="0" w:after="0"/>
        <w:jc w:val="left"/>
        <w:rPr/>
      </w:pPr>
      <w:r>
        <w:rPr/>
        <w:t> </w:t>
      </w:r>
    </w:p>
    <w:tbl>
      <w:tblPr>
        <w:tblW w:w="6640" w:type="dxa"/>
        <w:jc w:val="left"/>
        <w:tblInd w:w="0" w:type="dxa"/>
        <w:tblLayout w:type="fixed"/>
        <w:tblCellMar>
          <w:top w:w="0" w:type="dxa"/>
          <w:left w:w="0" w:type="dxa"/>
          <w:bottom w:w="0" w:type="dxa"/>
          <w:right w:w="0" w:type="dxa"/>
        </w:tblCellMar>
      </w:tblPr>
      <w:tblGrid>
        <w:gridCol w:w="75"/>
        <w:gridCol w:w="110"/>
        <w:gridCol w:w="60"/>
        <w:gridCol w:w="63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entry into collaborations to further the development of our product candidate; </w:t>
            </w:r>
          </w:p>
        </w:tc>
      </w:tr>
    </w:tbl>
    <w:p>
      <w:pPr>
        <w:pStyle w:val="TextBody"/>
        <w:bidi w:val="0"/>
        <w:spacing w:before="0" w:after="0"/>
        <w:jc w:val="left"/>
        <w:rPr/>
      </w:pPr>
      <w:r>
        <w:rPr/>
        <w:t> </w:t>
      </w:r>
    </w:p>
    <w:tbl>
      <w:tblPr>
        <w:tblW w:w="9460" w:type="dxa"/>
        <w:jc w:val="left"/>
        <w:tblInd w:w="0" w:type="dxa"/>
        <w:tblLayout w:type="fixed"/>
        <w:tblCellMar>
          <w:top w:w="0" w:type="dxa"/>
          <w:left w:w="0" w:type="dxa"/>
          <w:bottom w:w="0" w:type="dxa"/>
          <w:right w:w="0" w:type="dxa"/>
        </w:tblCellMar>
      </w:tblPr>
      <w:tblGrid>
        <w:gridCol w:w="75"/>
        <w:gridCol w:w="110"/>
        <w:gridCol w:w="60"/>
        <w:gridCol w:w="92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obtaining and maintaining patent and trade secret protection or regulatory exclusivity for our product candidate;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acceptance of the benefits and uses of our product candidate, if approved, by patients, the medical community, and third-party payors; </w:t>
            </w:r>
          </w:p>
        </w:tc>
      </w:tr>
    </w:tbl>
    <w:p>
      <w:pPr>
        <w:pStyle w:val="TextBody"/>
        <w:bidi w:val="0"/>
        <w:spacing w:before="0" w:after="0"/>
        <w:jc w:val="left"/>
        <w:rPr/>
      </w:pPr>
      <w:r>
        <w:rPr/>
        <w:t> </w:t>
      </w:r>
    </w:p>
    <w:tbl>
      <w:tblPr>
        <w:tblW w:w="9430" w:type="dxa"/>
        <w:jc w:val="left"/>
        <w:tblInd w:w="0" w:type="dxa"/>
        <w:tblLayout w:type="fixed"/>
        <w:tblCellMar>
          <w:top w:w="0" w:type="dxa"/>
          <w:left w:w="0" w:type="dxa"/>
          <w:bottom w:w="0" w:type="dxa"/>
          <w:right w:w="0" w:type="dxa"/>
        </w:tblCellMar>
      </w:tblPr>
      <w:tblGrid>
        <w:gridCol w:w="75"/>
        <w:gridCol w:w="110"/>
        <w:gridCol w:w="60"/>
        <w:gridCol w:w="91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maintaining an acceptable safety, tolerability, and efficacy profile of the product candidates following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compliance with any post-approval requirements imposed on our products, such as post-marketing studies, a Risk Evaluation and Mitigation Strategy, or REMS, or additional requirements that might limit the promotion, advertising, distribution, or sales of our products or make the products cost prohibitive; </w:t>
            </w:r>
          </w:p>
        </w:tc>
      </w:tr>
    </w:tbl>
    <w:p>
      <w:pPr>
        <w:pStyle w:val="TextBody"/>
        <w:bidi w:val="0"/>
        <w:spacing w:before="0" w:after="0"/>
        <w:jc w:val="left"/>
        <w:rPr/>
      </w:pPr>
      <w:r>
        <w:rPr/>
        <w:t> </w:t>
      </w:r>
    </w:p>
    <w:tbl>
      <w:tblPr>
        <w:tblW w:w="3820" w:type="dxa"/>
        <w:jc w:val="left"/>
        <w:tblInd w:w="0" w:type="dxa"/>
        <w:tblLayout w:type="fixed"/>
        <w:tblCellMar>
          <w:top w:w="0" w:type="dxa"/>
          <w:left w:w="0" w:type="dxa"/>
          <w:bottom w:w="0" w:type="dxa"/>
          <w:right w:w="0" w:type="dxa"/>
        </w:tblCellMar>
      </w:tblPr>
      <w:tblGrid>
        <w:gridCol w:w="75"/>
        <w:gridCol w:w="110"/>
        <w:gridCol w:w="60"/>
        <w:gridCol w:w="3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competing effectively with other therapies; </w:t>
            </w:r>
          </w:p>
        </w:tc>
      </w:tr>
    </w:tbl>
    <w:p>
      <w:pPr>
        <w:pStyle w:val="TextBody"/>
        <w:bidi w:val="0"/>
        <w:spacing w:before="0" w:after="0"/>
        <w:jc w:val="left"/>
        <w:rPr/>
      </w:pPr>
      <w:r>
        <w:rPr/>
        <w:t> </w:t>
      </w:r>
    </w:p>
    <w:tbl>
      <w:tblPr>
        <w:tblW w:w="8860" w:type="dxa"/>
        <w:jc w:val="left"/>
        <w:tblInd w:w="0" w:type="dxa"/>
        <w:tblLayout w:type="fixed"/>
        <w:tblCellMar>
          <w:top w:w="0" w:type="dxa"/>
          <w:left w:w="0" w:type="dxa"/>
          <w:bottom w:w="0" w:type="dxa"/>
          <w:right w:w="0" w:type="dxa"/>
        </w:tblCellMar>
      </w:tblPr>
      <w:tblGrid>
        <w:gridCol w:w="75"/>
        <w:gridCol w:w="110"/>
        <w:gridCol w:w="60"/>
        <w:gridCol w:w="86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obtaining and maintaining healthcare coverage and adequate reimbursement from third-party payors; and </w:t>
            </w:r>
          </w:p>
        </w:tc>
      </w:tr>
    </w:tbl>
    <w:p>
      <w:pPr>
        <w:pStyle w:val="TextBody"/>
        <w:bidi w:val="0"/>
        <w:spacing w:before="0" w:after="0"/>
        <w:jc w:val="left"/>
        <w:rPr/>
      </w:pPr>
      <w:r>
        <w:rPr/>
        <w:t> </w:t>
      </w:r>
    </w:p>
    <w:tbl>
      <w:tblPr>
        <w:tblW w:w="5500" w:type="dxa"/>
        <w:jc w:val="left"/>
        <w:tblInd w:w="0" w:type="dxa"/>
        <w:tblLayout w:type="fixed"/>
        <w:tblCellMar>
          <w:top w:w="0" w:type="dxa"/>
          <w:left w:w="0" w:type="dxa"/>
          <w:bottom w:w="0" w:type="dxa"/>
          <w:right w:w="0" w:type="dxa"/>
        </w:tblCellMar>
      </w:tblPr>
      <w:tblGrid>
        <w:gridCol w:w="75"/>
        <w:gridCol w:w="110"/>
        <w:gridCol w:w="60"/>
        <w:gridCol w:w="5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enforcing and defending intellectual property rights and claims.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factors, many of which are beyond our control, could cause us to fall behind our competitors, experience significant delays or an inability to obtain regulatory approvals or commercialize our current or future product candidates, and could otherwise materially harm our business. Successful completion of preclinical studies and clinical trials does not mean that any other current or future product candidates we develop will receive regulatory approval. Even if regulatory approvals are obtained, we could experience significant delays or an inability to successfully commercialize our current and any future product candidates we develop, which would materially harm our business. If we are not able to generate sufficient revenue through the sale of any current or future product candidate, we may not be able to continue our business operations or achieve profitability.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Clinical development involves a lengthy and expensive process with uncertain outcomes. We may incur additional costs and experience delays in developing and commercializing or be unable to develop or commercialize our current and future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To obtain the requisite regulatory approvals to commercialize our product candidates or any future product candidates, we must demonstrate through data from extensive preclinical studies and clinical trials that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product candidate and any future product candidates are safe, pure, and potent in humans. Clinical trials are expensive and can take many years to complete, with a highly uncertain outcome. Failure can occur at any time during the clinical trial process and our current or future clinical trial results may not be successful. We may experience delays in completing our clinical trials or preclinical studies and initiating or completing additional clinical trials. We cannot be certain the ongoing and planned preclinical studies or clinical trials for our current or any other future product candidates will begin on time, not require redesign, enroll an adequate number of eligible subjects on time, or be completed on schedule, if at all. We may also experience numerous unforeseen events during our clinical trials that could delay or prevent our ability to receive marketing approval or commercialize the product candidates we develop,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results from preclinical studies or clinical trials may not be predictive of results from later clinical trials of any product candidate;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FDA or other regulatory authorities, Institutional Review Boards, or IRBs, or independent ethics committees may not authorize us or our investigators to commence a clinical trial or conduct a clinical trial at a prospective trial site;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FDA or other regulatory authorities may require us to submit additional data such as long-term toxicology studies, or impose other requirements on us, before permitting us to initiate a clinical trial;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experience delays in reaching, or fail to reach, agreement on acceptable terms with prospective trial sites and prospective CROs, as the terms of these agreements can be subject to extensive negotiation and vary significantly among different CROs and trial sites;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clinical trials of any product candidate may fail to show safety, purity or potency, or may produce negative or inconclusive results, which may cause us to decide, or regulators to require us, to conduct additional nonclinical studies or clinical trials or which may cause us to decide to abandon product candidate development programs;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patients required for clinical trials may be larger than we anticipate, or we may have difficulty in recruiting and enrolling patients to participate in clinical trials, including as a result of the size and nature of the patient population, the proximity of patients to clinical trial sites, eligibility criteria for the clinical trial, the nature of the clinical trial protocol, the availability of approved effective treatments for the relevant disease and competition from other clinical trial programs for similar indications and clinical trial subjects;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enrollment in these clinical trials may be slower than we anticipate or participants may drop out of these clinical trials or may fail to return for post-treatment follow-up at a higher rate than we anticipate;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CROs and other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elect to, or regulators, IRBs, or ethics committees may require that we or our investigators, suspend or terminate clinical research or trials for various reasons, including noncompliance with regulatory requirements or a finding that participants are being exposed to unacceptable health risks;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product candidates could cause undesirable or harmful side effects that could result in significant negative consequences, including the inability to enter or continue clinical development or to receive regulatory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 of preclinical or nonclinical testing and studies and clinical trials of any product candidates may be greater than we anticipate;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face hurdles in addressing subject safety concerns that arise during the course of a trial, causing us or our investigators, regulators, IRBs or ethics committees to suspend or terminate trials, or reports may arise from nonclinical or clinical testing of other cancer therapies that raise safety or efficacy concerns about our product candidates;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supply, quality, or timeliness of delivery of materials for product candidates we develop or other materials necessary to conduct clinical trials may be insufficient or inadequate;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need to change the manufacturing site and potentially the CDMO for our product candidates from those that are able to produce clinical supply for our clinical trials to those with the capacity and ability to perform commercial manufacturing and/or the production of clinical material for our later stage clinical trials.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could encounter delays if a clinical trial is suspended or terminated by us, or by the IRBs of the institutions in which such trials are being conducted, ethics committees, or the Safety Review Committee, or SRC, or the Data and Safety Monitoring Board, or DSMB, for such trial or by the FDA, the EMA, or other regulatory authorities. Such authorities may impose a suspension or termination due to a number of factors, including failure to conduct the clinical trial in accordance with regulatory requirements or our clinical protocols, inspection of the clinical trial operations or trial site by the FDA, the EMA,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Many of the factors that cause, or lead to, a delay in the commencement or completion of clinical trials may also ultimately lead to the denial of marketing approval of our product candidate. </w:t>
      </w:r>
    </w:p>
    <w:p>
      <w:pPr>
        <w:pStyle w:val="TextBody"/>
        <w:bidi w:val="0"/>
        <w:spacing w:before="240" w:after="0"/>
        <w:jc w:val="left"/>
        <w:rPr>
          <w:rFonts w:ascii="Times New Roman" w:hAnsi="Times New Roman"/>
          <w:sz w:val="20"/>
        </w:rPr>
      </w:pPr>
      <w:r>
        <w:rPr>
          <w:rFonts w:ascii="Times New Roman" w:hAnsi="Times New Roman"/>
          <w:sz w:val="20"/>
        </w:rPr>
        <w:t xml:space="preserve">The FDA, the EMA, or other regulatory authorities may change the expectations for approval even after they have reviewed and commented on the design for our clinical trials. Further, the FDA, the EMA, or other regulatory authorities may disagree with our clinical trial design or our interpretation of data from clinical trials. For example, we are conducting and may in the future continue to conduct “open-label” clinical trials.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because patients may be subject to a “patient bias” where they perceive their symptoms to have improved merely due to their awareness of receiving an experimental treatment. Moreover, patients selected for early clinical trials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w:t>
      </w:r>
    </w:p>
    <w:p>
      <w:pPr>
        <w:pStyle w:val="TextBody"/>
        <w:bidi w:val="0"/>
        <w:spacing w:before="240" w:after="0"/>
        <w:jc w:val="left"/>
        <w:rPr>
          <w:rFonts w:ascii="Times New Roman" w:hAnsi="Times New Roman"/>
          <w:sz w:val="20"/>
        </w:rPr>
      </w:pPr>
      <w:r>
        <w:rPr>
          <w:rFonts w:ascii="Times New Roman" w:hAnsi="Times New Roman"/>
          <w:sz w:val="20"/>
        </w:rPr>
        <w:t xml:space="preserve">Principal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a regulatory authority concludes that the financial relationship may have affected the interpretation of the trial results, the integrity of the data generated at the applicable clinical trial site may be questioned and the utility of the clinical trial itself may be jeopardized, which could result in the delay or rejection of any future marketing application we submit. Any such delay or rejection could prevent or delay us from commercializing our current or future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If we experience delays in enrollment or completion of, or the suspension or termination of, any clinical trial of our lead product candidate, amsoki-cel, including the registration-enabling melanoma cohort of our Agni-01 study, the commercial prospects of amsoki-cel will be harmed and our ability to generate product revenues will be delayed. In addition, any delays in completing our clinical trials will increase our costs, slow down the development and approval process for our product candidate, and jeopardize our ability to commence product sales and generate revenues. Significant clinical trial delays could also allow our competitors to bring products to market before we do or shorten any periods during which we have the exclusive right to commercialize our product candidate. </w:t>
      </w:r>
    </w:p>
    <w:p>
      <w:pPr>
        <w:pStyle w:val="TextBody"/>
        <w:bidi w:val="0"/>
        <w:spacing w:before="240" w:after="0"/>
        <w:jc w:val="left"/>
        <w:rPr>
          <w:rFonts w:ascii="Times New Roman" w:hAnsi="Times New Roman"/>
          <w:sz w:val="20"/>
        </w:rPr>
      </w:pPr>
      <w:r>
        <w:rPr>
          <w:rFonts w:ascii="Times New Roman" w:hAnsi="Times New Roman"/>
          <w:sz w:val="20"/>
        </w:rPr>
        <w:t xml:space="preserve">Any such events would impair our ability to successfully commercialize our product candidate and may harm our business and results of operations. Any of these occurrences may significantly harm our business,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condition, and prospects. In addition, many of the factors that cause, or lead to, a delay in the commencement or completion of clinical trials may also ultimately lead to the denial of regulatory approval of our product candidate or result in the development of our product candidate stopping early.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Preclinical development is uncertain. Any preclinical programs we pursue may experience delays or may never advance to clinical trials, which would adversely affect our ability to obtain regulatory approvals or commercialize these programs on a timely basis or at all. </w:t>
      </w:r>
    </w:p>
    <w:p>
      <w:pPr>
        <w:pStyle w:val="TextBody"/>
        <w:bidi w:val="0"/>
        <w:spacing w:before="120" w:after="0"/>
        <w:jc w:val="left"/>
        <w:rPr>
          <w:rFonts w:ascii="Times New Roman" w:hAnsi="Times New Roman"/>
          <w:sz w:val="20"/>
        </w:rPr>
      </w:pPr>
      <w:r>
        <w:rPr>
          <w:rFonts w:ascii="Times New Roman" w:hAnsi="Times New Roman"/>
          <w:sz w:val="20"/>
        </w:rPr>
        <w:t xml:space="preserve">The risk of failure for product candidates still in the discovery or preclinical stage is high. In addition, any one or more of our product candidates that have not yet entered the clinic may never advance into clinical development. In order to obtain FDA approval to market a new biologic we must demonstrate proof of safety, purity, and potency, including efficacy, in humans. To meet these requirements, we will have to conduct adequate and well-controlled clinical trials. Before we can commence clinical trials for a product candidate, we must complete extensive preclinical testing and studies that support our planned clinical trials in humans. We cannot be certain of the timely completion or outcome of our preclinical testing and studies and cannot predict if the FDA will accept our proposed clinical programs or if the outcome of our preclinical testing and studies will ultimately support the further development of our current or future product candidates. As a result, we cannot be sure that we will be able to submit INDs or similar applications for our preclinical candidates on the timelines we expect, if at all, and we cannot be sure that submission of INDs or similar applications will result in the FDA, the EMA, or other regulatory authorities allowing clinical trials to begin. </w:t>
      </w:r>
    </w:p>
    <w:p>
      <w:pPr>
        <w:pStyle w:val="TextBody"/>
        <w:bidi w:val="0"/>
        <w:spacing w:before="240" w:after="0"/>
        <w:jc w:val="left"/>
        <w:rPr>
          <w:rFonts w:ascii="Times New Roman" w:hAnsi="Times New Roman"/>
          <w:sz w:val="20"/>
        </w:rPr>
      </w:pPr>
      <w:r>
        <w:rPr>
          <w:rFonts w:ascii="Times New Roman" w:hAnsi="Times New Roman"/>
          <w:sz w:val="20"/>
        </w:rPr>
        <w:t xml:space="preserve">Conducting preclinical testing is a lengthy, time-consuming, and expensive process. The length of time of such testing may vary substantially according to the type, complexity, and novelty of the program, and often can be several years or more per program. The commencement and rate of completion of preclinical studies and clinical trials for a product candidate may be delayed by many factors, including but not limited to: </w:t>
      </w:r>
    </w:p>
    <w:p>
      <w:pPr>
        <w:pStyle w:val="TextBody"/>
        <w:bidi w:val="0"/>
        <w:spacing w:before="0" w:after="0"/>
        <w:jc w:val="left"/>
        <w:rPr/>
      </w:pPr>
      <w:r>
        <w:rPr/>
        <w:t> </w:t>
      </w:r>
    </w:p>
    <w:tbl>
      <w:tblPr>
        <w:tblW w:w="5335" w:type="dxa"/>
        <w:jc w:val="left"/>
        <w:tblInd w:w="0" w:type="dxa"/>
        <w:tblLayout w:type="fixed"/>
        <w:tblCellMar>
          <w:top w:w="0" w:type="dxa"/>
          <w:left w:w="0" w:type="dxa"/>
          <w:bottom w:w="0" w:type="dxa"/>
          <w:right w:w="0" w:type="dxa"/>
        </w:tblCellMar>
      </w:tblPr>
      <w:tblGrid>
        <w:gridCol w:w="75"/>
        <w:gridCol w:w="110"/>
        <w:gridCol w:w="60"/>
        <w:gridCol w:w="5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of animal studies to generate compelling toxicity data; </w:t>
            </w:r>
          </w:p>
        </w:tc>
      </w:tr>
    </w:tbl>
    <w:p>
      <w:pPr>
        <w:pStyle w:val="TextBody"/>
        <w:bidi w:val="0"/>
        <w:spacing w:before="0" w:after="0"/>
        <w:jc w:val="left"/>
        <w:rPr/>
      </w:pPr>
      <w:r>
        <w:rPr/>
        <w:t> </w:t>
      </w:r>
    </w:p>
    <w:tbl>
      <w:tblPr>
        <w:tblW w:w="7510" w:type="dxa"/>
        <w:jc w:val="left"/>
        <w:tblInd w:w="0" w:type="dxa"/>
        <w:tblLayout w:type="fixed"/>
        <w:tblCellMar>
          <w:top w:w="0" w:type="dxa"/>
          <w:left w:w="0" w:type="dxa"/>
          <w:bottom w:w="0" w:type="dxa"/>
          <w:right w:w="0" w:type="dxa"/>
        </w:tblCellMar>
      </w:tblPr>
      <w:tblGrid>
        <w:gridCol w:w="75"/>
        <w:gridCol w:w="110"/>
        <w:gridCol w:w="60"/>
        <w:gridCol w:w="7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of new non-animal methods for preclinical work to be accepted by regulators; and </w:t>
            </w:r>
          </w:p>
        </w:tc>
      </w:tr>
    </w:tbl>
    <w:p>
      <w:pPr>
        <w:pStyle w:val="TextBody"/>
        <w:bidi w:val="0"/>
        <w:spacing w:before="0" w:after="0"/>
        <w:jc w:val="left"/>
        <w:rPr/>
      </w:pPr>
      <w:r>
        <w:rPr/>
        <w:t> </w:t>
      </w:r>
    </w:p>
    <w:tbl>
      <w:tblPr>
        <w:tblW w:w="7420" w:type="dxa"/>
        <w:jc w:val="left"/>
        <w:tblInd w:w="0" w:type="dxa"/>
        <w:tblLayout w:type="fixed"/>
        <w:tblCellMar>
          <w:top w:w="0" w:type="dxa"/>
          <w:left w:w="0" w:type="dxa"/>
          <w:bottom w:w="0" w:type="dxa"/>
          <w:right w:w="0" w:type="dxa"/>
        </w:tblCellMar>
      </w:tblPr>
      <w:tblGrid>
        <w:gridCol w:w="75"/>
        <w:gridCol w:w="110"/>
        <w:gridCol w:w="60"/>
        <w:gridCol w:w="71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or failures by third party CROs conducting the nonclinical studies on our behalf.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Delays associated with programs for which we are conducting preclinical testing and studies may cause us to incur additional operating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in the future conduct clinical trials for current or future product candidates outside the United States, and the FDA and comparable foreign regulatory authorities may not accept data from such trials. </w:t>
      </w:r>
    </w:p>
    <w:p>
      <w:pPr>
        <w:pStyle w:val="TextBody"/>
        <w:bidi w:val="0"/>
        <w:spacing w:before="120" w:after="0"/>
        <w:jc w:val="left"/>
        <w:rPr>
          <w:rFonts w:ascii="Times New Roman" w:hAnsi="Times New Roman"/>
          <w:sz w:val="20"/>
        </w:rPr>
      </w:pPr>
      <w:r>
        <w:rPr>
          <w:rFonts w:ascii="Times New Roman" w:hAnsi="Times New Roman"/>
          <w:sz w:val="20"/>
        </w:rPr>
        <w:t xml:space="preserve">We may in the future conduct clinical trials for current or future product candidates outside the United States, and the FDA and comparable foreign regulatory authorities may not accept data from such trials. We are currently conducting clinical trials in the United States. The acceptance of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good clinical practice, or GCP, regulations and (iii) the FDA is able to validate the data through an on-site inspection or other appropriate means. Additionally, the FDA’s clinical trial requirements, including sufficient size of patient populations and statistical powering, must be met. Many foreign regulatory authorities have similar approval requirements. In addition, foreign clinical trials are subject to the applicable local laws of the foreign jurisdictions where such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need for additional trials, which could be costly and time-consuming, and which may result in current or future product candidates that we may develop being delayed or not receiving approval for commercialization in the applicable jurisdiction.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Positive results from preclinical studies and early-stage clinical trials may not be predictive of future results. Initial positive results in any of our clinical trials may not be indicative of results obtained when the trial is completed or in later stage trials. </w:t>
      </w:r>
    </w:p>
    <w:p>
      <w:pPr>
        <w:pStyle w:val="TextBody"/>
        <w:bidi w:val="0"/>
        <w:spacing w:before="120" w:after="0"/>
        <w:jc w:val="left"/>
        <w:rPr>
          <w:rFonts w:ascii="Times New Roman" w:hAnsi="Times New Roman"/>
          <w:sz w:val="20"/>
        </w:rPr>
      </w:pPr>
      <w:r>
        <w:rPr>
          <w:rFonts w:ascii="Times New Roman" w:hAnsi="Times New Roman"/>
          <w:sz w:val="20"/>
        </w:rPr>
        <w:t xml:space="preserve">The results of preclinical studies may not be predictive of the results of clinical trials. Preclinical studies and early-stage clinical trials are primarily designed to (i) test safety, (ii) study pharmacokinetics and pharmacodynamics, and (iii) understand the side effects of product candidates at various doses and schedules, and the results of any early-stage clinical trials may not be predictive of the results of later-stage, large-scale efficacy clinical trials. In addition, initial success in clinical trials may not be indicative of results obtained when such trials are completed. There can be no assurance that any of our current or future clinical trials will ultimately be successful or support further clinical development our product candidates. There is a high failure rate for drugs and biological products proceeding through clinical trials. A number of companies in the pharmaceutical and biotechnology industries have suffered significant setbacks in clinical development even after achieving promising results in earlier studies, and any such setbacks in our clinical development could have a material adverse effect on our business and operating results. </w:t>
      </w:r>
    </w:p>
    <w:p>
      <w:pPr>
        <w:pStyle w:val="TextBody"/>
        <w:bidi w:val="0"/>
        <w:spacing w:before="240" w:after="0"/>
        <w:jc w:val="left"/>
        <w:rPr>
          <w:rFonts w:ascii="Times New Roman" w:hAnsi="Times New Roman"/>
          <w:sz w:val="20"/>
        </w:rPr>
      </w:pPr>
      <w:r>
        <w:rPr>
          <w:rFonts w:ascii="Times New Roman" w:hAnsi="Times New Roman"/>
          <w:sz w:val="20"/>
        </w:rPr>
        <w:t xml:space="preserve">Even if our clinical trials are completed, the results may not be sufficient to obtain regulatory approval for our product candidates. Data obtained from preclinical and clinical activities are subject to varying interpretations, which may delay, limit, or prevent regulatory approval. In addition, the results of our preclinical studies may not be predictive of the results of outcomes in human clinical trials. For example, our current or future product candidates may demonstrate different chemical, biological, and pharmacological properties in patients than they do in laboratory studies or may interact with human biological systems in unforeseen or harmful ways. Product candidates in later stages of clinical trials may fail to show desired pharmacological properties or produce the necessary safety and efficacy results despite having progressed through preclinical studies and initial clinical trials.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Interim, “top-line,” and preliminary results from our preclinical studies and clinical trials that we announce or publish from time to time may change as more patient data become available and are subject to audit, validation, and verification procedures that could result in material changes in the final data.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may publish interim data, including interim, top-line, or preliminary data from our preclinical studies and clinical trials. Any interim data and results from our preclinical studies and clinical trials are subject to the risk that one or more of the clinical outcomes may materially change as patient enrollment continues and more patient data become available. We also may make assumptions, estimations, calculations and conclusions as part of our analyses of preliminary or topline data and we may not have received or had the opportunity to fully and carefully evaluate all data. Preliminary or top-line results also remain subject to audit, validation, and verification procedures that may result in the final data being materially different from the interim and preliminary data we previously published. As a result, interim and preliminary data may not be predictive of final results and should be viewed with caution until the final data are available. Material differences between preliminary or interim data and final data could significantly harm our business prospects and may cause the trading price of our common stock to fluctuate significantly. </w:t>
      </w:r>
    </w:p>
    <w:p>
      <w:pPr>
        <w:pStyle w:val="TextBody"/>
        <w:bidi w:val="0"/>
        <w:spacing w:before="240" w:after="0"/>
        <w:jc w:val="left"/>
        <w:rPr>
          <w:rFonts w:ascii="Times New Roman" w:hAnsi="Times New Roman"/>
          <w:sz w:val="20"/>
        </w:rPr>
      </w:pPr>
      <w:r>
        <w:rPr>
          <w:rFonts w:ascii="Times New Roman" w:hAnsi="Times New Roman"/>
          <w:sz w:val="20"/>
        </w:rPr>
        <w:t xml:space="preserve">Furthermore, third parties, including regulatory authorities, may not accept or agree with our assumptions, estimates, calculations, conclusions or analyses or may interpret or weigh the importance of data differently, which could delay or prevent regulatory approval of, or limit commercial prospects for, the particular product candidate. In addition, the information we choose to publicly disclose regarding a particular study or clinical trial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 based on what is typically extensive information, and you or others may not agree with what we determine to disclose. If regulatory authorities disagree with the conclusions reached, our ability to obtain approval for, and commercialize, our product candidates may be harmed, which could harm our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current or future product candidates may cause undesirable, unacceptable, or serious adverse side effects or have other properties when used alone or in combination with other approved products or investigational new drugs or biological products that could halt their clinical development, delay or prevent their regulatory approval, limit their commercial potential, or result in significant negative consequences. </w:t>
      </w:r>
    </w:p>
    <w:p>
      <w:pPr>
        <w:pStyle w:val="TextBody"/>
        <w:bidi w:val="0"/>
        <w:spacing w:before="120" w:after="0"/>
        <w:jc w:val="left"/>
        <w:rPr>
          <w:rFonts w:ascii="Times New Roman" w:hAnsi="Times New Roman"/>
          <w:sz w:val="20"/>
        </w:rPr>
      </w:pPr>
      <w:r>
        <w:rPr>
          <w:rFonts w:ascii="Times New Roman" w:hAnsi="Times New Roman"/>
          <w:sz w:val="20"/>
        </w:rPr>
        <w:t xml:space="preserve">Before obtaining regulatory approvals for the commercial sale of our product candidate, we must demonstrate through lengthy, complex, and expensive preclinical testing and clinical trials that our current and any future product candidates are safe, pure, and potent for use in each target indication, and failures can occur at any stage of testing. As with most biological products, use of our current or future product candidates could be associated with side effects or adverse events which can vary in severity from minor reactions to death and in frequency from infrequent to prevalent. There have been serious adverse side effects reported in response to engineered TIL cell therapies in oncology. </w:t>
      </w:r>
    </w:p>
    <w:p>
      <w:pPr>
        <w:pStyle w:val="TextBody"/>
        <w:bidi w:val="0"/>
        <w:spacing w:before="240" w:after="0"/>
        <w:jc w:val="left"/>
        <w:rPr>
          <w:rFonts w:ascii="Times New Roman" w:hAnsi="Times New Roman"/>
          <w:sz w:val="20"/>
        </w:rPr>
      </w:pPr>
      <w:r>
        <w:rPr>
          <w:rFonts w:ascii="Times New Roman" w:hAnsi="Times New Roman"/>
          <w:sz w:val="20"/>
        </w:rPr>
        <w:t xml:space="preserve">Immuno-oncology drugs have been observed to cause side effects, generally related to over activation of the immune system. These include colitis, diabetes, pituitary inflammation, thyroiditis, myocarditis, liver inflammation, thrombocytopenia, pneumonitis, hypoxia, cytokine release syndrome, late autoimmune side effects/autoimmune disease states, and risk of death, among others. Our immuno-oncology product candidates, and combination drug regimens may have similar or additional side effects including late autoimmune side effects, autoimmune disease states or secondary malignancies. Treatment-related side effects may emerge at a later time in our trials. In addition to any potential side effects caused by the product candidate or combination regimen, the administration process or related procedures also can cause adverse side effects. If unacceptable adverse events occur, our clinical trials could be suspended or terminated, or any future marketing authorization could be suspended, revoked, or varied. Additionally, we may be required to repeat or conduct additional clinical trials or nonclinical studies for our product candidate beyond those that we currently contemplate. There can be no assurance that any of our current or future product candidates will not demonstrate unacceptable toxicities in later testing that may render them unsafe or intolerable. </w:t>
      </w:r>
    </w:p>
    <w:p>
      <w:pPr>
        <w:pStyle w:val="TextBody"/>
        <w:bidi w:val="0"/>
        <w:spacing w:before="240" w:after="0"/>
        <w:jc w:val="left"/>
        <w:rPr>
          <w:rFonts w:ascii="Times New Roman" w:hAnsi="Times New Roman"/>
          <w:sz w:val="20"/>
        </w:rPr>
      </w:pPr>
      <w:r>
        <w:rPr>
          <w:rFonts w:ascii="Times New Roman" w:hAnsi="Times New Roman"/>
          <w:sz w:val="20"/>
        </w:rPr>
        <w:t xml:space="preserve">If unacceptable side effects arise in the development of our product candidates, we, the FDA, the IRBs at the institutions in which our trials are conducted, or the DSMB or SRC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any of our clinical trials or result in potential product liability 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and train them in the tumor procurement surgical and core needle biopsy processes. There are additional risks of complications from tumor tissue procurement, including surgical complications and core needle biopsy complications, including the risk of death. Inadequate training in recognizing or managing the potential side effects of our product candidates could result in patient injury or death. Any of these occurrences may harm our business, financial condition, and prospects significantly. </w:t>
      </w:r>
    </w:p>
    <w:p>
      <w:pPr>
        <w:pStyle w:val="TextBody"/>
        <w:bidi w:val="0"/>
        <w:spacing w:before="240" w:after="0"/>
        <w:jc w:val="left"/>
        <w:rPr>
          <w:rFonts w:ascii="Times New Roman" w:hAnsi="Times New Roman"/>
          <w:sz w:val="20"/>
        </w:rPr>
      </w:pPr>
      <w:r>
        <w:rPr>
          <w:rFonts w:ascii="Times New Roman" w:hAnsi="Times New Roman"/>
          <w:sz w:val="20"/>
        </w:rPr>
        <w:t xml:space="preserve">Although our current and future product candidates have undergone and will undergo safety testing to the extent possible and, where applicable, under such conditions discussed with regulatory authorities, not all adverse effects of drugs can be predicted or anticipated. Engineered TIL cell therapeutics and their method of action of harnessing the body’s immune system are powerful and could lead to serious side effects that we only discover in clinical trials or during commercial marketing. Unforeseen side effects could arise either during clinical development or after a product candidate has been approved by regulatory authorities and the approved product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has been marketed, following the exposure of additional patients. Even though data to date from our Phase 1/2 clinical trial has demonstrated a favorable safety and tolerability profile for amsoki-cel in patients with advanced melanoma, clinical trial results are subject to significant uncertainty, and we cannot assure you that our ongoing or future clinical trials will demonstrate comparable safety, tolerability or efficacy results. If any of our current or future product candidates fail to demonstrate safety and efficacy in clinical trials or do not gain marketing approval, we will not be able to generate revenue and our business will be harmed.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may pursue our product candidate or develop future product candidates in combination with other therapies, which could expose us to additional risks relating to undesirable side effects or other properties. For example, the other therapies may lead to toxicities that are improperly attributed to our product candidate or the combination of our product candidate with other therapies may result in toxicities that the product candidate or other therapy does not produce when used alone. The other therapies we are using in combination may be removed from the market, or we may not be able to secure adequate quantities of such materials for which we have no guaranteed supply contract, and thus such therapies may be unavailable for testing or commercial use with any of our approved products. The other therapies we may use in combination with our product candidate may also be supplanted in the market by newer, safer, or more efficacious products or combinations of products. </w:t>
      </w:r>
    </w:p>
    <w:p>
      <w:pPr>
        <w:pStyle w:val="TextBody"/>
        <w:bidi w:val="0"/>
        <w:spacing w:before="240" w:after="0"/>
        <w:jc w:val="left"/>
        <w:rPr>
          <w:rFonts w:ascii="Times New Roman" w:hAnsi="Times New Roman"/>
          <w:sz w:val="20"/>
        </w:rPr>
      </w:pPr>
      <w:r>
        <w:rPr>
          <w:rFonts w:ascii="Times New Roman" w:hAnsi="Times New Roman"/>
          <w:sz w:val="20"/>
        </w:rPr>
        <w:t xml:space="preserve">Even if we successfully advance our lead product candidate amsoki-cel or any future product candidates through clinical trials, such trials will likely only include a limited number of subjects and limited duration of exposure to the candidate. As a result, we cannot be assured that adverse effects of our product candidates will not be uncovered when a significantly larger number of patients are exposed to the product candidate. Further, any clinical trial may not be sufficient to determine the effect and safety consequences of taking a particular candidate over a multi-year period. </w:t>
      </w:r>
    </w:p>
    <w:p>
      <w:pPr>
        <w:pStyle w:val="TextBody"/>
        <w:bidi w:val="0"/>
        <w:spacing w:before="240" w:after="0"/>
        <w:jc w:val="left"/>
        <w:rPr>
          <w:rFonts w:ascii="Times New Roman" w:hAnsi="Times New Roman"/>
          <w:sz w:val="20"/>
        </w:rPr>
      </w:pPr>
      <w:r>
        <w:rPr>
          <w:rFonts w:ascii="Times New Roman" w:hAnsi="Times New Roman"/>
          <w:sz w:val="20"/>
        </w:rPr>
        <w:t xml:space="preserve">Even if we successfully develop a product candidate and it receives marketing approval, the FDA could require us to adopt a REMS to ensure that the benefits of treatment outweigh the risks for each potential patient, which may include, among other things, a medication guide outlining the risks of the product for distribution to patients, a communication plan to health care practitioners, extensive patient monitoring, or distribution systems and processes that are highly controlled, restrictive, and more costly than what is typical for the industry. If our current product candidate or any of our future product candidates receives marketing approval, and we or others later identify undesirable side effects caused by such products, a number of potentially significant negative consequences could result in the following, including but not limited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authorities may limit, suspend, or withdraw their approval of the product or may refuse to approve supplemental applications for such product; regulatory authorities may refuse to approve pending applications or supplements to approved applications we file; </w:t>
            </w:r>
          </w:p>
        </w:tc>
      </w:tr>
    </w:tbl>
    <w:p>
      <w:pPr>
        <w:pStyle w:val="TextBody"/>
        <w:bidi w:val="0"/>
        <w:spacing w:before="0" w:after="0"/>
        <w:jc w:val="left"/>
        <w:rPr/>
      </w:pPr>
      <w:r>
        <w:rPr/>
        <w:t> </w:t>
      </w:r>
    </w:p>
    <w:tbl>
      <w:tblPr>
        <w:tblW w:w="8260" w:type="dxa"/>
        <w:jc w:val="left"/>
        <w:tblInd w:w="0" w:type="dxa"/>
        <w:tblLayout w:type="fixed"/>
        <w:tblCellMar>
          <w:top w:w="0" w:type="dxa"/>
          <w:left w:w="0" w:type="dxa"/>
          <w:bottom w:w="0" w:type="dxa"/>
          <w:right w:w="0" w:type="dxa"/>
        </w:tblCellMar>
      </w:tblPr>
      <w:tblGrid>
        <w:gridCol w:w="75"/>
        <w:gridCol w:w="110"/>
        <w:gridCol w:w="60"/>
        <w:gridCol w:w="80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be required to recall a product or change the way such product is administered to patients;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additional restrictions may be imposed on the marketing of the particular product or the manufacturing processes for the product or any component thereof; </w:t>
            </w:r>
          </w:p>
        </w:tc>
      </w:tr>
    </w:tbl>
    <w:p>
      <w:pPr>
        <w:pStyle w:val="TextBody"/>
        <w:bidi w:val="0"/>
        <w:spacing w:before="0" w:after="0"/>
        <w:jc w:val="left"/>
        <w:rPr/>
      </w:pPr>
      <w:r>
        <w:rPr/>
        <w:t> </w:t>
      </w:r>
    </w:p>
    <w:tbl>
      <w:tblPr>
        <w:tblW w:w="10000" w:type="dxa"/>
        <w:jc w:val="left"/>
        <w:tblInd w:w="0" w:type="dxa"/>
        <w:tblLayout w:type="fixed"/>
        <w:tblCellMar>
          <w:top w:w="0" w:type="dxa"/>
          <w:left w:w="0" w:type="dxa"/>
          <w:bottom w:w="0" w:type="dxa"/>
          <w:right w:w="0" w:type="dxa"/>
        </w:tblCellMar>
      </w:tblPr>
      <w:tblGrid>
        <w:gridCol w:w="75"/>
        <w:gridCol w:w="110"/>
        <w:gridCol w:w="60"/>
        <w:gridCol w:w="97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authorities may require the addition of labeling statements, such as a “boxed” warning or a contraindication;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be required to implement a REMS or create a medication guide outlining the risks of such side effects for distribution to patients; </w:t>
            </w:r>
          </w:p>
        </w:tc>
      </w:tr>
    </w:tbl>
    <w:p>
      <w:pPr>
        <w:pStyle w:val="TextBody"/>
        <w:bidi w:val="0"/>
        <w:spacing w:before="0" w:after="0"/>
        <w:jc w:val="left"/>
        <w:rPr/>
      </w:pPr>
      <w:r>
        <w:rPr/>
        <w:t> </w:t>
      </w:r>
    </w:p>
    <w:tbl>
      <w:tblPr>
        <w:tblW w:w="5260" w:type="dxa"/>
        <w:jc w:val="left"/>
        <w:tblInd w:w="0" w:type="dxa"/>
        <w:tblLayout w:type="fixed"/>
        <w:tblCellMar>
          <w:top w:w="0" w:type="dxa"/>
          <w:left w:w="0" w:type="dxa"/>
          <w:bottom w:w="0" w:type="dxa"/>
          <w:right w:w="0" w:type="dxa"/>
        </w:tblCellMar>
      </w:tblPr>
      <w:tblGrid>
        <w:gridCol w:w="75"/>
        <w:gridCol w:w="110"/>
        <w:gridCol w:w="60"/>
        <w:gridCol w:w="50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could be sued and held liable for harm caused to patients; </w:t>
            </w:r>
          </w:p>
        </w:tc>
      </w:tr>
    </w:tbl>
    <w:p>
      <w:pPr>
        <w:pStyle w:val="TextBody"/>
        <w:bidi w:val="0"/>
        <w:spacing w:before="0" w:after="0"/>
        <w:jc w:val="left"/>
        <w:rPr/>
      </w:pPr>
      <w:r>
        <w:rPr/>
        <w:t> </w:t>
      </w:r>
    </w:p>
    <w:tbl>
      <w:tblPr>
        <w:tblW w:w="4090" w:type="dxa"/>
        <w:jc w:val="left"/>
        <w:tblInd w:w="0" w:type="dxa"/>
        <w:tblLayout w:type="fixed"/>
        <w:tblCellMar>
          <w:top w:w="0" w:type="dxa"/>
          <w:left w:w="0" w:type="dxa"/>
          <w:bottom w:w="0" w:type="dxa"/>
          <w:right w:w="0" w:type="dxa"/>
        </w:tblCellMar>
      </w:tblPr>
      <w:tblGrid>
        <w:gridCol w:w="75"/>
        <w:gridCol w:w="110"/>
        <w:gridCol w:w="60"/>
        <w:gridCol w:w="3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product may become less competitive; and </w:t>
            </w:r>
          </w:p>
        </w:tc>
      </w:tr>
    </w:tbl>
    <w:p>
      <w:pPr>
        <w:pStyle w:val="TextBody"/>
        <w:bidi w:val="0"/>
        <w:spacing w:before="0" w:after="0"/>
        <w:jc w:val="left"/>
        <w:rPr/>
      </w:pPr>
      <w:r>
        <w:rPr/>
        <w:t> </w:t>
      </w:r>
    </w:p>
    <w:tbl>
      <w:tblPr>
        <w:tblW w:w="2410" w:type="dxa"/>
        <w:jc w:val="left"/>
        <w:tblInd w:w="0" w:type="dxa"/>
        <w:tblLayout w:type="fixed"/>
        <w:tblCellMar>
          <w:top w:w="0" w:type="dxa"/>
          <w:left w:w="0" w:type="dxa"/>
          <w:bottom w:w="0" w:type="dxa"/>
          <w:right w:w="0" w:type="dxa"/>
        </w:tblCellMar>
      </w:tblPr>
      <w:tblGrid>
        <w:gridCol w:w="75"/>
        <w:gridCol w:w="110"/>
        <w:gridCol w:w="60"/>
        <w:gridCol w:w="2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reputation may suffer.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 foregoing events could prevent us from achieving or maintaining market acceptance of the particular product candidate, if approved, and result in the loss of significant revenues, which would materially harm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business. In addition, if our product candidates or our engineered TIL cell therapeutic development approach generally proves to be unsafe, our entire technology platform and pipeline could be affected, which would also materially harm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or our collaborators encounter difficulties enrolling eligible patients in our clinical trials, our clinical development activities could be delayed or otherwise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The successful and timely completion of clinical trials in accordance with their protocols depends on, among other things, our ability to recruit and enroll a sufficient number of eligible patients who remain in the trial until the trial’s conclusion, including any follow-up period. We may experience difficulties in patient enrollment in our clinical trials for a variety of reasons. The enrollment of patients depends on many factors, including: </w:t>
      </w:r>
    </w:p>
    <w:p>
      <w:pPr>
        <w:pStyle w:val="TextBody"/>
        <w:bidi w:val="0"/>
        <w:spacing w:before="0" w:after="0"/>
        <w:jc w:val="left"/>
        <w:rPr/>
      </w:pPr>
      <w:r>
        <w:rPr/>
        <w:t> </w:t>
      </w:r>
    </w:p>
    <w:tbl>
      <w:tblPr>
        <w:tblW w:w="4645" w:type="dxa"/>
        <w:jc w:val="left"/>
        <w:tblInd w:w="0" w:type="dxa"/>
        <w:tblLayout w:type="fixed"/>
        <w:tblCellMar>
          <w:top w:w="0" w:type="dxa"/>
          <w:left w:w="0" w:type="dxa"/>
          <w:bottom w:w="0" w:type="dxa"/>
          <w:right w:w="0" w:type="dxa"/>
        </w:tblCellMar>
      </w:tblPr>
      <w:tblGrid>
        <w:gridCol w:w="75"/>
        <w:gridCol w:w="110"/>
        <w:gridCol w:w="60"/>
        <w:gridCol w:w="44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patient eligibility criteria defined in the protocol;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nature and size of the patient population required for analysis of the trial’s primary endpoints and the process for identifying patients; </w:t>
            </w:r>
          </w:p>
        </w:tc>
      </w:tr>
    </w:tbl>
    <w:p>
      <w:pPr>
        <w:pStyle w:val="TextBody"/>
        <w:bidi w:val="0"/>
        <w:spacing w:before="0" w:after="0"/>
        <w:jc w:val="left"/>
        <w:rPr/>
      </w:pPr>
      <w:r>
        <w:rPr/>
        <w:t> </w:t>
      </w:r>
    </w:p>
    <w:tbl>
      <w:tblPr>
        <w:tblW w:w="6775" w:type="dxa"/>
        <w:jc w:val="left"/>
        <w:tblInd w:w="0" w:type="dxa"/>
        <w:tblLayout w:type="fixed"/>
        <w:tblCellMar>
          <w:top w:w="0" w:type="dxa"/>
          <w:left w:w="0" w:type="dxa"/>
          <w:bottom w:w="0" w:type="dxa"/>
          <w:right w:w="0" w:type="dxa"/>
        </w:tblCellMar>
      </w:tblPr>
      <w:tblGrid>
        <w:gridCol w:w="75"/>
        <w:gridCol w:w="110"/>
        <w:gridCol w:w="60"/>
        <w:gridCol w:w="65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and location of participating and available clinical sites or patients; </w:t>
            </w:r>
          </w:p>
        </w:tc>
      </w:tr>
    </w:tbl>
    <w:p>
      <w:pPr>
        <w:pStyle w:val="TextBody"/>
        <w:bidi w:val="0"/>
        <w:spacing w:before="0" w:after="0"/>
        <w:jc w:val="left"/>
        <w:rPr/>
      </w:pPr>
      <w:r>
        <w:rPr/>
        <w:t> </w:t>
      </w:r>
    </w:p>
    <w:tbl>
      <w:tblPr>
        <w:tblW w:w="5155" w:type="dxa"/>
        <w:jc w:val="left"/>
        <w:tblInd w:w="0" w:type="dxa"/>
        <w:tblLayout w:type="fixed"/>
        <w:tblCellMar>
          <w:top w:w="0" w:type="dxa"/>
          <w:left w:w="0" w:type="dxa"/>
          <w:bottom w:w="0" w:type="dxa"/>
          <w:right w:w="0" w:type="dxa"/>
        </w:tblCellMar>
      </w:tblPr>
      <w:tblGrid>
        <w:gridCol w:w="75"/>
        <w:gridCol w:w="110"/>
        <w:gridCol w:w="60"/>
        <w:gridCol w:w="49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the ability or failure to add new clinical trial sites; </w:t>
            </w:r>
          </w:p>
        </w:tc>
      </w:tr>
    </w:tbl>
    <w:p>
      <w:pPr>
        <w:pStyle w:val="TextBody"/>
        <w:bidi w:val="0"/>
        <w:spacing w:before="0" w:after="0"/>
        <w:jc w:val="left"/>
        <w:rPr/>
      </w:pPr>
      <w:r>
        <w:rPr/>
        <w:t> </w:t>
      </w:r>
    </w:p>
    <w:tbl>
      <w:tblPr>
        <w:tblW w:w="2110" w:type="dxa"/>
        <w:jc w:val="left"/>
        <w:tblInd w:w="0" w:type="dxa"/>
        <w:tblLayout w:type="fixed"/>
        <w:tblCellMar>
          <w:top w:w="0" w:type="dxa"/>
          <w:left w:w="0" w:type="dxa"/>
          <w:bottom w:w="0" w:type="dxa"/>
          <w:right w:w="0" w:type="dxa"/>
        </w:tblCellMar>
      </w:tblPr>
      <w:tblGrid>
        <w:gridCol w:w="75"/>
        <w:gridCol w:w="110"/>
        <w:gridCol w:w="60"/>
        <w:gridCol w:w="18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design of the trial; </w:t>
            </w:r>
          </w:p>
        </w:tc>
      </w:tr>
    </w:tbl>
    <w:p>
      <w:pPr>
        <w:pStyle w:val="TextBody"/>
        <w:bidi w:val="0"/>
        <w:spacing w:before="0" w:after="0"/>
        <w:jc w:val="left"/>
        <w:rPr/>
      </w:pPr>
      <w:r>
        <w:rPr/>
        <w:t> </w:t>
      </w:r>
    </w:p>
    <w:tbl>
      <w:tblPr>
        <w:tblW w:w="9040" w:type="dxa"/>
        <w:jc w:val="left"/>
        <w:tblInd w:w="0" w:type="dxa"/>
        <w:tblLayout w:type="fixed"/>
        <w:tblCellMar>
          <w:top w:w="0" w:type="dxa"/>
          <w:left w:w="0" w:type="dxa"/>
          <w:bottom w:w="0" w:type="dxa"/>
          <w:right w:w="0" w:type="dxa"/>
        </w:tblCellMar>
      </w:tblPr>
      <w:tblGrid>
        <w:gridCol w:w="75"/>
        <w:gridCol w:w="110"/>
        <w:gridCol w:w="60"/>
        <w:gridCol w:w="87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recruit qualified clinical trial investigators with the appropriate competencies and experience;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clinicians’ and patients’ perceptions as to the potential advantages and risks of the product candidate being studied in relation to other available therapies, including any new products that may be approved for the indications we are investigating; </w:t>
            </w:r>
          </w:p>
        </w:tc>
      </w:tr>
    </w:tbl>
    <w:p>
      <w:pPr>
        <w:pStyle w:val="TextBody"/>
        <w:bidi w:val="0"/>
        <w:spacing w:before="0" w:after="0"/>
        <w:jc w:val="left"/>
        <w:rPr/>
      </w:pPr>
      <w:r>
        <w:rPr/>
        <w:t> </w:t>
      </w:r>
    </w:p>
    <w:tbl>
      <w:tblPr>
        <w:tblW w:w="5485" w:type="dxa"/>
        <w:jc w:val="left"/>
        <w:tblInd w:w="0" w:type="dxa"/>
        <w:tblLayout w:type="fixed"/>
        <w:tblCellMar>
          <w:top w:w="0" w:type="dxa"/>
          <w:left w:w="0" w:type="dxa"/>
          <w:bottom w:w="0" w:type="dxa"/>
          <w:right w:w="0" w:type="dxa"/>
        </w:tblCellMar>
      </w:tblPr>
      <w:tblGrid>
        <w:gridCol w:w="75"/>
        <w:gridCol w:w="110"/>
        <w:gridCol w:w="60"/>
        <w:gridCol w:w="52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competing commercially available therapies; </w:t>
            </w:r>
          </w:p>
        </w:tc>
      </w:tr>
    </w:tbl>
    <w:p>
      <w:pPr>
        <w:pStyle w:val="TextBody"/>
        <w:bidi w:val="0"/>
        <w:spacing w:before="0" w:after="0"/>
        <w:jc w:val="left"/>
        <w:rPr/>
      </w:pPr>
      <w:r>
        <w:rPr/>
        <w:t> </w:t>
      </w:r>
    </w:p>
    <w:tbl>
      <w:tblPr>
        <w:tblW w:w="8620" w:type="dxa"/>
        <w:jc w:val="left"/>
        <w:tblInd w:w="0" w:type="dxa"/>
        <w:tblLayout w:type="fixed"/>
        <w:tblCellMar>
          <w:top w:w="0" w:type="dxa"/>
          <w:left w:w="0" w:type="dxa"/>
          <w:bottom w:w="0" w:type="dxa"/>
          <w:right w:w="0" w:type="dxa"/>
        </w:tblCellMar>
      </w:tblPr>
      <w:tblGrid>
        <w:gridCol w:w="75"/>
        <w:gridCol w:w="110"/>
        <w:gridCol w:w="60"/>
        <w:gridCol w:w="83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patient informed consents for participation in our clinical trials;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 that patients enrolled in clinical trials will drop out of the trials before completion or, because they may be late-stage cancer patients, will not survive the full terms of the clinical trials.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our clinical trials will compete with other clinical trials for product candidates that are in the same therapeutic areas as our current and potential future product candidates. It is also likely that we may compete with competitors developing product candidates in the same therapeutic areas for clinical trial sites. This competition will reduce the number and types of patients available to us, because some patients who might have opted to enroll in our trials may instead opt to enroll in a trial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sites. Moreover, because our current and potential future product candidates may represent a departure from more commonly used methods for cancer treatment, potential patients and their doctors may be inclined to use conventional therapies, such as chemotherapy, rather than enroll in our ongoing or any future clinical trial. </w:t>
      </w:r>
    </w:p>
    <w:p>
      <w:pPr>
        <w:pStyle w:val="TextBody"/>
        <w:bidi w:val="0"/>
        <w:spacing w:before="240" w:after="0"/>
        <w:jc w:val="left"/>
        <w:rPr>
          <w:rFonts w:ascii="Times New Roman" w:hAnsi="Times New Roman"/>
          <w:sz w:val="20"/>
        </w:rPr>
      </w:pPr>
      <w:r>
        <w:rPr>
          <w:rFonts w:ascii="Times New Roman" w:hAnsi="Times New Roman"/>
          <w:sz w:val="20"/>
        </w:rPr>
        <w:t xml:space="preserve">Delays or difficulties in patient enrollment may result in increased costs or may affect the timing, outcome, or completion of clinical trials, which would adversely affect our ability to advance the development of the product candidates we develop.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Because the number of subjects included in our clinical trials to date has been small, results from these trials may be less reliable than results achieved in larger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A trial design that is considered appropriate includes a sufficiently large sample size with appropriate statistical power, as well as proper control of bias, to allow a meaningful interpretation of the results. The preliminary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results of trials with smaller sample sizes and heterogeneous patient populations, can be disproportionately influenced by the impact the treatment had on a few individuals, which limits the ability to generalize the results across a broader community, thus making the trial results less reliable than trials with a larger number of subjects and with more homogeneous patient populations. As a result, there may be less certainty that our product candidates would achieve a statistically significant effect in any future clinical trials. As our clinical development progresses, later-stage or larger clinical trials may not achieve statistically significant results or demonstrate the same safety or efficacy profile observed in our earlier clinical trials.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Dependence on and Work with Third Parties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rely, and expect to continue to rely, on third parties, including independent clinical investigators, CROs and contract development manufacturing organizations, or CDMOs, to conduct certain aspects of our preclinical studies and clinical trials. If these third parties do not successfully carry out their contractual duties, comply with applicable regulatory requirements or meet expected deadlines, we may not be able to obtain regulatory approval for or commercialize our current and future product candidates and our business could be substantially harmed. </w:t>
      </w:r>
    </w:p>
    <w:p>
      <w:pPr>
        <w:pStyle w:val="TextBody"/>
        <w:bidi w:val="0"/>
        <w:spacing w:before="120" w:after="0"/>
        <w:jc w:val="left"/>
        <w:rPr>
          <w:rFonts w:ascii="Times New Roman" w:hAnsi="Times New Roman"/>
          <w:sz w:val="20"/>
        </w:rPr>
      </w:pPr>
      <w:r>
        <w:rPr>
          <w:rFonts w:ascii="Times New Roman" w:hAnsi="Times New Roman"/>
          <w:sz w:val="20"/>
        </w:rPr>
        <w:t xml:space="preserve">We have relied upon and plan to continue to rely upon third parties, including independent clinical investigators, third-party CROs and CDMOs to conduct certain aspects of our preclinical studies and clinical trials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the competent authorities of the member states of the European Economic Area, or EEA, and comparable foreign regulatory authorities for our current and future product candidates in clinical development. Regulatory authorities enforce these GCPs through periodic inspections of trial sponsors, principal investigators and trial sites. If we or any of these third parties or our CROs fail to comply with applicable GCPs, the clinical data generated in our clinical trials may be deemed unreliable and the FDA, the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the product candidate produced under the FDA’s current good manufacturing practice, or cGMP, regulations or similar foreign regulations. Our failure to comply with these regulations may require us to repeat clinical trials, which would delay the regulatory approval process. </w:t>
      </w:r>
    </w:p>
    <w:p>
      <w:pPr>
        <w:pStyle w:val="TextBody"/>
        <w:bidi w:val="0"/>
        <w:spacing w:before="240" w:after="0"/>
        <w:jc w:val="left"/>
        <w:rPr>
          <w:rFonts w:ascii="Times New Roman" w:hAnsi="Times New Roman"/>
          <w:sz w:val="20"/>
        </w:rPr>
      </w:pPr>
      <w:r>
        <w:rPr>
          <w:rFonts w:ascii="Times New Roman" w:hAnsi="Times New Roman"/>
          <w:sz w:val="20"/>
        </w:rPr>
        <w:t xml:space="preserve">Further, these investigators and CROs are not our employees and we will not be able to control, other than by contract, the amount of resources, including time, which they devote to our current and future product candidates and clinical trials. These third parties may also have relationships with other commercial entities, including our competitors, for whom they may also be conducting clinical trials or other product development activities, which could affect their performance on our behalf. If independent investigators or CROs fail to devote sufficient resources to the development of our current and future product candidates, or if their performance is substandard, it may delay or compromise the prospects for approval and commercialization of any product candidates that we develop. In addition, the use of third-party service providers may require us to disclose our proprietary information to these parties, which could increase the risk that this information will be misappropriated. </w:t>
      </w:r>
    </w:p>
    <w:p>
      <w:pPr>
        <w:pStyle w:val="TextBody"/>
        <w:bidi w:val="0"/>
        <w:spacing w:before="240" w:after="0"/>
        <w:jc w:val="left"/>
        <w:rPr>
          <w:rFonts w:ascii="Times New Roman" w:hAnsi="Times New Roman"/>
          <w:sz w:val="20"/>
        </w:rPr>
      </w:pPr>
      <w:r>
        <w:rPr>
          <w:rFonts w:ascii="Times New Roman" w:hAnsi="Times New Roman"/>
          <w:sz w:val="20"/>
        </w:rPr>
        <w:t xml:space="preserve">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any of our relationships with these third-party CROs terminate, we may not be able to enter into arrangements with alternative CROs or to do so on commercially reasonable terms. If CROs do not successfully carry out their contractual duties or obligations, comply with applicable regulatory requirements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 and any of our future product candidates. As a result, our results of operations and the commercial prospects for our product candidate or any future product candidates would be harmed, our costs could increase, and our ability to generate revenues could be delayed. </w:t>
      </w:r>
    </w:p>
    <w:p>
      <w:pPr>
        <w:pStyle w:val="TextBody"/>
        <w:bidi w:val="0"/>
        <w:spacing w:before="240" w:after="0"/>
        <w:jc w:val="left"/>
        <w:rPr>
          <w:rFonts w:ascii="Times New Roman" w:hAnsi="Times New Roman"/>
          <w:sz w:val="20"/>
        </w:rPr>
      </w:pPr>
      <w:r>
        <w:rPr>
          <w:rFonts w:ascii="Times New Roman" w:hAnsi="Times New Roman"/>
          <w:sz w:val="20"/>
        </w:rPr>
        <w:t xml:space="preserve">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Additionally, CROs may lack the capacity to absorb higher workloads or take on additional capacity to support our needs.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depend on other third-party collaborators for the discovery, development, and commercialization of certain of our current and future product candidates. If our collaborations are not successful, we may not be able to capitalize on the market potential of these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We have formed, and in the future, we may form or seek strategic alliances, joint ventures, or collaborations, or enter into licensing arrangements with third parties that we believe will complement or augment our development and commercialization efforts with respect to product candidates we develop. Such potential future collaborations involving our product candidates may pose various risks to us,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have significant discretion in determining the efforts and resources that they will apply to these collaborations and collaborators may not perform their obligations as expected. In some situations, we may not be able to influence our collaborators’ decisions regarding the development of our product candidates, and as a result, our collaborators may not pursue or prioritize the development of those product candidates in a manner that is in our best interest or that we agree with;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collaborators could independently develop, or develop with third parties, products that compete directly or indirectly with our products or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not properly obtain, enforce, maintain, or defend our intellectual property rights or proprietary rights or may use our proprietary information in a way that gives rise to actual or threatened litigation or that could jeopardize or invalidate our intellectual property or proprietary information, exposing us to potential litigation or other intellectual property proceedings;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infringe the intellectual property rights of third parties, which may expose us to litigation and potential liability;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disputes may arise between a collaborator and us that cause the delay or termination of the research, development, or commercialization of the product candidate, or that result in costly litigation or arbitration that diverts management attention and resources. Such disputes may also impact our intellectual property ownership and other rights;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collaborator with marketing and distribution rights to our product candidates that achieve regulatory approval may not commit sufficient resources to the marketing and distribution of such products;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fail to comply with applicable regulatory requirements regarding the development, manufacture, distribution or marketing of the product candidate, potentially leading to regulatory investigations or proceedings that may slow down product development;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delay clinical trials, provide insufficient funding or resources for clinical trials or marketing and distribution of a product, stop a clinical trial, abandon a product candidate or repeat or conduct new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lose certain valuable rights under circumstances identified in our collaborations, including if we undergo a change of control;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 present or future collaborator of ours were to be involved in a business combination, the continued pursuit and emphasis on our product development or commercialization program under such collaboration could be delayed, diminished, or terminated; and </w:t>
            </w:r>
          </w:p>
        </w:tc>
      </w:tr>
    </w:tbl>
    <w:p>
      <w:pPr>
        <w:pStyle w:val="TextBody"/>
        <w:bidi w:val="0"/>
        <w:spacing w:before="0" w:after="0"/>
        <w:jc w:val="left"/>
        <w:rPr/>
      </w:pPr>
      <w:r>
        <w:rPr/>
        <w:t> </w:t>
      </w:r>
    </w:p>
    <w:tbl>
      <w:tblPr>
        <w:tblW w:w="8155" w:type="dxa"/>
        <w:jc w:val="left"/>
        <w:tblInd w:w="0" w:type="dxa"/>
        <w:tblLayout w:type="fixed"/>
        <w:tblCellMar>
          <w:top w:w="0" w:type="dxa"/>
          <w:left w:w="0" w:type="dxa"/>
          <w:bottom w:w="0" w:type="dxa"/>
          <w:right w:w="0" w:type="dxa"/>
        </w:tblCellMar>
      </w:tblPr>
      <w:tblGrid>
        <w:gridCol w:w="75"/>
        <w:gridCol w:w="110"/>
        <w:gridCol w:w="60"/>
        <w:gridCol w:w="79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collaboration agreements may restrict our right to independently pursue new product candidates.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enter into collaboration agreements and strategic partnerships or license our intellectual property, products, or businesses, we may not be able to realize the benefit of such transactions if we are unable to successfully integrate them with our existing operations, which could delay our timelines or otherwise adversely affect our business. We also cannot be certain that, following a strategic transaction or license, we will achieve the revenue or net income that justifies the entry into such transaction. Any of the factors set forth above, among others, could delay the development and commercialization of our product candidate, which would harm our business prospects,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seek to establish collaborations, and, if we are not able to establish them on commercially reasonable terms, we may have to alter our development and commercialization plans. </w:t>
      </w:r>
    </w:p>
    <w:p>
      <w:pPr>
        <w:pStyle w:val="TextBody"/>
        <w:bidi w:val="0"/>
        <w:spacing w:before="120" w:after="0"/>
        <w:jc w:val="left"/>
        <w:rPr>
          <w:rFonts w:ascii="Times New Roman" w:hAnsi="Times New Roman"/>
          <w:sz w:val="20"/>
        </w:rPr>
      </w:pPr>
      <w:r>
        <w:rPr>
          <w:rFonts w:ascii="Times New Roman" w:hAnsi="Times New Roman"/>
          <w:sz w:val="20"/>
        </w:rPr>
        <w:t xml:space="preserve">The advancement of our product candidate and development programs and the potential commercialization of our current and future product candidates will require substantial additional cash to fund expenses. For some of our current or future product candidates, we may decide to collaborate with pharmaceutical and biotechnology companies with respect to development and potential commercialization. Any of these relationships may require us to incur non-recurring and other charges, increase our near- and long-term expenditures, issue securities that dilute our existing stockholders, or disrupt our management and business. </w:t>
      </w:r>
    </w:p>
    <w:p>
      <w:pPr>
        <w:pStyle w:val="TextBody"/>
        <w:bidi w:val="0"/>
        <w:spacing w:before="240" w:after="0"/>
        <w:jc w:val="left"/>
        <w:rPr>
          <w:rFonts w:ascii="Times New Roman" w:hAnsi="Times New Roman"/>
          <w:sz w:val="20"/>
        </w:rPr>
      </w:pPr>
      <w:r>
        <w:rPr>
          <w:rFonts w:ascii="Times New Roman" w:hAnsi="Times New Roman"/>
          <w:sz w:val="20"/>
        </w:rPr>
        <w:t xml:space="preserve">We face significant competition in seeking appropriate collaborators and the negotiation process is time-consuming and complex. Whether we reach a definitive agreement for other collaborations will depend, among other things, upon our assessment of the collaborator’s resources and expertise, the terms and conditions of the proposed collaboration and the collaborator’s evaluation of a number of factors. Those factors may include the design or results of clinical trials, the progress of our clinical trials, the likelihood of approval by the FDA, the EMA,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collaboration or other arrangements that we may establish may not be favorable to us. </w:t>
      </w:r>
    </w:p>
    <w:p>
      <w:pPr>
        <w:pStyle w:val="TextBody"/>
        <w:bidi w:val="0"/>
        <w:spacing w:before="240" w:after="0"/>
        <w:jc w:val="left"/>
        <w:rPr>
          <w:rFonts w:ascii="Times New Roman" w:hAnsi="Times New Roman"/>
          <w:sz w:val="20"/>
        </w:rPr>
      </w:pPr>
      <w:r>
        <w:rPr>
          <w:rFonts w:ascii="Times New Roman" w:hAnsi="Times New Roman"/>
          <w:sz w:val="20"/>
        </w:rPr>
        <w:t xml:space="preserve">Further, we may not be successful in our efforts to establish a strategic partnership or other alternative arrangements for future product candidates because they may be deemed to be at too early of a stage of development for collaborative effort and third parties may not view them as having the requisite potential to demonstrate safety and efficacy. </w:t>
      </w:r>
    </w:p>
    <w:p>
      <w:pPr>
        <w:pStyle w:val="TextBody"/>
        <w:bidi w:val="0"/>
        <w:spacing w:before="240" w:after="0"/>
        <w:jc w:val="left"/>
        <w:rPr>
          <w:rFonts w:ascii="Times New Roman" w:hAnsi="Times New Roman"/>
          <w:sz w:val="20"/>
        </w:rPr>
      </w:pPr>
      <w:r>
        <w:rPr>
          <w:rFonts w:ascii="Times New Roman" w:hAnsi="Times New Roman"/>
          <w:sz w:val="20"/>
        </w:rPr>
        <w:t xml:space="preserve">We may also be restricted under existing collaboration agreements from entering into future agreements on certain terms with potential collaborators. Such exclusivity could limit our ability to enter into strategic collaborations with future collaborators. In addition, there have been a significant number of recent business combinations among large pharmaceutical companies that have resulted in a reduced number of potential future collaborators.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marketing or sales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 or any future product candidates or bring them to market and generate product revenue. </w:t>
      </w:r>
    </w:p>
    <w:p>
      <w:pPr>
        <w:pStyle w:val="TextBody"/>
        <w:bidi w:val="0"/>
        <w:spacing w:before="240" w:after="0"/>
        <w:jc w:val="left"/>
        <w:rPr>
          <w:rFonts w:ascii="Times New Roman" w:hAnsi="Times New Roman"/>
          <w:sz w:val="20"/>
        </w:rPr>
      </w:pPr>
      <w:r>
        <w:rPr>
          <w:rFonts w:ascii="Times New Roman" w:hAnsi="Times New Roman"/>
          <w:sz w:val="20"/>
        </w:rPr>
        <w:t xml:space="preserve">In addition, any future collaboration that we enter into may not be successful. The success of future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can often be terminated by the other party. Any such termination or expiration would adversely affect us financially and could harm our business reputation.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required to pay substantial royalty and milestone payments under our license agreement with M.D. Anderson, and we must also meet certain development milestones to maintain our license rights. </w:t>
      </w:r>
    </w:p>
    <w:p>
      <w:pPr>
        <w:pStyle w:val="TextBody"/>
        <w:bidi w:val="0"/>
        <w:spacing w:before="120" w:after="0"/>
        <w:jc w:val="left"/>
        <w:rPr>
          <w:rFonts w:ascii="Times New Roman" w:hAnsi="Times New Roman"/>
          <w:sz w:val="20"/>
        </w:rPr>
      </w:pPr>
      <w:r>
        <w:rPr>
          <w:rFonts w:ascii="Times New Roman" w:hAnsi="Times New Roman"/>
          <w:sz w:val="20"/>
        </w:rPr>
        <w:t xml:space="preserve">In October 2021, we entered into a license agreement with The Board of Regents, or the Board of Regents, of The University of Texas System, on behalf of M.D. Anderson Cancer Center, or M.D. Anderson, for our engineered TIL cell therapy, or the M.D. Anderson License Agreement. Under the M.D. Anderson License Agreement, we are required to pay both substantial milestone payments and royalties to M.D. Anderson based on the net sales of our products utilizing the licensed technologies. These payments could adversely affect the overall profitability for use of any products that we may seek to commercialize under the M.D. Anderson License Agreement. In order to maintain our license rights under the M.D. Anderson License Agreement, we also need to meet certain specified development milestones, subject to certain cure or extension provisions. There is no assurance that we will continue to be able to meet these development milestones on a timely basis, or at all.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Manufacturing of Our Product Candidates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currently rely on and expect to continue to rely on a network of third-party suppliers and other third parties for production of our current and future product candidates including TIL products and viral vectors as well as custom critical materials such as anti-41BB and iFeeders, and our dependence on these third parties may impair the advancement of our research and development programs and the development of our current and future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We rely on and expect to continue to rely on a network of third-party CDMOs for the supply of cGMP-grade clinical trial materials and commercial quantities of our current and future product candidates as well as custom critical materials. Specifically, we collaborate with a network of leading CDMOs to manufacture amsoki-cel, including membrane-bound IL15 carbonic anhydrase 2, or mbIL15-CA2, DRD, viral vector, anti-41BB and iFeeders. Reliance on a network of third-party providers may expose us to more risk than if we were to manufacture our product candidates and the associated critical materials ourselves. The facilities used by our CDMOs to manufacture our engineered TIL candidates and the associated materials must be approved by the FDA and foreign regulatory authorities pursuant to inspections that will be conducted after we submit our BLA to the FDA, or similar applications to foreign regulatory authorities. We have limited control over the manufacturing process of, and beyond contractual terms, we are largely dependent on our CDMOs for compliance with cGMP, and applicable product tracking and tracing requirements, or similar foreign requirements for the manufacture of our product candidate. If our CDMOs cannot successfully manufacture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material that conforms to our specifications and the strict regulatory requirements of the FDA or comparable foreign regulatory authorities, or are unable to do so in a timely manner, they may not be able to secure or maintain regulatory approval for their manufacturing facilities and could result in delay of our ability to obtain marketing authorization of our current and future product candidates. In addition, we have limited control over the ability of our CDMOs to maintain adequate quality control, quality assurance and qualified personnel. If the FDA or a comparable foreign regulatory authority does not approve these facilities for the manufacture of our current and future product candidates or if it withdraws any such approval in the future, we may need to find alternative manufacturing facilities, which would significantly impact our ability to develop, obtain regulatory approval for, or if approved, market our product candidate. In addition, any failure to achieve and maintain compliance with these laws, regulations, and standards could subject us to the risk that we may have to suspend the manufacturing of our product candidate or that obtained approvals could be revoked, which would adversely affect our business and reputation. Furthermore, third-party providers may breach existing agreements they have with us because of factors beyond our control. They may also terminate or refuse to renew their agreement with us because of their own financial difficulties or business priorities, at a time that is costly or otherwise inconvenient for us. If we were unable to find an adequate replacement or another acceptable solution in time, our clinical trials could be delayed or our commercial activities could be harmed. Any such changes could cause our current and future product candidates to perform differently and affect the results of clinical trials conducted with the altered materials, and limit our ability to rely on data from clinical trials conducted with an earlier version of our product candidates. In addition, the fact that we are dependent on our collaborators, our CDMOs, and other third parties for the manufacture, filling, storage, and distribution of our current and future product candidates means that we are subject to the risk that the products may have manufacturing defects that we have limited ability to prevent or control. The sale of products containing such defects could adversely affect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We rely on our CDMOs to purchase from third-party suppliers the materials necessary to produce our current product candidate for our clinical trials, and will rely on our existing and future collaborators to purchase from third-party suppliers the materials necessary to develop and produce our product candidates for future clinical trials and, upon approval, our products for commercialization. </w:t>
      </w:r>
    </w:p>
    <w:p>
      <w:pPr>
        <w:pStyle w:val="TextBody"/>
        <w:bidi w:val="0"/>
        <w:spacing w:before="240" w:after="0"/>
        <w:jc w:val="left"/>
        <w:rPr>
          <w:rFonts w:ascii="Times New Roman" w:hAnsi="Times New Roman"/>
          <w:sz w:val="20"/>
        </w:rPr>
      </w:pPr>
      <w:r>
        <w:rPr>
          <w:rFonts w:ascii="Times New Roman" w:hAnsi="Times New Roman"/>
          <w:sz w:val="20"/>
        </w:rPr>
        <w:t xml:space="preserve">Moreover, if approved, we intend to rely on third parties to produce commercial supplies of our engineered TIL candidates and viral vectors as well as custom critical materials such as anti-41BB and iFeeders. Our commercialization of any of our product candidate could be stopped, delayed, or made less profitable if those third parties fail to obtain approval of the FDA or comparable foreign regulatory authorities following inspection of their facilities and procedures to manufacture our product candidate and products, fail to provide us with sufficient quantities of product or product components and materials, or fail to do so at acceptable timing, quality levels, or prices, or fail to otherwise complete their duties in compliance with their obligations to us or other parties.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dependent on a limited number of suppliers and, in some instances, a sole supplier, for some of our components and materials used in our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There are a limited number of suppliers for raw materials that we use to manufacture our product candidates and there may be a need to assess alternate suppliers to prevent a possible disruption of the manufacture of the materials necessary to produce our product candidate for our clinical trials, and if approved, ultimately for commercial sale. Apart from contractual measures, we do not have any control over the process or timing of the acquisition of these raw materials by our manufacturers or manufacturers paid by our collaborators. Moreover, we currently do not have any agreements for the commercial production of these raw materials. Although we generally do not begin a clinical trial unless we believe we have a sufficient supply of our product candidate to complete the clinical trial or have secured resupply capacity, any significant delay in the supply of our product candidate, or the raw material components thereof, for a planned or an ongoing clinical trial due to the need to replace a third-party manufacturer could considerably delay completion of our clinical trials, product testing, and potential regulatory approval of our product candidate.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the manufacturing of our product candidate is expensive and time-consuming. If we are successful in obtaining regulatory approval for any of our product candidates, we might have limited quantities of such product candidates available to us in connection with a potential commercial launch, and these supplies may be further limited by our ongoing clinical development activities. If our manufacturers, collaborators or we are unable to purchase or produce sufficient quantities of raw materials or of our product candidate after regulatory approval has been obtained for our product candidate, the commercial launch of our product candidate could be delayed or there could be a shortage in supply, which in either case, would impair our ability to generate revenues from the sale of our product candidate. </w:t>
      </w:r>
    </w:p>
    <w:p>
      <w:pPr>
        <w:pStyle w:val="TextBody"/>
        <w:bidi w:val="0"/>
        <w:spacing w:before="240" w:after="0"/>
        <w:jc w:val="left"/>
        <w:rPr>
          <w:rFonts w:ascii="Times New Roman" w:hAnsi="Times New Roman"/>
          <w:sz w:val="20"/>
        </w:rPr>
      </w:pPr>
      <w:r>
        <w:rPr>
          <w:rFonts w:ascii="Times New Roman" w:hAnsi="Times New Roman"/>
          <w:sz w:val="20"/>
        </w:rPr>
        <w:t xml:space="preserve">We rely on our manufacturers and other subcontractors to comply with and respect the proprietary rights of others in conducting their contractual obligations for us. If our manufacturers or other subcontractors fail to acquire the proper licenses or otherwise infringe third-party proprietary rights in the course of completing their contractual obligations to us, we may have to find alternative manufacturers or defend against claims of infringement, either of which would significantly impact our ability to develop, obtain regulatory approval for, or market our product candidate, if approved.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operations of our suppliers are subject to additional risks that are beyond our control and that could harm our business, financial condition, results of operations and prospects. </w:t>
      </w:r>
    </w:p>
    <w:p>
      <w:pPr>
        <w:pStyle w:val="TextBody"/>
        <w:bidi w:val="0"/>
        <w:spacing w:before="120" w:after="0"/>
        <w:jc w:val="left"/>
        <w:rPr>
          <w:rFonts w:ascii="Times New Roman" w:hAnsi="Times New Roman"/>
          <w:sz w:val="20"/>
        </w:rPr>
      </w:pPr>
      <w:r>
        <w:rPr>
          <w:rFonts w:ascii="Times New Roman" w:hAnsi="Times New Roman"/>
          <w:sz w:val="20"/>
        </w:rPr>
        <w:t xml:space="preserve">We currently rely on and engage third-party manufacturers to provide critical raw materials, all of the active pharmaceutical ingredients, or APIs, and the final drug product formulation of our product candidate that are being used in our clinical trials and preclinical studies. If a replacement manufacturer became necessary in the future, we may incur added costs and delays in identifying and qualifying another manufacturer. As a result of our global suppliers, we may be subject to risks associated with doing business abroad,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geopolitical tensions, political unrest, terrorism, labor disputes, and economic instability resulting in the disruption of trade from foreign countries in which our products are manufactured;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imposition of new laws and regulations, including those relating to labor conditions, quality, and safety standards, information and data transfer, imports, duties, taxes, and other charges on imports, as well as trade restrictions and restrictions on currency exchange or the transfer of funds, particularly new or increased tariffs imposed on imports from countries where our suppliers operate,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greater challenges and increased costs with enforcing and periodically auditing or reviewing our suppliers’ and manufacturers’ compliance with cGMPs, and the FDA’s current good tissue practices (cGTPs), as applicable, or status acceptable to the FDA or comparable foreign regulatory authorities; </w:t>
            </w:r>
          </w:p>
        </w:tc>
      </w:tr>
    </w:tbl>
    <w:p>
      <w:pPr>
        <w:pStyle w:val="TextBody"/>
        <w:bidi w:val="0"/>
        <w:spacing w:before="0" w:after="0"/>
        <w:jc w:val="left"/>
        <w:rPr/>
      </w:pPr>
      <w:r>
        <w:rPr/>
        <w:t> </w:t>
      </w:r>
    </w:p>
    <w:tbl>
      <w:tblPr>
        <w:tblW w:w="8545" w:type="dxa"/>
        <w:jc w:val="left"/>
        <w:tblInd w:w="0" w:type="dxa"/>
        <w:tblLayout w:type="fixed"/>
        <w:tblCellMar>
          <w:top w:w="0" w:type="dxa"/>
          <w:left w:w="0" w:type="dxa"/>
          <w:bottom w:w="0" w:type="dxa"/>
          <w:right w:w="0" w:type="dxa"/>
        </w:tblCellMar>
      </w:tblPr>
      <w:tblGrid>
        <w:gridCol w:w="75"/>
        <w:gridCol w:w="110"/>
        <w:gridCol w:w="60"/>
        <w:gridCol w:w="83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reduced protection for intellectual property rights, including trademark protection, in some countries;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disruptions in operations due to global, regional, or local epidemics, pandemics, public health crises or other emergencies or natural disasters; </w:t>
            </w:r>
          </w:p>
        </w:tc>
      </w:tr>
    </w:tbl>
    <w:p>
      <w:pPr>
        <w:pStyle w:val="TextBody"/>
        <w:bidi w:val="0"/>
        <w:spacing w:before="0" w:after="0"/>
        <w:jc w:val="left"/>
        <w:rPr/>
      </w:pPr>
      <w:r>
        <w:rPr/>
        <w:t> </w:t>
      </w:r>
    </w:p>
    <w:tbl>
      <w:tblPr>
        <w:tblW w:w="3505" w:type="dxa"/>
        <w:jc w:val="left"/>
        <w:tblInd w:w="0" w:type="dxa"/>
        <w:tblLayout w:type="fixed"/>
        <w:tblCellMar>
          <w:top w:w="0" w:type="dxa"/>
          <w:left w:w="0" w:type="dxa"/>
          <w:bottom w:w="0" w:type="dxa"/>
          <w:right w:w="0" w:type="dxa"/>
        </w:tblCellMar>
      </w:tblPr>
      <w:tblGrid>
        <w:gridCol w:w="75"/>
        <w:gridCol w:w="110"/>
        <w:gridCol w:w="60"/>
        <w:gridCol w:w="32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disruptions or delays in shipments; and </w:t>
            </w:r>
          </w:p>
        </w:tc>
      </w:tr>
    </w:tbl>
    <w:p>
      <w:pPr>
        <w:pStyle w:val="TextBody"/>
        <w:bidi w:val="0"/>
        <w:spacing w:before="0" w:after="0"/>
        <w:jc w:val="left"/>
        <w:rPr/>
      </w:pPr>
      <w:r>
        <w:rPr/>
        <w:t> </w:t>
      </w:r>
    </w:p>
    <w:tbl>
      <w:tblPr>
        <w:tblW w:w="8395" w:type="dxa"/>
        <w:jc w:val="left"/>
        <w:tblInd w:w="0" w:type="dxa"/>
        <w:tblLayout w:type="fixed"/>
        <w:tblCellMar>
          <w:top w:w="0" w:type="dxa"/>
          <w:left w:w="0" w:type="dxa"/>
          <w:bottom w:w="0" w:type="dxa"/>
          <w:right w:w="0" w:type="dxa"/>
        </w:tblCellMar>
      </w:tblPr>
      <w:tblGrid>
        <w:gridCol w:w="75"/>
        <w:gridCol w:w="110"/>
        <w:gridCol w:w="60"/>
        <w:gridCol w:w="81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local economic conditions in countries where our manufacturers or suppliers are located.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National Defense Authorization Act for Fiscal Year 2026 enacted in December 2025 includes a section titled, “Prohibition on Contracting with Certain Biotechnology Providers,” also known as the BIOSECURE Act, aimed at discouraging federal contracting with certain biotechnology companies for biotechnology equipment or services in China and other countries of concern. The statute prohibits federal executive agencies from procuring any biotechnology equipment or service from a biotechnology company of concern, or BCC, or contracting with any such company or any entity that procures or uses equipment or services from a BCC. Any company on the Department of Defense’s Chinese Military Companies List (1260H list) is considered a BCC under the new law and the White House Office of Management and Budget also is empowered to designate companies as BCCs based on consultations with Cabinet Secretaries and other key leaders from the executive branch. This legislation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may have the effect of restricting the ability of biopharmaceutical companies that enter into contracts with or receive funding from U.S. federal agencies from purchasing services or equipment from certain and other foreign Chinese biotechnology companies. </w:t>
      </w:r>
    </w:p>
    <w:p>
      <w:pPr>
        <w:pStyle w:val="TextBody"/>
        <w:bidi w:val="0"/>
        <w:spacing w:before="240" w:after="0"/>
        <w:jc w:val="left"/>
        <w:rPr>
          <w:rFonts w:ascii="Times New Roman" w:hAnsi="Times New Roman"/>
          <w:sz w:val="20"/>
        </w:rPr>
      </w:pPr>
      <w:r>
        <w:rPr>
          <w:rFonts w:ascii="Times New Roman" w:hAnsi="Times New Roman"/>
          <w:sz w:val="20"/>
        </w:rPr>
        <w:t xml:space="preserve">These and other factors beyond our control could interrupt our suppliers’ production, influence the ability of our suppliers to export our clinical supplies cost-effectively or at all, and inhibit our supplier’s ability to procure certain materials, any of which could delay our clinical trials or otherwise harm our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methods of product candidate manufacturing or formulation may result in additional costs or delay. </w:t>
      </w:r>
    </w:p>
    <w:p>
      <w:pPr>
        <w:pStyle w:val="TextBody"/>
        <w:bidi w:val="0"/>
        <w:spacing w:before="120" w:after="0"/>
        <w:jc w:val="left"/>
        <w:rPr>
          <w:rFonts w:ascii="Times New Roman" w:hAnsi="Times New Roman"/>
          <w:sz w:val="20"/>
        </w:rPr>
      </w:pPr>
      <w:r>
        <w:rPr>
          <w:rFonts w:ascii="Times New Roman" w:hAnsi="Times New Roman"/>
          <w:sz w:val="20"/>
        </w:rPr>
        <w:t xml:space="preserve">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results. In addition, we will likely need to change or expand our CDMO network for manufacturing our product candidates to one that can support commercial-scale manufacturing. Such changes carry the risk that they will not achieve these intended objectives. Any of these changes could cause our product candidate to perform differently and affect the results of planned clinical trials or other future clinical trials conducted with the materials manufactured using altered processes.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 and jeopardize our ability to commence sales, if approved, and generate revenue.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multiple manufacturing risks, any of which could substantially increase our costs and limit supply of our product candidate. </w:t>
      </w:r>
    </w:p>
    <w:p>
      <w:pPr>
        <w:pStyle w:val="TextBody"/>
        <w:bidi w:val="0"/>
        <w:spacing w:before="120" w:after="0"/>
        <w:jc w:val="left"/>
        <w:rPr>
          <w:rFonts w:ascii="Times New Roman" w:hAnsi="Times New Roman"/>
          <w:sz w:val="20"/>
        </w:rPr>
      </w:pPr>
      <w:r>
        <w:rPr>
          <w:rFonts w:ascii="Times New Roman" w:hAnsi="Times New Roman"/>
          <w:sz w:val="20"/>
        </w:rPr>
        <w:t xml:space="preserve">The process of manufacturing our engineered TIL product candidates is complex, time-consuming, highly regulated, and subject to several risks,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manufacturing cellular therapies is complicated and tightly regulated by the FDA and comparable regulatory authorities around the world, and although alternative third-party suppliers with the necessary manufacturing and regulatory expertise and facilities exist, it could be expensive and take a significant amount of time to arrange for alternative suppliers, transfer manufacturing procedures to these alternative suppliers, and demonstrate comparability of material produced by such new suppliers. New manufacturers of any product candidate or intermediate would be required to qualify under applicable regulatory requirements. These manufacturers may not be able to manufacture our product candidates at costs, or in sufficient quantities, or in a timely manner necessary to complete development of our product candidates or make commercially successful products. If we are unable to arrange for alternative third-party manufacturing sources, or to do so on commercially reasonable terms or in a timely manner, we may not be able to complete development of our product candidates, or market or distribute them. In addition, should the FDA or comparable regulatory authorities not agree with our product candidate specifications and comparability assessments for these materials, further clinical development of our product candidates could be substantially delayed and we would incur substantial additional expenses.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product loss during the manufacturing process, including loss caused by contamination, equipment failure or improper installation or operation of equipment, or operator error. Even minor deviations from normal manufacturing processes could result in reduced production yields, product defects, and other supply disruptions. If microbial, viral, or other contaminations are discovered in our products or in the manufacturing facilities in which our products are made, such manufacturing facilities may need to be closed for an extended period of time to investigate and remedy the contamination;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will likely need to expand our CDMO network for manufacturing our product candidate to meet clinical and commercial demand;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will need to expand and develop relationships with suppliers of critical starting materials or reagents, increase the scale of production and demonstrate comparability of the material produced at these facilities to the material that was previously produced. Transferring manufacturing processes and know-how is complex and involves review and incorporation of both documented and undocumented knowledge that may have evolved over time. In addition, transferring production to different facilities may require utilization of new or different processes to meet the specific requirements of a given facility. We would expect additional comparability work will also need to be conducted to support the transfer of certain manufacturing processes and process improvements. We cannot be certain that all relevant know-how and data have been adequately incorporated into the manufacturing process until the completion of studies and the related evaluations intended to demonstrate the comparability. If we are not able to successfully transfer and produce comparable product candidates, our ability to further develop and manufacture our product candidates may be negatively impacted;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manufacturing facilities in which our products are made could be adversely affected by equipment failures, labor and raw material shortages, natural disasters, power failures, and numerous other factors; </w:t>
            </w:r>
          </w:p>
        </w:tc>
      </w:tr>
    </w:tbl>
    <w:p>
      <w:pPr>
        <w:pStyle w:val="TextBody"/>
        <w:bidi w:val="0"/>
        <w:spacing w:before="0" w:after="0"/>
        <w:jc w:val="left"/>
        <w:rPr/>
      </w:pPr>
      <w:r>
        <w:rPr/>
        <w:t> </w:t>
      </w:r>
    </w:p>
    <w:tbl>
      <w:tblPr>
        <w:tblW w:w="7495" w:type="dxa"/>
        <w:jc w:val="left"/>
        <w:tblInd w:w="0" w:type="dxa"/>
        <w:tblLayout w:type="fixed"/>
        <w:tblCellMar>
          <w:top w:w="0" w:type="dxa"/>
          <w:left w:w="0" w:type="dxa"/>
          <w:bottom w:w="0" w:type="dxa"/>
          <w:right w:w="0" w:type="dxa"/>
        </w:tblCellMar>
      </w:tblPr>
      <w:tblGrid>
        <w:gridCol w:w="75"/>
        <w:gridCol w:w="110"/>
        <w:gridCol w:w="60"/>
        <w:gridCol w:w="72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differences in tumor procurement across sites may give us a suboptimal starting material; </w:t>
            </w:r>
          </w:p>
        </w:tc>
      </w:tr>
    </w:tbl>
    <w:p>
      <w:pPr>
        <w:pStyle w:val="TextBody"/>
        <w:bidi w:val="0"/>
        <w:spacing w:before="0" w:after="0"/>
        <w:jc w:val="left"/>
        <w:rPr/>
      </w:pPr>
      <w:r>
        <w:rPr/>
        <w:t> </w:t>
      </w:r>
    </w:p>
    <w:tbl>
      <w:tblPr>
        <w:tblW w:w="6805" w:type="dxa"/>
        <w:jc w:val="left"/>
        <w:tblInd w:w="0" w:type="dxa"/>
        <w:tblLayout w:type="fixed"/>
        <w:tblCellMar>
          <w:top w:w="0" w:type="dxa"/>
          <w:left w:w="0" w:type="dxa"/>
          <w:bottom w:w="0" w:type="dxa"/>
          <w:right w:w="0" w:type="dxa"/>
        </w:tblCellMar>
      </w:tblPr>
      <w:tblGrid>
        <w:gridCol w:w="75"/>
        <w:gridCol w:w="110"/>
        <w:gridCol w:w="60"/>
        <w:gridCol w:w="65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it may be difficult to meet comparability standards across multiple CDMOs;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adverse developments affecting manufacturing operations for our products may result in shipment delays, inventory shortages, lot failures, product withdrawals or recalls, or other interruptions in the supply of our products. We may also have to take inventory write-offs and incur other charges and expenses for products that fail to meet specifications, undertake costly remediation efforts, or seek more costly manufacturing alternatives.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Amsoki-cel comprises a live cell suspension of autologous TIL derived from the patient’s tumor that have been engineered to express mbIL15. As an autologous cell therapy, the manufacture of amsoki-cel involves complex processes, including tumor collection, tumor processing, pre-Rapid Expansion Protocol, or Pre-REP, harvest, cryopreservation, storage in liquid nitrogen, or LN2, Pre-REP thaw, activation, transduction, Rapid Expansion Protocol, or REP, harvest, and cryopreservation, LN2 storage, quality testing and release, LN2 shipment, clinical site receipt, thaw and patient administration. Our manufacturing process may be susceptible to product loss or failure due to logistical issues associated with collection of the patients’ tumor materials, shipping such material to the manufacturing site, shipping the final product back to the patient, and infusing the patient with the finished cell therapy product. Product loss or failure may also be caused by manufacturing issues associated with the variability in patient starting material, differences in tumor procurement across clinical sites, interruptions in the manufacturing process, contamination, equipment or utility failure, assay failures, improper installation or operation of equipment, vendor or operator error, GMP issues, inconsistency in cell growth, and variability in product characteristics. Even minor deviations from normal manufacturing processes could result in reduced production yields, product defects, and other supply disruptions. </w:t>
      </w:r>
    </w:p>
    <w:p>
      <w:pPr>
        <w:pStyle w:val="TextBody"/>
        <w:bidi w:val="0"/>
        <w:spacing w:before="240" w:after="0"/>
        <w:jc w:val="left"/>
        <w:rPr>
          <w:rFonts w:ascii="Times New Roman" w:hAnsi="Times New Roman"/>
          <w:sz w:val="20"/>
        </w:rPr>
      </w:pPr>
      <w:r>
        <w:rPr>
          <w:rFonts w:ascii="Times New Roman" w:hAnsi="Times New Roman"/>
          <w:sz w:val="20"/>
        </w:rPr>
        <w:t xml:space="preserve">We may also make changes to our manufacturing processes at various points during development, for a number of reasons, such as improving process performance, introducing new raw materials, decreasing processing time, increasing manufacturing success rate, costs improvement, achieving scale, or other reasons. Such changes carry the risk that they will not achieve their intended objectives, and any of these changes could cause our product candidate to perform differently and affect the results of our ongoing or future clinical trials. In some circumstances, changes in the manufacturing process may require us to perform ex vivo comparability studies and to collect additional data from patients prior to undertaking more advanced clinical trials. For instance, changes in our process during the course of clinical development may require us to show the comparability of the product used in earlier clinical phases or at earlier portions of a trial to the product used in later clinical phases or later portions of the trial.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Government Regulation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regulatory approval processes of the FDA and comparable foreign authorities are lengthy, time-consuming, and inherently unpredictable, and if we are ultimately unable to obtain regulatory approval for our product candidate, our business will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The time required to obtain approval by the FDA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or maintain approval, may change during the course of a product candidate’s clinical development and may vary among jurisdictions. For example, the Oncology Center of Excellence within the FDA has advanced Project Optimus, which is an initiative to reform the dose optimization and dose selection paradigm in oncology drug development to emphasize selection of an optimal dose, which is a dose or doses that maximizes not only the efficacy of a drug but the safety and tolerability as well. This shift from the prior approach, which generally determined the maximum tolerated dose, may require sponsors to spend additional time and resources to further explore a product candidate’s dose-response relationship to facilitate optimum dose selection in a target population. Other recent Oncology Center of Excellence initiatives have included Project FrontRunner, an initiative with a goal of developing a framework for identifying candidate drugs for initial clinical development in the earlier advanced setting rather than for treatment of patients who have received numerous prior lines of therapies or have exhausted available treatment options; and Project Confirm, which is an initiative to promote the transparency of outcomes related to accelerated approvals for oncology indications and provide a framework to foster discussion, research, and innovation in approval and post-marketing processes, with the goal to enhance the balance. We are considering these and other policy changes as they relate to our programs. </w:t>
      </w:r>
    </w:p>
    <w:p>
      <w:pPr>
        <w:pStyle w:val="TextBody"/>
        <w:bidi w:val="0"/>
        <w:spacing w:before="240" w:after="0"/>
        <w:jc w:val="left"/>
        <w:rPr>
          <w:rFonts w:ascii="Times New Roman" w:hAnsi="Times New Roman"/>
          <w:sz w:val="20"/>
        </w:rPr>
      </w:pPr>
      <w:r>
        <w:rPr>
          <w:rFonts w:ascii="Times New Roman" w:hAnsi="Times New Roman"/>
          <w:sz w:val="20"/>
        </w:rPr>
        <w:t xml:space="preserve">We have not obtained regulatory approval for any of our product candidates. Neither we nor any future collaborator is permitted to market any biological product in the United States until we or the future collaborator receives regulatory approval of a BLA, from the FDA. It is possible that none of our current or future product candidates will ever obtain regulatory approval from the FDA or comparable foreign regulatory authorities. </w:t>
      </w:r>
    </w:p>
    <w:p>
      <w:pPr>
        <w:pStyle w:val="TextBody"/>
        <w:bidi w:val="0"/>
        <w:spacing w:before="240" w:after="0"/>
        <w:jc w:val="left"/>
        <w:rPr>
          <w:rFonts w:ascii="Times New Roman" w:hAnsi="Times New Roman"/>
          <w:sz w:val="20"/>
        </w:rPr>
      </w:pPr>
      <w:r>
        <w:rPr>
          <w:rFonts w:ascii="Times New Roman" w:hAnsi="Times New Roman"/>
          <w:sz w:val="20"/>
        </w:rPr>
        <w:t xml:space="preserve">Our current and future product candidates could fail to receive regulatory approval for many reasons, including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FDA or comparable foreign regulatory authorities may disagree with the design or implementation of our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demonstrate to the satisfaction of the FDA or comparable foreign regulatory authorities that a product candidate has an acceptable risk-benefit profile in the proposed indication;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demonstrate to the satisfaction of the FDA or comparable foreign regulatory authorities that the facility in which a product candidate is manufactured meets standards designed to assure that the product candidate is safe, pure, and potent;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results of clinical trials may not meet the level of statistical significance required by the FDA or comparable foreign regulatory authorities for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FDA or comparable foreign regulatory authorities may disagree with our interpretation of data from clinical trials or preclinical studies;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data collected from clinical trials of our product candidate may not be sufficient to support the submission of a BLA to the FDA or regulatory submissions to comparable regulatory authorities to obtain regulatory approval in such jurisdiction;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FDA or comparable foreign regulatory authorities may find deficiencies with or fail to approve our manufacturing processes or facility or the manufacturing processes or facilities of third-party manufacturers with which we contract for clinical and commercial supplies.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lengthy approval process as well as the unpredictability of clinical trial results may result in our failing to obtain regulatory approval to market any product candidate we develop, which would significantly harm our business, results of operations, and prospects. The FDA and other comparable foreign authorities have substantial discretion in the approval process and in determining when or whether regulatory approval will be granted for any product candidate that we develop. Even if we believe the data collected from ongoing and future clinical trials of our product candidates are promising, such data may not be sufficient to support approval by the FDA or any other regulatory authority. </w:t>
      </w:r>
    </w:p>
    <w:p>
      <w:pPr>
        <w:pStyle w:val="TextBody"/>
        <w:bidi w:val="0"/>
        <w:spacing w:before="240" w:after="0"/>
        <w:jc w:val="left"/>
        <w:rPr>
          <w:rFonts w:ascii="Times New Roman" w:hAnsi="Times New Roman"/>
          <w:sz w:val="20"/>
        </w:rPr>
      </w:pPr>
      <w:r>
        <w:rPr>
          <w:rFonts w:ascii="Times New Roman" w:hAnsi="Times New Roman"/>
          <w:sz w:val="20"/>
        </w:rPr>
        <w:t xml:space="preserve">In addition, even if we were to obtain approval, the FDA may approve any of our product candidates for fewer or more limited indications, or a more limited patient population, than we request, may grant approval contingent on the performance of costly clinical trials or other post-marketing requirements, or may approve a product candidate with a label that does not include the labeling claims we believe are necessary or desirable for the successful commercialization of such product candidates. Even if we obtain regulatory approval for our product candidate, we will be required to submit new or supplemental applications and obtain approval for certain changes to the approved product, product labeling, or manufacturing process and the FDA or comparable foreign regulatory authority may refuse to approve such applications or supplements.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FDA or comparable foreign regulatory authorities may change their policies, promulgate additional regulations, revise existing regulations, or take other actions that may prevent or delay approval of our future products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 Any of the foregoing scenarios could materially harm the commercial prospects for our product candidate.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Disruptions at the FDA and other government agencies caused by funding shortages or global health concerns could hinder their ability to hire, retain, or deploy personnel, and substantial leadership, personnel and policy changes or otherwise, could prevent new or modified products from being developed, approved, or commercialized in a timely manner or at all, which could negatively impact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Without the appropriation of adequate funding to federal agencies, our business operations related to our product development activities for the U.S. market could be impacted. </w:t>
      </w:r>
    </w:p>
    <w:p>
      <w:pPr>
        <w:pStyle w:val="TextBody"/>
        <w:bidi w:val="0"/>
        <w:spacing w:before="240" w:after="0"/>
        <w:jc w:val="left"/>
        <w:rPr>
          <w:rFonts w:ascii="Times New Roman" w:hAnsi="Times New Roman"/>
          <w:sz w:val="20"/>
        </w:rPr>
      </w:pPr>
      <w:r>
        <w:rPr>
          <w:rFonts w:ascii="Times New Roman" w:hAnsi="Times New Roman"/>
          <w:sz w:val="20"/>
        </w:rPr>
        <w:t xml:space="preserve">Disruptions at the FDA and other agencies, including substantial leadership, personnel, and policy changes, may also slow the time necessary for biological products or modifications to approved biological products to be reviewed and/or approved by necessary government agencies, which would adversely affect our business. For example, changes and cuts in FDA staffing during 2025 have been seen as resulting in delays in the FDA’s responsiveness or in its ability to review IND submissions or marketing applications, issue regulations or guidance, or implement or enforce regulatory requirements in a timely fashion. </w:t>
      </w:r>
    </w:p>
    <w:p>
      <w:pPr>
        <w:pStyle w:val="TextBody"/>
        <w:bidi w:val="0"/>
        <w:spacing w:before="240" w:after="0"/>
        <w:jc w:val="left"/>
        <w:rPr>
          <w:rFonts w:ascii="Times New Roman" w:hAnsi="Times New Roman"/>
          <w:sz w:val="20"/>
        </w:rPr>
      </w:pPr>
      <w:r>
        <w:rPr>
          <w:rFonts w:ascii="Times New Roman" w:hAnsi="Times New Roman"/>
          <w:sz w:val="20"/>
        </w:rPr>
        <w:t xml:space="preserve">With the change in the U.S. presidential administration in 2025, there is substantial uncertainty as to the extent and manner in which the administration will continue to seek to modify or revise the requirements and policies of the FDA and other regulatory agencies with jurisdiction over our product candidates any products for which we obtain approval. This uncertainty could present new challenges and/or opportunities as we navigate development and approval of our product candidates. Additionally, the administration could issue or promulgate executive orders, regulations, policies or guidance that adversely affect us or create a more challenging or costly environment to pursue the development of new therapeutics candidates. Also, state governments may seek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address or react to changes at the federal level with changes to their regulatory frameworks in a manner that could impact our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required to suspend, repeat, or terminate our clinical trials if they are not conducted in accordance with regulatory requirements, the results are negative or inconclusive, or the trials are not well designed. </w:t>
      </w:r>
    </w:p>
    <w:p>
      <w:pPr>
        <w:pStyle w:val="TextBody"/>
        <w:bidi w:val="0"/>
        <w:spacing w:before="120" w:after="0"/>
        <w:jc w:val="left"/>
        <w:rPr>
          <w:rFonts w:ascii="Times New Roman" w:hAnsi="Times New Roman"/>
          <w:sz w:val="20"/>
        </w:rPr>
      </w:pPr>
      <w:r>
        <w:rPr>
          <w:rFonts w:ascii="Times New Roman" w:hAnsi="Times New Roman"/>
          <w:sz w:val="20"/>
        </w:rPr>
        <w:t xml:space="preserve">Clinical trials must be conducted in accordance with GCP requirements, which are regulations and guidelines enforced by the FDA, the competent authorities of the member states of the EEA, and comparable foreign regulatory authorities. Clinical trials are subject to oversight by the FDA, other foreign governmental agencies, and IRBs or ethical committees at the trial sites where the clinical trials are conducted. In addition, clinical trials must be conducted with product candidates manufactured in accordance with applicable cGMP requirements. Clinical trials may be suspended by the FDA, other foreign regulatory authorities, us, or by an IRB or ethics committee with respect to a particular clinical trial site, for various reasons,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deficiencies in the conduct of the clinical trials, including failure to conduct the clinical trial in accordance with regulatory requirements or trial protocols; </w:t>
            </w:r>
          </w:p>
        </w:tc>
      </w:tr>
    </w:tbl>
    <w:p>
      <w:pPr>
        <w:pStyle w:val="TextBody"/>
        <w:bidi w:val="0"/>
        <w:spacing w:before="0" w:after="0"/>
        <w:jc w:val="left"/>
        <w:rPr/>
      </w:pPr>
      <w:r>
        <w:rPr/>
        <w:t> </w:t>
      </w:r>
    </w:p>
    <w:tbl>
      <w:tblPr>
        <w:tblW w:w="4795" w:type="dxa"/>
        <w:jc w:val="left"/>
        <w:tblInd w:w="0" w:type="dxa"/>
        <w:tblLayout w:type="fixed"/>
        <w:tblCellMar>
          <w:top w:w="0" w:type="dxa"/>
          <w:left w:w="0" w:type="dxa"/>
          <w:bottom w:w="0" w:type="dxa"/>
          <w:right w:w="0" w:type="dxa"/>
        </w:tblCellMar>
      </w:tblPr>
      <w:tblGrid>
        <w:gridCol w:w="75"/>
        <w:gridCol w:w="110"/>
        <w:gridCol w:w="60"/>
        <w:gridCol w:w="45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deficiencies in the clinical trial operations or trial sites; </w:t>
            </w:r>
          </w:p>
        </w:tc>
      </w:tr>
    </w:tbl>
    <w:p>
      <w:pPr>
        <w:pStyle w:val="TextBody"/>
        <w:bidi w:val="0"/>
        <w:spacing w:before="0" w:after="0"/>
        <w:jc w:val="left"/>
        <w:rPr/>
      </w:pPr>
      <w:r>
        <w:rPr/>
        <w:t> </w:t>
      </w:r>
    </w:p>
    <w:tbl>
      <w:tblPr>
        <w:tblW w:w="6775" w:type="dxa"/>
        <w:jc w:val="left"/>
        <w:tblInd w:w="0" w:type="dxa"/>
        <w:tblLayout w:type="fixed"/>
        <w:tblCellMar>
          <w:top w:w="0" w:type="dxa"/>
          <w:left w:w="0" w:type="dxa"/>
          <w:bottom w:w="0" w:type="dxa"/>
          <w:right w:w="0" w:type="dxa"/>
        </w:tblCellMar>
      </w:tblPr>
      <w:tblGrid>
        <w:gridCol w:w="75"/>
        <w:gridCol w:w="110"/>
        <w:gridCol w:w="60"/>
        <w:gridCol w:w="65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unforeseen adverse side effects or the emergence of undue risks to trial subjects; </w:t>
            </w:r>
          </w:p>
        </w:tc>
      </w:tr>
    </w:tbl>
    <w:p>
      <w:pPr>
        <w:pStyle w:val="TextBody"/>
        <w:bidi w:val="0"/>
        <w:spacing w:before="0" w:after="0"/>
        <w:jc w:val="left"/>
        <w:rPr/>
      </w:pPr>
      <w:r>
        <w:rPr/>
        <w:t> </w:t>
      </w:r>
    </w:p>
    <w:tbl>
      <w:tblPr>
        <w:tblW w:w="5590" w:type="dxa"/>
        <w:jc w:val="left"/>
        <w:tblInd w:w="0" w:type="dxa"/>
        <w:tblLayout w:type="fixed"/>
        <w:tblCellMar>
          <w:top w:w="0" w:type="dxa"/>
          <w:left w:w="0" w:type="dxa"/>
          <w:bottom w:w="0" w:type="dxa"/>
          <w:right w:w="0" w:type="dxa"/>
        </w:tblCellMar>
      </w:tblPr>
      <w:tblGrid>
        <w:gridCol w:w="75"/>
        <w:gridCol w:w="110"/>
        <w:gridCol w:w="60"/>
        <w:gridCol w:w="5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deficiencies in the trial design necessary to demonstrate efficacy; </w:t>
            </w:r>
          </w:p>
        </w:tc>
      </w:tr>
    </w:tbl>
    <w:p>
      <w:pPr>
        <w:pStyle w:val="TextBody"/>
        <w:bidi w:val="0"/>
        <w:spacing w:before="0" w:after="0"/>
        <w:jc w:val="left"/>
        <w:rPr/>
      </w:pPr>
      <w:r>
        <w:rPr/>
        <w:t> </w:t>
      </w:r>
    </w:p>
    <w:tbl>
      <w:tblPr>
        <w:tblW w:w="6775" w:type="dxa"/>
        <w:jc w:val="left"/>
        <w:tblInd w:w="0" w:type="dxa"/>
        <w:tblLayout w:type="fixed"/>
        <w:tblCellMar>
          <w:top w:w="0" w:type="dxa"/>
          <w:left w:w="0" w:type="dxa"/>
          <w:bottom w:w="0" w:type="dxa"/>
          <w:right w:w="0" w:type="dxa"/>
        </w:tblCellMar>
      </w:tblPr>
      <w:tblGrid>
        <w:gridCol w:w="75"/>
        <w:gridCol w:w="110"/>
        <w:gridCol w:w="60"/>
        <w:gridCol w:w="65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product candidate may not appear to offer benefits over current therapies; or </w:t>
            </w:r>
          </w:p>
        </w:tc>
      </w:tr>
    </w:tbl>
    <w:p>
      <w:pPr>
        <w:pStyle w:val="TextBody"/>
        <w:bidi w:val="0"/>
        <w:spacing w:before="0" w:after="0"/>
        <w:jc w:val="left"/>
        <w:rPr/>
      </w:pPr>
      <w:r>
        <w:rPr/>
        <w:t> </w:t>
      </w:r>
    </w:p>
    <w:tbl>
      <w:tblPr>
        <w:tblW w:w="7180" w:type="dxa"/>
        <w:jc w:val="left"/>
        <w:tblInd w:w="0" w:type="dxa"/>
        <w:tblLayout w:type="fixed"/>
        <w:tblCellMar>
          <w:top w:w="0" w:type="dxa"/>
          <w:left w:w="0" w:type="dxa"/>
          <w:bottom w:w="0" w:type="dxa"/>
          <w:right w:w="0" w:type="dxa"/>
        </w:tblCellMar>
      </w:tblPr>
      <w:tblGrid>
        <w:gridCol w:w="75"/>
        <w:gridCol w:w="110"/>
        <w:gridCol w:w="60"/>
        <w:gridCol w:w="6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quality or stability of the product candidate may fall below acceptable standards.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Even if we receive marketing approval of our product candidate, we will be subject to ongoing regulatory obligations and continued regulatory review, which may result in significant additional expenses. If we fail to comply or experience unanticipated problems with our products, we may be subject to administrative and judicial enforcement, including monetary penalties, for non-compliance and our approved products, if any, could be deemed misbranded or adulterated and prohibited from continued distribution. </w:t>
      </w:r>
    </w:p>
    <w:p>
      <w:pPr>
        <w:pStyle w:val="TextBody"/>
        <w:bidi w:val="0"/>
        <w:spacing w:before="120" w:after="0"/>
        <w:jc w:val="left"/>
        <w:rPr>
          <w:rFonts w:ascii="Times New Roman" w:hAnsi="Times New Roman"/>
          <w:sz w:val="20"/>
        </w:rPr>
      </w:pPr>
      <w:r>
        <w:rPr>
          <w:rFonts w:ascii="Times New Roman" w:hAnsi="Times New Roman"/>
          <w:sz w:val="20"/>
        </w:rPr>
        <w:t xml:space="preserve">Any marketing approvals that we receive for any current or future product candidates may be subject to limitations on the approved indicated uses for which the product may be marketed or the conditions of approval, or contain requirements for potentially costly post-market testing and surveillance to monitor the safety and efficacy of the product candidate. The FDA may also require implementation of a REMS as a condition of approval of any product candidate, which could include requirements for a medication guide, physician communication plans or additional elements to ensure safe use, such as restricted distribution methods, patient registries, and other risk minimization tools. In addition, if the FDA or a comparable foreign regulatory authority approves a product candidate, the manufacturing processes, quality control, labeling, packaging, distribution, tracking and tracing, adverse event and deviation reporting, storage, advertising, promotion, import and export, and record keeping for the product candidate will be subject to extensive and ongoing regulatory requirements. These requirements include submissions of safety and other post-marketing information and reports, registration, as well as continued compliance with cGMP regulations and with GCP requirements for any clinical trials that we may conduct post-approval. Problems with our or our third-party manufacturers’ manufacturing processes or facilities, or failure to comply with regulatory requirements, may result in,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suspension of, or imposition of restrictions on, the marketing or manufacturing of the product, withdrawal of the product from the market, or product recalls;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adverse inspectional observations (FDA Form 483s), Warning Letters or Untitled Letters, or full or partial holds on clinical trials; </w:t>
            </w:r>
          </w:p>
        </w:tc>
      </w:tr>
    </w:tbl>
    <w:p>
      <w:pPr>
        <w:pStyle w:val="TextBody"/>
        <w:bidi w:val="0"/>
        <w:spacing w:before="0" w:after="0"/>
        <w:jc w:val="left"/>
        <w:rPr/>
      </w:pPr>
      <w:r>
        <w:rPr/>
        <w:t> </w:t>
      </w:r>
    </w:p>
    <w:tbl>
      <w:tblPr>
        <w:tblW w:w="3655" w:type="dxa"/>
        <w:jc w:val="left"/>
        <w:tblInd w:w="0" w:type="dxa"/>
        <w:tblLayout w:type="fixed"/>
        <w:tblCellMar>
          <w:top w:w="0" w:type="dxa"/>
          <w:left w:w="0" w:type="dxa"/>
          <w:bottom w:w="0" w:type="dxa"/>
          <w:right w:w="0" w:type="dxa"/>
        </w:tblCellMar>
      </w:tblPr>
      <w:tblGrid>
        <w:gridCol w:w="75"/>
        <w:gridCol w:w="110"/>
        <w:gridCol w:w="60"/>
        <w:gridCol w:w="34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suspension of production or distribution;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product seizure or detention, monetary penalties, refusal to permit the import or export of the product, or placement on Import Alert; and </w:t>
            </w:r>
          </w:p>
        </w:tc>
      </w:tr>
    </w:tbl>
    <w:p>
      <w:pPr>
        <w:pStyle w:val="TextBody"/>
        <w:bidi w:val="0"/>
        <w:spacing w:before="0" w:after="0"/>
        <w:jc w:val="left"/>
        <w:rPr/>
      </w:pPr>
      <w:r>
        <w:rPr/>
        <w:t> </w:t>
      </w:r>
    </w:p>
    <w:tbl>
      <w:tblPr>
        <w:tblW w:w="8275" w:type="dxa"/>
        <w:jc w:val="left"/>
        <w:tblInd w:w="0" w:type="dxa"/>
        <w:tblLayout w:type="fixed"/>
        <w:tblCellMar>
          <w:top w:w="0" w:type="dxa"/>
          <w:left w:w="0" w:type="dxa"/>
          <w:bottom w:w="0" w:type="dxa"/>
          <w:right w:w="0" w:type="dxa"/>
        </w:tblCellMar>
      </w:tblPr>
      <w:tblGrid>
        <w:gridCol w:w="75"/>
        <w:gridCol w:w="110"/>
        <w:gridCol w:w="60"/>
        <w:gridCol w:w="80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permanent injunctions and consent decrees including the imposition of civil or criminal penalties.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Given the nature of biological product manufacturing, there is a risk of contamination. Any contamination could materially adversely affect our ability to produce product candidates on schedule and could, therefore, harm our results of operations and cause reputational damage. Some of the raw materials and other components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our product or product candidates could adversely impact or disrupt the commercial manufacturing or the production of clinical material, which could materially and adversely affect our development and commercialization timelines and our business, financial condition, results of operations and prospects and could adversely affect our ability to meet our supply obligations. </w:t>
      </w:r>
    </w:p>
    <w:p>
      <w:pPr>
        <w:pStyle w:val="TextBody"/>
        <w:bidi w:val="0"/>
        <w:spacing w:before="240" w:after="0"/>
        <w:jc w:val="left"/>
        <w:rPr>
          <w:rFonts w:ascii="Times New Roman" w:hAnsi="Times New Roman"/>
          <w:sz w:val="20"/>
        </w:rPr>
      </w:pPr>
      <w:r>
        <w:rPr>
          <w:rFonts w:ascii="Times New Roman" w:hAnsi="Times New Roman"/>
          <w:sz w:val="20"/>
        </w:rPr>
        <w:t xml:space="preserve">Moreover, the FDA and the U.S. Department of Justice strictly regulate the promotional claims that may be made about drug and biological products. In particular, an approved product may not be promoted for uses that are not approved by the FDA as reflected in the product’s approved labeling, or off-label uses. The FDA and other agencies actively enforce the laws and regulations prohibiting the promotion of off-label uses. The FDA has issued guidance on the factors that it will consider in determining whether a firm’s product communication is consistent with the FDA-required labeling for that product, and those factors contain complexity and potential for overlap and misinterpretation. A company that is found to have improperly promoted off-label uses of their products may be subject to significant civil, criminal, and administrative penalties. </w:t>
      </w:r>
    </w:p>
    <w:p>
      <w:pPr>
        <w:pStyle w:val="TextBody"/>
        <w:bidi w:val="0"/>
        <w:spacing w:before="240" w:after="0"/>
        <w:jc w:val="left"/>
        <w:rPr>
          <w:rFonts w:ascii="Times New Roman" w:hAnsi="Times New Roman"/>
          <w:sz w:val="20"/>
        </w:rPr>
      </w:pPr>
      <w:r>
        <w:rPr>
          <w:rFonts w:ascii="Times New Roman" w:hAnsi="Times New Roman"/>
          <w:sz w:val="20"/>
        </w:rPr>
        <w:t xml:space="preserve">The FDA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t>
      </w:r>
    </w:p>
    <w:p>
      <w:pPr>
        <w:pStyle w:val="TextBody"/>
        <w:bidi w:val="0"/>
        <w:spacing w:before="240" w:after="0"/>
        <w:jc w:val="left"/>
        <w:rPr>
          <w:rFonts w:ascii="Times New Roman" w:hAnsi="Times New Roman"/>
          <w:sz w:val="20"/>
        </w:rPr>
      </w:pPr>
      <w:r>
        <w:rPr>
          <w:rFonts w:ascii="Times New Roman" w:hAnsi="Times New Roman"/>
          <w:sz w:val="20"/>
        </w:rPr>
        <w:t xml:space="preserve">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While we intend to seek designations for our potential product candidates with the FDA and comparable foreign regulatory authorities that are intended to confer benefits such as a faster development process or an accelerated regulatory pathway, there can be no assurance that we will successfully obtain such designations. In addition, even if one or more of our potential product candidates are granted such designations, we may not be able to realize the intended benefits of such designations or maintain such designations. </w:t>
      </w:r>
    </w:p>
    <w:p>
      <w:pPr>
        <w:pStyle w:val="TextBody"/>
        <w:bidi w:val="0"/>
        <w:spacing w:before="120" w:after="0"/>
        <w:jc w:val="left"/>
        <w:rPr>
          <w:rFonts w:ascii="Times New Roman" w:hAnsi="Times New Roman"/>
          <w:sz w:val="20"/>
        </w:rPr>
      </w:pPr>
      <w:r>
        <w:rPr>
          <w:rFonts w:ascii="Times New Roman" w:hAnsi="Times New Roman"/>
          <w:sz w:val="20"/>
        </w:rPr>
        <w:t xml:space="preserve">The FDA and comparable foreign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w:t>
      </w:r>
    </w:p>
    <w:p>
      <w:pPr>
        <w:pStyle w:val="TextBody"/>
        <w:bidi w:val="0"/>
        <w:spacing w:before="240" w:after="0"/>
        <w:jc w:val="left"/>
        <w:rPr>
          <w:rFonts w:ascii="Times New Roman" w:hAnsi="Times New Roman"/>
          <w:sz w:val="20"/>
        </w:rPr>
      </w:pPr>
      <w:r>
        <w:rPr>
          <w:rFonts w:ascii="Times New Roman" w:hAnsi="Times New Roman"/>
          <w:sz w:val="20"/>
        </w:rPr>
        <w:t xml:space="preserve">Amsoki-cel (OBX-115) has been granted Fast Track and RMAT designation from the FDA for the treatment of patients with unresectable or metastatic melanoma that is resistant to immune checkpoint inhibitors, or ICI,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therapy. We may seek designations for other indications, or for future product candidates. However, there can be no assurance that we will successfully obtain such designations for any additional indications or future product candidates, or that we will be able to maintain the designations we have been granted. In addition, while such designations could expedite the development or approval process, they generally do not change the standards for approval. Even if we obtain such designations for one or more of our potential product candidates, there can be no assurance that we will realize their intended benefits. For example, we may seek fast track designation for additional indications or for our other potential product candidates. If a therapy is intended for the treatment of a serious or life-threatening condition and its nonclinical or clinical data demonstrates the potential to address unmet medical needs for this condition, the therapy sponsor may apply for Fast Track Designation. The FDA has broad discretion whether to grant this designation, so even if we believe a particular product candidate is eligible for this designation, there can be no assurance that the FDA would decide to grant it. Even if Fast Track Designation has been granted, we may not experience a faster development process, review or approval compared to conventional FDA procedures, and receiving a Fast Track Designation does not provide assurance of the product’s ultimate FDA approval. In addition, the FDA may withdraw Fast Track Designation if it believes that the designation is no longer supported by data from our clinical development program.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may seek a Breakthrough Therapy designation for some of our potential product candidates. Designation as a breakthrough therapy is within the discretion of the FDA. Accordingly, even if we believe one of our potential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potential product candidates qualify as breakthrough therapies, the FDA may later decide that such product candidates no longer meet the conditions for qualification.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may seek a RMAT designation for additional indications or for our other potential product candidates. RMAT designation is within the discretion of the FDA. Accordingly, even if we believe one of our potential product candidates meets the criteria for designation as a regenerative medicine advanced therapy, the FDA may disagree and instead determine not to make such designation. In any event, the receipt of RMAT designation for a product candidate may not result in a faster development process, review, or approval compared to drugs considered for approval under conventional FDA procedures and does not assure ultimate approval by the FDA. In addition, even if one or more of our potential product candidates qualify for RMAT designation, the FDA may later decide that the biological products no longer meet the conditions for qualification. </w:t>
      </w:r>
    </w:p>
    <w:p>
      <w:pPr>
        <w:pStyle w:val="TextBody"/>
        <w:bidi w:val="0"/>
        <w:spacing w:before="240" w:after="0"/>
        <w:jc w:val="left"/>
        <w:rPr>
          <w:rFonts w:ascii="Times New Roman" w:hAnsi="Times New Roman"/>
          <w:sz w:val="20"/>
        </w:rPr>
      </w:pPr>
      <w:r>
        <w:rPr>
          <w:rFonts w:ascii="Times New Roman" w:hAnsi="Times New Roman"/>
          <w:sz w:val="20"/>
        </w:rPr>
        <w:t xml:space="preserve">We may also seek rare pediatric disease designation for some of our potential product candidates. Under the U.S. Federal Food, Drug, and Cosmetic Act, or FDCA, we will need to request a rare pediatric disease priority review voucher, or PRV, in our original marketing application for any eligible potential product candidates. The FDA may determine that a marketing application for any such product candidate, if approved, does not meet the eligibility criteria for a PRV. Vouchers for rare pediatric disease drugs are awarded for qualifying applications when the drug receives approval. Under current law, after September 30, 2029, the FDA may not award any rare pediatric disease priority review vouchers, although the FDA’s authority to do so could be extended by the U.S. Congress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We are pursuing a development strategy for amsoki-cel in advanced melanoma that is intended to support potential accelerated approval. Although we have received FDA feedback regarding a single-arm trial design for potential accelerated approval, the study is being conducted at our risk, and such feedback does not constitute a commitment by the FDA that the design, endpoints or data generated will be sufficient to support a BLA or accelerated approval. The accelerated approval pathway may be used in cases in which the advantage of a new biologic over available therapy may not be a direct therapeutic advantage, but is a clinically important improvement from a patient and public health perspective. If granted, accelerated approval may be contingent on the sponsor’s agreement to conduct, in a diligent manner, additional post-approval confirmatory studies to verify and describe the biologic’s clinical benefit. In case of an accelerated BLA approval, FDA may mandate a Phase 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clinical trial prior to full approval. Under the Food and Drug Omnibus Reform Act of 2022, or FDORA, the FDA is permitted to require, as appropriate, that a post-approval confirmatory study or studies be underway prior to approval or within a specified time period after the date of approval for a product granted accelerated approval. Under FDORA, the FDA is empowered to take action, such as issuing fines, against companies that fail to conduct with due diligence any post-approval confirmatory study or submit timely reports to the agency on their progress.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the FDA would allow any of the product candidates we may develop to proceed on an accelerated approval pathway, and even if the FDA did allow such pathway, there can be no assurance that such submission or application will be accepted or that any expedited development, review or approval will be granted on a timely basis, or at all. Moreover, even if we received accelerated approval, any post-approval studies required to confirm and verify clinical benefit may not show such benefit, which could lead to withdrawal of any approvals we have obtained. Receiving accelerated approval does not assure that the product’s accelerated approval will eventually be converted to a traditional approval. </w:t>
      </w:r>
    </w:p>
    <w:p>
      <w:pPr>
        <w:pStyle w:val="TextBody"/>
        <w:bidi w:val="0"/>
        <w:spacing w:before="240" w:after="0"/>
        <w:jc w:val="left"/>
        <w:rPr>
          <w:rFonts w:ascii="Times New Roman" w:hAnsi="Times New Roman"/>
          <w:sz w:val="20"/>
        </w:rPr>
      </w:pPr>
      <w:r>
        <w:rPr>
          <w:rFonts w:ascii="Times New Roman" w:hAnsi="Times New Roman"/>
          <w:sz w:val="20"/>
        </w:rPr>
        <w:t xml:space="preserve">If the FDA determines that a product candidate offers a treatment for a serious condition and, if approved, the product would provide a significant improvement in safety or effectiveness, the FDA may designate the product candidate’s marketing application for priority review. A priority review designation means that the goal for the FDA to review an application is six months from the filing date, rather than the standard review period of ten months. We may request priority review for the product candidates that we develop. The FDA has broad discretion with respect to whether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European Union, we may seek to participate in the PRIority Medicines, or PRIME, scheme for our potential product candidates. The PRIME scheme is intended to encourage development of products in areas of unmet medical need and provides accelerated assessment of products representing substantial innovation, where the marketing authorization application will be made through the centralized procedure in the European Union. Products from small- and medium-sized enterprises may qualify for earlier entry into the PRIME scheme than larger companies on the basis of compelling non-clinical data and tolerability data from initial clinical trials. Eligible products must target conditions for which there is an unmet medical need (no treatment option exists in the European Union or, they can offer a major therapeutic advantage over existing treatments). Many benefits accrue to sponsors of product candidates with PRIME designation, including but not limited to, early and proactive regulatory dialogue with the EMA, frequent discussions on clinical trial designs and other development program elements, and accelerated marketing authorization application assessment once a dossier has been submitted. There is no guarantee, however, that our potential product candidates would be deemed eligible for the PRIME scheme and even if we do participate in the PRIME scheme, where during the course of development a product no longer meets the eligibility criteria, support under the PRIME scheme may be withdrawn. PRIME eligibility does not change the standards for product approval, and there is no assurance that any such designation or eligibility will result in expedited review or approval.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seek a Commissioner’s National Priority Voucher for one or more of our current and planned product candidates. We may not receive such a voucher, and even if we do, may not be able to fully realize the benefits of such a voucher, including a decision within 1-2 months following filing of a complete application for the relevant drug or biologic candidate. </w:t>
      </w:r>
    </w:p>
    <w:p>
      <w:pPr>
        <w:pStyle w:val="TextBody"/>
        <w:bidi w:val="0"/>
        <w:spacing w:before="120" w:after="0"/>
        <w:jc w:val="left"/>
        <w:rPr>
          <w:rFonts w:ascii="Times New Roman" w:hAnsi="Times New Roman"/>
          <w:sz w:val="20"/>
        </w:rPr>
      </w:pPr>
      <w:r>
        <w:rPr>
          <w:rFonts w:ascii="Times New Roman" w:hAnsi="Times New Roman"/>
          <w:sz w:val="20"/>
        </w:rPr>
        <w:t xml:space="preserve">In June 2025, the FDA announced the creation of a new program, the Commissioner’s National Priority Voucher, or CNPV, pilot program, to expedite the development and approval of drug products with potential to address a major national priority, such as addressing a large unmet medical need, reducing downstream health care utilization, addressing a public health crisis, boosting domestic manufacturing, or increasing medication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affordability. The FDA has stated that voucher recipients will receive a decision on an accelerated basis as well as enhanced communication with review staff throughout the development process prior to final submission of the application and during the review period. For additional information regarding the CNPV pilot program, see the section titled “</w:t>
      </w:r>
      <w:r>
        <w:rPr>
          <w:rFonts w:ascii="Times New Roman" w:hAnsi="Times New Roman"/>
          <w:i/>
          <w:sz w:val="20"/>
        </w:rPr>
        <w:t>Business—Government Regulation—Licensure and Regulation of Biologics in the United States—Expedited Programs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However, receipt of the CNPV does not guarantee that the BLA will be approved on an expedited basis or at all. The FDA has stated that the review time for an application of a CNPV recipient may be extended, including because the application is incomplete, there are manufacturing violations, if the results of pivotal trial(s) are ambiguous, if the review is particularly complex, or for other reasons deemed appropriate by the FDA. The CNPV program is in a pilot stage, so its implementation, operation, and ultimate benefits or impacts are subject to uncertainty.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Commercialization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commercial success of our product candidate or any future product candidates will depend upon the degree of market acceptance of such product candidates by physicians, patients, healthcare payors, and others in the medical community. </w:t>
      </w:r>
    </w:p>
    <w:p>
      <w:pPr>
        <w:pStyle w:val="TextBody"/>
        <w:bidi w:val="0"/>
        <w:spacing w:before="120" w:after="0"/>
        <w:jc w:val="left"/>
        <w:rPr>
          <w:rFonts w:ascii="Times New Roman" w:hAnsi="Times New Roman"/>
          <w:sz w:val="20"/>
        </w:rPr>
      </w:pPr>
      <w:r>
        <w:rPr>
          <w:rFonts w:ascii="Times New Roman" w:hAnsi="Times New Roman"/>
          <w:sz w:val="20"/>
        </w:rPr>
        <w:t xml:space="preserve">Our product candidate and any future product candidates may not be commercially successful. Even if our product candidate or any future product candidates receive regulatory approval, they may not gain market acceptance among physicians, patients, healthcare payors, or the medical community. The commercial success of amsoki-cel, our lead product candidate, or any future product candidates will depend significantly on the broad adoption and use of the resulting marketed product by these individuals and organizations for approved indications. The degree of market acceptance of our products will depend on a number of factors, including: </w:t>
      </w:r>
    </w:p>
    <w:p>
      <w:pPr>
        <w:pStyle w:val="TextBody"/>
        <w:bidi w:val="0"/>
        <w:spacing w:before="0" w:after="0"/>
        <w:jc w:val="left"/>
        <w:rPr/>
      </w:pPr>
      <w:r>
        <w:rPr/>
        <w:t> </w:t>
      </w:r>
    </w:p>
    <w:tbl>
      <w:tblPr>
        <w:tblW w:w="8650" w:type="dxa"/>
        <w:jc w:val="left"/>
        <w:tblInd w:w="0" w:type="dxa"/>
        <w:tblLayout w:type="fixed"/>
        <w:tblCellMar>
          <w:top w:w="0" w:type="dxa"/>
          <w:left w:w="0" w:type="dxa"/>
          <w:bottom w:w="0" w:type="dxa"/>
          <w:right w:w="0" w:type="dxa"/>
        </w:tblCellMar>
      </w:tblPr>
      <w:tblGrid>
        <w:gridCol w:w="75"/>
        <w:gridCol w:w="110"/>
        <w:gridCol w:w="60"/>
        <w:gridCol w:w="84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demonstration of clinical efficacy and safety, including as compared to any more-established products; </w:t>
            </w:r>
          </w:p>
        </w:tc>
      </w:tr>
    </w:tbl>
    <w:p>
      <w:pPr>
        <w:pStyle w:val="TextBody"/>
        <w:bidi w:val="0"/>
        <w:spacing w:before="0" w:after="0"/>
        <w:jc w:val="left"/>
        <w:rPr/>
      </w:pPr>
      <w:r>
        <w:rPr/>
        <w:t> </w:t>
      </w:r>
    </w:p>
    <w:tbl>
      <w:tblPr>
        <w:tblW w:w="8560" w:type="dxa"/>
        <w:jc w:val="left"/>
        <w:tblInd w:w="0" w:type="dxa"/>
        <w:tblLayout w:type="fixed"/>
        <w:tblCellMar>
          <w:top w:w="0" w:type="dxa"/>
          <w:left w:w="0" w:type="dxa"/>
          <w:bottom w:w="0" w:type="dxa"/>
          <w:right w:w="0" w:type="dxa"/>
        </w:tblCellMar>
      </w:tblPr>
      <w:tblGrid>
        <w:gridCol w:w="75"/>
        <w:gridCol w:w="110"/>
        <w:gridCol w:w="60"/>
        <w:gridCol w:w="8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indications for which our product candidate or any future product candidates are approved, if 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limitation of our targeted patient population and other limitations or warnings contained in any FDA-approved labeling; </w:t>
            </w:r>
          </w:p>
        </w:tc>
      </w:tr>
    </w:tbl>
    <w:p>
      <w:pPr>
        <w:pStyle w:val="TextBody"/>
        <w:bidi w:val="0"/>
        <w:spacing w:before="0" w:after="0"/>
        <w:jc w:val="left"/>
        <w:rPr/>
      </w:pPr>
      <w:r>
        <w:rPr/>
        <w:t> </w:t>
      </w:r>
    </w:p>
    <w:tbl>
      <w:tblPr>
        <w:tblW w:w="7990" w:type="dxa"/>
        <w:jc w:val="left"/>
        <w:tblInd w:w="0" w:type="dxa"/>
        <w:tblLayout w:type="fixed"/>
        <w:tblCellMar>
          <w:top w:w="0" w:type="dxa"/>
          <w:left w:w="0" w:type="dxa"/>
          <w:bottom w:w="0" w:type="dxa"/>
          <w:right w:w="0" w:type="dxa"/>
        </w:tblCellMar>
      </w:tblPr>
      <w:tblGrid>
        <w:gridCol w:w="75"/>
        <w:gridCol w:w="110"/>
        <w:gridCol w:w="60"/>
        <w:gridCol w:w="77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acceptance of a new drug for the relevant indication by healthcare providers and their patients;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pricing and cost-effectiveness of our products, as well as the cost of treatment with our products in relation to alternative treatments and therapies;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sufficient third-party coverage and adequate reimbursement from government healthcare programs, including Medicare and Medicaid, private health insurers, and other third-party payors;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willingness of patients to pay all, or a portion of, out-of-pocket costs associated with our products in the absence of sufficient third-party coverage and adequate reimbursement; </w:t>
            </w:r>
          </w:p>
        </w:tc>
      </w:tr>
    </w:tbl>
    <w:p>
      <w:pPr>
        <w:pStyle w:val="TextBody"/>
        <w:bidi w:val="0"/>
        <w:spacing w:before="0" w:after="0"/>
        <w:jc w:val="left"/>
        <w:rPr/>
      </w:pPr>
      <w:r>
        <w:rPr/>
        <w:t> </w:t>
      </w:r>
    </w:p>
    <w:tbl>
      <w:tblPr>
        <w:tblW w:w="8215" w:type="dxa"/>
        <w:jc w:val="left"/>
        <w:tblInd w:w="0" w:type="dxa"/>
        <w:tblLayout w:type="fixed"/>
        <w:tblCellMar>
          <w:top w:w="0" w:type="dxa"/>
          <w:left w:w="0" w:type="dxa"/>
          <w:bottom w:w="0" w:type="dxa"/>
          <w:right w:w="0" w:type="dxa"/>
        </w:tblCellMar>
      </w:tblPr>
      <w:tblGrid>
        <w:gridCol w:w="75"/>
        <w:gridCol w:w="110"/>
        <w:gridCol w:w="60"/>
        <w:gridCol w:w="79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restrictions on the use of our products, and the prevalence and severity of any adverse effects; </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75"/>
        <w:gridCol w:w="110"/>
        <w:gridCol w:w="60"/>
        <w:gridCol w:w="28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potential product liability claims; </w:t>
            </w:r>
          </w:p>
        </w:tc>
      </w:tr>
    </w:tbl>
    <w:p>
      <w:pPr>
        <w:pStyle w:val="TextBody"/>
        <w:bidi w:val="0"/>
        <w:spacing w:before="0" w:after="0"/>
        <w:jc w:val="left"/>
        <w:rPr/>
      </w:pPr>
      <w:r>
        <w:rPr/>
        <w:t> </w:t>
      </w:r>
    </w:p>
    <w:tbl>
      <w:tblPr>
        <w:tblW w:w="9550" w:type="dxa"/>
        <w:jc w:val="left"/>
        <w:tblInd w:w="0" w:type="dxa"/>
        <w:tblLayout w:type="fixed"/>
        <w:tblCellMar>
          <w:top w:w="0" w:type="dxa"/>
          <w:left w:w="0" w:type="dxa"/>
          <w:bottom w:w="0" w:type="dxa"/>
          <w:right w:w="0" w:type="dxa"/>
        </w:tblCellMar>
      </w:tblPr>
      <w:tblGrid>
        <w:gridCol w:w="75"/>
        <w:gridCol w:w="110"/>
        <w:gridCol w:w="60"/>
        <w:gridCol w:w="9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of market introduction of our products as well as availability, safety, and efficacy of competitive drugs; </w:t>
            </w:r>
          </w:p>
        </w:tc>
      </w:tr>
    </w:tbl>
    <w:p>
      <w:pPr>
        <w:pStyle w:val="TextBody"/>
        <w:bidi w:val="0"/>
        <w:spacing w:before="0" w:after="0"/>
        <w:jc w:val="left"/>
        <w:rPr/>
      </w:pPr>
      <w:r>
        <w:rPr/>
        <w:t> </w:t>
      </w:r>
    </w:p>
    <w:tbl>
      <w:tblPr>
        <w:tblW w:w="8140" w:type="dxa"/>
        <w:jc w:val="left"/>
        <w:tblInd w:w="0" w:type="dxa"/>
        <w:tblLayout w:type="fixed"/>
        <w:tblCellMar>
          <w:top w:w="0" w:type="dxa"/>
          <w:left w:w="0" w:type="dxa"/>
          <w:bottom w:w="0" w:type="dxa"/>
          <w:right w:w="0" w:type="dxa"/>
        </w:tblCellMar>
      </w:tblPr>
      <w:tblGrid>
        <w:gridCol w:w="75"/>
        <w:gridCol w:w="110"/>
        <w:gridCol w:w="60"/>
        <w:gridCol w:w="78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our or any current or future collaborators’ sales and marketing strategies; and </w:t>
            </w:r>
          </w:p>
        </w:tc>
      </w:tr>
    </w:tbl>
    <w:p>
      <w:pPr>
        <w:pStyle w:val="TextBody"/>
        <w:bidi w:val="0"/>
        <w:spacing w:before="0" w:after="0"/>
        <w:jc w:val="left"/>
        <w:rPr/>
      </w:pPr>
      <w:r>
        <w:rPr/>
        <w:t> </w:t>
      </w:r>
    </w:p>
    <w:tbl>
      <w:tblPr>
        <w:tblW w:w="4000" w:type="dxa"/>
        <w:jc w:val="left"/>
        <w:tblInd w:w="0" w:type="dxa"/>
        <w:tblLayout w:type="fixed"/>
        <w:tblCellMar>
          <w:top w:w="0" w:type="dxa"/>
          <w:left w:w="0" w:type="dxa"/>
          <w:bottom w:w="0" w:type="dxa"/>
          <w:right w:w="0" w:type="dxa"/>
        </w:tblCellMar>
      </w:tblPr>
      <w:tblGrid>
        <w:gridCol w:w="75"/>
        <w:gridCol w:w="110"/>
        <w:gridCol w:w="60"/>
        <w:gridCol w:w="37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unfavorable publicity relating to the product.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our product candidate or any future product candidates is approved but does not achieve an adequate level of acceptance by physicians, hospitals, healthcare payors, or patients, we may not generate sufficient revenue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product and may not become or remain profitable. Our efforts to educate the medical community and third-party payors regarding the benefits of our products may require significant resources and may never be successful.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market opportunities for any current or future product candidate we develop, if approved, may be limited to those patients who are ineligible for established therapies or for whom prior therapies have failed, and may be small. </w:t>
      </w:r>
    </w:p>
    <w:p>
      <w:pPr>
        <w:pStyle w:val="TextBody"/>
        <w:bidi w:val="0"/>
        <w:spacing w:before="120" w:after="0"/>
        <w:jc w:val="left"/>
        <w:rPr>
          <w:rFonts w:ascii="Times New Roman" w:hAnsi="Times New Roman"/>
          <w:sz w:val="20"/>
        </w:rPr>
      </w:pPr>
      <w:r>
        <w:rPr>
          <w:rFonts w:ascii="Times New Roman" w:hAnsi="Times New Roman"/>
          <w:sz w:val="20"/>
        </w:rPr>
        <w:t xml:space="preserve">Any revenue we are able to generate in the future from product sales will be dependent, in part, upon the size of the market in the United States and any other jurisdiction for which we gain regulatory approval and have commercial rights. If the markets or patient subsets that we are targeting are not as significant as we estimate, we may not generate significant revenues from sales of such products, even if approved. The number of patients who have the types of cancer or autoimmune diseases we are targeting may turn out to be lower than expected. Additionally, the potentially addressable patient population for our current or future product candidates may be limited, if and when approved. Even if we obtain significant market share for any product candidate, if and when approved, if the potential target populations are small, we may never achieve profitability without obtaining marketing approval for additional indications, including to be used as first- or second-line therapy. </w:t>
      </w:r>
    </w:p>
    <w:p>
      <w:pPr>
        <w:pStyle w:val="TextBody"/>
        <w:bidi w:val="0"/>
        <w:spacing w:before="240" w:after="0"/>
        <w:jc w:val="left"/>
        <w:rPr>
          <w:rFonts w:ascii="Times New Roman" w:hAnsi="Times New Roman"/>
          <w:sz w:val="20"/>
        </w:rPr>
      </w:pPr>
      <w:r>
        <w:rPr>
          <w:rFonts w:ascii="Times New Roman" w:hAnsi="Times New Roman"/>
          <w:sz w:val="20"/>
        </w:rPr>
        <w:t xml:space="preserve">Cancer therapies are sometimes characterized as first-line, second-line, or third-line, and the FDA often approves new therapies initially only for third-line use. When cancer is detected early enough, first-line therapy, usually chemotherapy, hormone therapy, surgery, radiation therapy or a combination of these, is sometimes adequate to cure the cancer or prolong life without a cure. Second- and third-line therapies are administered to patients when prior therapy is not effective. The number of patients who receive second- and third-line treatment is significantly smaller than the number of patients who receive first-line treatment, and the prognosis of patients who receive second- or third-line treatment is often poorer than that of patients who receive first-line treatment. </w:t>
      </w:r>
    </w:p>
    <w:p>
      <w:pPr>
        <w:pStyle w:val="TextBody"/>
        <w:bidi w:val="0"/>
        <w:spacing w:before="240" w:after="0"/>
        <w:jc w:val="left"/>
        <w:rPr>
          <w:rFonts w:ascii="Times New Roman" w:hAnsi="Times New Roman"/>
          <w:sz w:val="20"/>
        </w:rPr>
      </w:pPr>
      <w:r>
        <w:rPr>
          <w:rFonts w:ascii="Times New Roman" w:hAnsi="Times New Roman"/>
          <w:sz w:val="20"/>
        </w:rPr>
        <w:t xml:space="preserve">We may initially seek approval for any other product candidates we develop as second- or third-line therapies. If we do so, for those products that prove to be sufficiently beneficial, if any, we would expect potentially to seek approval as a first-line therapy, but there is no guarantee that any product candidate we develop, even if approved, would be approved for first-line therapy, and, prior to any such approvals, we may have to conduct additional clinical trials.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approved, our product candidate that is regulated as a biological product, or biologic, may face competition from biosimilars approved through an abbreviated regulatory pathway. </w:t>
      </w:r>
    </w:p>
    <w:p>
      <w:pPr>
        <w:pStyle w:val="TextBody"/>
        <w:bidi w:val="0"/>
        <w:spacing w:before="120" w:after="0"/>
        <w:jc w:val="left"/>
        <w:rPr>
          <w:rFonts w:ascii="Times New Roman" w:hAnsi="Times New Roman"/>
          <w:sz w:val="20"/>
        </w:rPr>
      </w:pPr>
      <w:r>
        <w:rPr>
          <w:rFonts w:ascii="Times New Roman" w:hAnsi="Times New Roman"/>
          <w:sz w:val="20"/>
        </w:rPr>
        <w:t xml:space="preserve">The Biologics Price Competition and Innovation Act of 2009, or BPCIA, established an abbreviated pathway for the approval of biosimilar and interchangeable biologics with an FDA-licensed reference biologic product. Under the BPCIA, a reference biological product is granted 12 years of non-patent data exclusivity from the time of first licensure of the product, and the FDA will not accept an application for a biosimilar or interchangeable product based on the reference biological product until four years after the date of first licensure of the reference product. In addition, the approval of a biosimilar product may not be made effective by the FDA until 12 years from the date on which the reference product was first licensed. During this 12-year period of exclusivity, another company may still develop and receive approval of a competing biologic, so long as their BLA does not rely on the reference product or sponsor’s data and is not submitted as a biosimilar application. Certain changes and supplements to an approved BLA, and subsequent applications filed by the same sponsor, manufacturer, licensor, predecessor in interest, or other related entity do not qualify for the 12-year exclusivity period. The law is complex and any new policies or processes adopted by the FDA could have a material adverse effect on the future commercial prospects for our biological products.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any of the product candidates we develop that is approved in the United States as a biological product under a BLA should qualify for the 12-year period of exclusivity. However, there is a risk that this exclusivity could be shortened due to congressional action or otherwise, or that the FDA will not consider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subject product candidate to be a reference product for competing products, potentially creating the opportunity for biosimilar competition sooner than anticipated. Moreover, biosimilars compete with, and in some circumstances may be deemed under state law to be substitutable for, the previously approved reference product. The approval of a biosimilar of our product candidate could have a material adverse impact on our business due to increased competition and pricing pressure. It is also possible that payors will give reimbursement preference to biosimilars over reference biological products, even absent a determination of interchangeability. </w:t>
      </w:r>
    </w:p>
    <w:p>
      <w:pPr>
        <w:pStyle w:val="TextBody"/>
        <w:bidi w:val="0"/>
        <w:spacing w:before="240" w:after="0"/>
        <w:jc w:val="left"/>
        <w:rPr>
          <w:rFonts w:ascii="Times New Roman" w:hAnsi="Times New Roman"/>
          <w:sz w:val="20"/>
        </w:rPr>
      </w:pPr>
      <w:r>
        <w:rPr>
          <w:rFonts w:ascii="Times New Roman" w:hAnsi="Times New Roman"/>
          <w:sz w:val="20"/>
        </w:rPr>
        <w:t xml:space="preserve">Laws and regulations outside the United States differ, including the length and extent of patent and exclusivity protection and pathways for competition to enter the market. Other countries may have significantly shorter or longer periods of exclusivity. In addition, other countries may have different standards in determining similarity to a reference biological product. Any market entry of competing products to our product candidate in these other regions could adversely affect our business in those regions.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we do not receive any anticipated periods of regulatory exclusivity for our current product candidate or any future product candidates it could adversely affect our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currently have no marketing and sales organization and have no experience as a company in marketing products. If we are unable to establish marketing and sales capabilities or enter into agreements with third parties to market and sell our product candidates, if approved, we may not be able to generate product revenue. </w:t>
      </w:r>
    </w:p>
    <w:p>
      <w:pPr>
        <w:pStyle w:val="TextBody"/>
        <w:bidi w:val="0"/>
        <w:spacing w:before="120" w:after="0"/>
        <w:jc w:val="left"/>
        <w:rPr>
          <w:rFonts w:ascii="Times New Roman" w:hAnsi="Times New Roman"/>
          <w:sz w:val="20"/>
        </w:rPr>
      </w:pPr>
      <w:r>
        <w:rPr>
          <w:rFonts w:ascii="Times New Roman" w:hAnsi="Times New Roman"/>
          <w:sz w:val="20"/>
        </w:rPr>
        <w:t xml:space="preserve">We currently have no sales, marketing or distribution capabilities and have no experience in marketing products.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 </w:t>
      </w:r>
    </w:p>
    <w:p>
      <w:pPr>
        <w:pStyle w:val="TextBody"/>
        <w:bidi w:val="0"/>
        <w:spacing w:before="240" w:after="0"/>
        <w:jc w:val="left"/>
        <w:rPr>
          <w:rFonts w:ascii="Times New Roman" w:hAnsi="Times New Roman"/>
          <w:sz w:val="20"/>
        </w:rPr>
      </w:pPr>
      <w:r>
        <w:rPr>
          <w:rFonts w:ascii="Times New Roman" w:hAnsi="Times New Roman"/>
          <w:sz w:val="20"/>
        </w:rPr>
        <w:t xml:space="preserve">If we are unable or decide not to establish internal sales, marketing and distribution capabilities, we will pursue arrangements with third-party sales, marketing and distribution collaborators regarding the sales and marketing of our products, if approved. However, there can be no assurance that we will be able to establish or maintain such arrangements on favorable terms or if at all, or if we are able to do so, that these third-party arrangements will provide effective sales forces or marketing and distribution capabilities. Any revenue we receive will depend upon the efforts of such third parties, which may not be successful.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 If we are not successful in commercializing any approved products, our future product revenue will suffer and we may incur significant additional losses.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we will be able to develop in-house sales and distribution capabilities or establish or maintain relationships with third-party collaborators to commercialize any product in the United States, Canada or overseas. Any failure or delay in the development of our internal or a third parties’ sales, marketing and distribution capabilities would adversely impact the commercialization of our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Off-label use or misuse of our product candidate may harm our reputation in the marketplace or result in injuries that lead to costly product liability suits. </w:t>
      </w:r>
    </w:p>
    <w:p>
      <w:pPr>
        <w:pStyle w:val="TextBody"/>
        <w:bidi w:val="0"/>
        <w:spacing w:before="120" w:after="0"/>
        <w:jc w:val="left"/>
        <w:rPr>
          <w:rFonts w:ascii="Times New Roman" w:hAnsi="Times New Roman"/>
          <w:sz w:val="20"/>
        </w:rPr>
      </w:pPr>
      <w:r>
        <w:rPr>
          <w:rFonts w:ascii="Times New Roman" w:hAnsi="Times New Roman"/>
          <w:sz w:val="20"/>
        </w:rPr>
        <w:t xml:space="preserve">If amsoki-cel or any future product candidates are approved by the FDA, we may only promote or market such product candidates in a manner consistent with their FDA-approved labeling. We will train our marketing and sales force against promoting our product candidates for uses outside of the approved indications for use, known as “off-label uses.” We cannot, however, prevent a physician from using our product candidates off-label, when in the physician’s independent professional medical judgment he or she deems it appropriate. Furthermore,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use of our product candidates for indications other than those approved by the FDA may not effectively treat such conditions. Any such off-label use of our product candidates could harm our reputation in the marketplace among physicians and patients. There may also be increased risk of injury to patients if physicians attempt to use our product candidates for these uses for which they are not approved, which could lead to product liability suits that might require significant financial and management resources and that could harm our reputation.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or any third-party manufacturer we engage now or in the future fails to comply with environmental, health, and safety laws and regulations, we could become subject to fines or penalties or incur costs or liabilities that could have a material adverse effect on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and third-party manufacturers we engage now are, and any third-party manufacturer we may engage in the future will be,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w:t>
      </w:r>
    </w:p>
    <w:p>
      <w:pPr>
        <w:pStyle w:val="TextBody"/>
        <w:bidi w:val="0"/>
        <w:spacing w:before="240" w:after="0"/>
        <w:jc w:val="left"/>
        <w:rPr>
          <w:rFonts w:ascii="Times New Roman" w:hAnsi="Times New Roman"/>
          <w:sz w:val="20"/>
        </w:rPr>
      </w:pPr>
      <w:r>
        <w:rPr>
          <w:rFonts w:ascii="Times New Roman" w:hAnsi="Times New Roman"/>
          <w:sz w:val="20"/>
        </w:rPr>
        <w:t xml:space="preserve">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 </w:t>
      </w:r>
    </w:p>
    <w:p>
      <w:pPr>
        <w:pStyle w:val="TextBody"/>
        <w:bidi w:val="0"/>
        <w:spacing w:before="240" w:after="0"/>
        <w:jc w:val="left"/>
        <w:rPr>
          <w:rFonts w:ascii="Times New Roman" w:hAnsi="Times New Roman"/>
          <w:sz w:val="20"/>
        </w:rPr>
      </w:pPr>
      <w:r>
        <w:rPr>
          <w:rFonts w:ascii="Times New Roman" w:hAnsi="Times New Roman"/>
          <w:sz w:val="20"/>
        </w:rPr>
        <w:t xml:space="preserve">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 or products. In addition, our supply chain may be adversely impacted if any of our third-party contract manufacturers become subject to injunctions or other sanctions as a result of their non-compliance with environmental, health, and safety laws and regulations.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Intellectual Property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ability to compete may decline if we do not adequately protect our proprietary rights. </w:t>
      </w:r>
    </w:p>
    <w:p>
      <w:pPr>
        <w:pStyle w:val="TextBody"/>
        <w:bidi w:val="0"/>
        <w:spacing w:before="120" w:after="0"/>
        <w:jc w:val="left"/>
        <w:rPr>
          <w:rFonts w:ascii="Times New Roman" w:hAnsi="Times New Roman"/>
          <w:sz w:val="20"/>
        </w:rPr>
      </w:pPr>
      <w:r>
        <w:rPr>
          <w:rFonts w:ascii="Times New Roman" w:hAnsi="Times New Roman"/>
          <w:sz w:val="20"/>
        </w:rPr>
        <w:t xml:space="preserve">Our commercial success depends, in part, on obtaining and maintaining patents and other forms of intellectual property rights for our technology, including product candidates (including clinical product candidates and preclinical product candidates), methods used to produce, purify, and manufacture those product candidates, and methods of utilizing the product candidates, including methods for treating patients, among other aspects of our technology or on licensing-in such rights. Failure to protect or to obtain, maintain, or extend adequate patent and other intellectual property rights could materially adversely affect our ability to develop and market our product candidates or future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Our strategy depends in part on our ability to identify and seek patent protection for our discoveries. The patent prosecution process is time-consuming and expensive, and we and our current or future licensors, licensees, or collaborators may not be able to prepare, file, and prosecute all necessary or desirable patent applications at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reasonable cost or in a timely manner in all jurisdictions where protection may be commercially advantageous. It is also possible that we or our current or future licensors, licensees, or collaborators will fail to identify patentable aspects of inventions made in the course of development activities before it is too late to obtain patent protection on them. </w:t>
      </w:r>
    </w:p>
    <w:p>
      <w:pPr>
        <w:pStyle w:val="TextBody"/>
        <w:bidi w:val="0"/>
        <w:spacing w:before="240" w:after="0"/>
        <w:jc w:val="left"/>
        <w:rPr>
          <w:rFonts w:ascii="Times New Roman" w:hAnsi="Times New Roman"/>
          <w:sz w:val="20"/>
        </w:rPr>
      </w:pPr>
      <w:r>
        <w:rPr>
          <w:rFonts w:ascii="Times New Roman" w:hAnsi="Times New Roman"/>
          <w:sz w:val="20"/>
        </w:rPr>
        <w:t xml:space="preserve">The standards which the United States Patent and Trademark Office, or the USPTO, and its foreign counterparts use to grant patents are not always applied predictably or uniformly and can change in the future. There is also no uniform, worldwide policy regarding the subject matter and scope of claims granted or allowable. The laws of some foreign countries do not protect proprietary information to the same extent as the laws of the United States. Outside the United States, patent protection must be sought in individual jurisdictions, further adding to the cost and uncertainty of obtaining adequate patent protection outside of the United States. Accordingly, the issuance, scope, validity, enforceability, and commercial value of our and our current or future licensors’, licensees’, or collaborators’ current and future patent rights are highly uncertain. We cannot predict whether additional patents protecting our technology will issue in the United States or in foreign jurisdictions, or whether any patents that do issue will have claims of adequate scope to provide a competitive advantage. Our current or future licensors’, licensees’, or collaborators’ pending and future patent applications may not result in patents being issued which protect our product candidates or other technology, in whole or in part, or which effectively prevent others from commercializing competitive products and technology. The patent examination process may require us or our current or future licensors, licensees, or collaborators to narrow the scope of the claims of our or our current or future licensors’, licensees’, or collaborators’ pending and future patent applications, which may limit the scope of patent protection that may be obtained. </w:t>
      </w:r>
    </w:p>
    <w:p>
      <w:pPr>
        <w:pStyle w:val="TextBody"/>
        <w:bidi w:val="0"/>
        <w:spacing w:before="240" w:after="0"/>
        <w:jc w:val="left"/>
        <w:rPr>
          <w:rFonts w:ascii="Times New Roman" w:hAnsi="Times New Roman"/>
          <w:sz w:val="20"/>
        </w:rPr>
      </w:pPr>
      <w:r>
        <w:rPr>
          <w:rFonts w:ascii="Times New Roman" w:hAnsi="Times New Roman"/>
          <w:sz w:val="20"/>
        </w:rPr>
        <w:t xml:space="preserve">We cannot confirm that all of the potentially relevant prior art relating to our patents and patent applications has been found. If such prior art exists, it can invalidate a patent or prevent a patent from issuing from a pending patent application. Even if patents do successfully issue, or have issued and even if such patents cover a product candidate, and/or other technologies, third parties may initiate an adversarial proceeding including opposition, interference, re-examination, post-grant review, inter partes review, litigation, nullification, or derivation action before patent offices or in court, or similar proceedings challenging the validity, enforceability, or scope, inventorship, or ownership of such patents, which may result in the patent claims being narrowed, invalidated, or held unenforceable or unavailable to us. </w:t>
      </w:r>
    </w:p>
    <w:p>
      <w:pPr>
        <w:pStyle w:val="TextBody"/>
        <w:bidi w:val="0"/>
        <w:spacing w:before="240" w:after="0"/>
        <w:jc w:val="left"/>
        <w:rPr>
          <w:rFonts w:ascii="Times New Roman" w:hAnsi="Times New Roman"/>
          <w:sz w:val="20"/>
        </w:rPr>
      </w:pPr>
      <w:r>
        <w:rPr>
          <w:rFonts w:ascii="Times New Roman" w:hAnsi="Times New Roman"/>
          <w:sz w:val="20"/>
        </w:rPr>
        <w:t xml:space="preserve">Patent applications in the United States and many foreign jurisdictions are typically not published until 18 months after the filing of the first priority application, or in some cases not at all, and publications of discoveries in scientific literature lag behind actual discoveries. As such,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 Therefore, the enforceability and scope of our patents in the United States and in foreign countries cannot be predicted with certainty and, as a result, any patents that we own or license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 </w:t>
      </w:r>
    </w:p>
    <w:p>
      <w:pPr>
        <w:pStyle w:val="TextBody"/>
        <w:bidi w:val="0"/>
        <w:spacing w:before="240" w:after="0"/>
        <w:jc w:val="left"/>
        <w:rPr>
          <w:rFonts w:ascii="Times New Roman" w:hAnsi="Times New Roman"/>
          <w:sz w:val="20"/>
        </w:rPr>
      </w:pPr>
      <w:r>
        <w:rPr>
          <w:rFonts w:ascii="Times New Roman" w:hAnsi="Times New Roman"/>
          <w:sz w:val="20"/>
        </w:rPr>
        <w:t xml:space="preserve">In addition, changes in, or different interpretations of, patent laws in the United States and other countries may permit others to use our discoveries or to develop and commercialize our technology and products without providing any notice or compensation to us or may limit the scope of patent protection that we or our licensors are able to obtain. The laws of some countries do not protect intellectual property rights to the same extent as U.S. laws and those countries may lack adequate rules and procedures for defending our intellectual property rights. </w:t>
      </w:r>
    </w:p>
    <w:p>
      <w:pPr>
        <w:pStyle w:val="TextBody"/>
        <w:bidi w:val="0"/>
        <w:spacing w:before="240" w:after="0"/>
        <w:jc w:val="left"/>
        <w:rPr>
          <w:rFonts w:ascii="Times New Roman" w:hAnsi="Times New Roman"/>
          <w:sz w:val="20"/>
        </w:rPr>
      </w:pPr>
      <w:r>
        <w:rPr>
          <w:rFonts w:ascii="Times New Roman" w:hAnsi="Times New Roman"/>
          <w:sz w:val="20"/>
        </w:rPr>
        <w:t xml:space="preserve">Finally, our current and future licensors’, licensees’ or collaborators’ patent applications cannot be enforced against third parties practicing the claimed technology in such applications unless and until a patent issues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application(s), and then only to the extent the issued claims cover the technology in the relevant jurisdiction, and, if applicable, until the patent survives an opposition, interference, re-examination, inter partes review, and the like with claims that continue to cover the technology.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not seek to protect our intellectual property rights in all jurisdictions throughout the world and we may not be able to adequately enforce our intellectual property rights even in the jurisdictions where we seek protection. </w:t>
      </w:r>
    </w:p>
    <w:p>
      <w:pPr>
        <w:pStyle w:val="TextBody"/>
        <w:bidi w:val="0"/>
        <w:spacing w:before="120" w:after="0"/>
        <w:jc w:val="left"/>
        <w:rPr>
          <w:rFonts w:ascii="Times New Roman" w:hAnsi="Times New Roman"/>
          <w:sz w:val="20"/>
        </w:rPr>
      </w:pPr>
      <w:r>
        <w:rPr>
          <w:rFonts w:ascii="Times New Roman" w:hAnsi="Times New Roman"/>
          <w:sz w:val="20"/>
        </w:rPr>
        <w:t xml:space="preserve">Filing, prosecuting, and defending patents on our product candidate or any future product candidates in all countries and jurisdictions throughout the world would be prohibitively expensive, and our intellectual property rights in some countries outside the United States could be less extensive than those in the United States, assuming that rights are obtained in the United States. In addition, the laws of some foreign countries do not protect intellectual property rights to the same extent as federal and state laws in the United States. As such, we will not file for patent protection in all national and regional jurisdictions in the world where such protection may be available. </w:t>
      </w:r>
    </w:p>
    <w:p>
      <w:pPr>
        <w:pStyle w:val="TextBody"/>
        <w:bidi w:val="0"/>
        <w:spacing w:before="240" w:after="0"/>
        <w:jc w:val="left"/>
        <w:rPr>
          <w:rFonts w:ascii="Times New Roman" w:hAnsi="Times New Roman"/>
          <w:sz w:val="20"/>
        </w:rPr>
      </w:pPr>
      <w:r>
        <w:rPr>
          <w:rFonts w:ascii="Times New Roman" w:hAnsi="Times New Roman"/>
          <w:sz w:val="20"/>
        </w:rPr>
        <w:t xml:space="preserve">Accordingly, competitors may use our and our existing or future licensors’, licensees’, or collaborators’ technologies in jurisdictions where we have not obtained patent protection to develop their own products and, further, may export otherwise infringing products to territories where we and our existing or future licensors, licensees, or collaborators have patent protection, but enforcement is not as strong as that in the United States. These products may compete with our product candidate or other technologies, and our and our existing or future licensors’, licensees’, or collaborators’ patents or other intellectual property rights may not be effective or sufficient to prevent them from competing. </w:t>
      </w:r>
    </w:p>
    <w:p>
      <w:pPr>
        <w:pStyle w:val="TextBody"/>
        <w:bidi w:val="0"/>
        <w:spacing w:before="240" w:after="0"/>
        <w:jc w:val="left"/>
        <w:rPr>
          <w:rFonts w:ascii="Times New Roman" w:hAnsi="Times New Roman"/>
          <w:sz w:val="20"/>
        </w:rPr>
      </w:pPr>
      <w:r>
        <w:rPr>
          <w:rFonts w:ascii="Times New Roman" w:hAnsi="Times New Roman"/>
          <w:sz w:val="20"/>
        </w:rPr>
        <w:t xml:space="preserve">The laws of some foreign countries do not protect intellectual property rights to the same extent as the laws of the United States. Patent protection must be sought on a country-by-country basis, which is an expensive and time-consuming process with uncertain outcomes. Accordingly, we may choose not to seek patent protection in certain countries, and we will not have the benefit of patent protection in such countries. In addition, the legal systems of some countries, particularly developing countries, do not favor the enforcement of patents and other intellectual property protection, and the requirements for patentability differ, in varying degrees, from country to country, and the laws of some foreign countries do not protect intellectual property rights, including trade secrets, to the same extent as federal and state laws of the United States. As a result, many companies have encountered significant problems in protecting and defending intellectual property rights in certain foreign jurisdictions. Such issues may make it difficult for us to stop the infringement, misappropriation, or other violation of our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In those countries, we may have limited remedies if patents are infringed or if we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 Similarly, if our trade secrets are disclosed in a foreign jurisdiction, competitors worldwide could have access to our proprietary information and we may be without satisfactory recourse. Such disclosure could have a material adverse effect on our business. Moreover, our ability to protect and enforce our intellectual property rights may be adversely affected by unforeseen changes in foreign intellectual property laws. </w:t>
      </w:r>
    </w:p>
    <w:p>
      <w:pPr>
        <w:pStyle w:val="TextBody"/>
        <w:bidi w:val="0"/>
        <w:spacing w:before="240" w:after="0"/>
        <w:jc w:val="left"/>
        <w:rPr>
          <w:rFonts w:ascii="Times New Roman" w:hAnsi="Times New Roman"/>
          <w:sz w:val="20"/>
        </w:rPr>
      </w:pPr>
      <w:r>
        <w:rPr>
          <w:rFonts w:ascii="Times New Roman" w:hAnsi="Times New Roman"/>
          <w:sz w:val="20"/>
        </w:rPr>
        <w:t xml:space="preserve">Furthermore, proceedings to enforce our patent rights and other intellectual property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 that we initiate, and the damages or other remedies awarded to us, if any, may not be commercially meaningful, while the damages and other remedies we may be ordered to pay such third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may be significant. Accordingly, our efforts to enforce our intellectual property rights around the world may be inadequate to obtain a significant commercial advantage from the intellectual property that we develop or license. </w:t>
      </w:r>
    </w:p>
    <w:p>
      <w:pPr>
        <w:pStyle w:val="TextBody"/>
        <w:bidi w:val="0"/>
        <w:spacing w:before="360" w:after="0"/>
        <w:jc w:val="left"/>
        <w:rPr>
          <w:rFonts w:ascii="Times New Roman" w:hAnsi="Times New Roman"/>
          <w:b/>
          <w:i/>
          <w:sz w:val="20"/>
        </w:rPr>
      </w:pPr>
      <w:r>
        <w:rPr>
          <w:rFonts w:ascii="Times New Roman" w:hAnsi="Times New Roman"/>
          <w:b/>
          <w:i/>
          <w:sz w:val="20"/>
        </w:rPr>
        <w:t xml:space="preserve">Issued patents covering our product candidates and related technology could be found invalid or unenforceable if challenged in court or before a patent office. </w:t>
      </w:r>
    </w:p>
    <w:p>
      <w:pPr>
        <w:pStyle w:val="TextBody"/>
        <w:bidi w:val="0"/>
        <w:spacing w:before="120" w:after="0"/>
        <w:jc w:val="left"/>
        <w:rPr>
          <w:rFonts w:ascii="Times New Roman" w:hAnsi="Times New Roman"/>
          <w:sz w:val="20"/>
        </w:rPr>
      </w:pPr>
      <w:r>
        <w:rPr>
          <w:rFonts w:ascii="Times New Roman" w:hAnsi="Times New Roman"/>
          <w:sz w:val="20"/>
        </w:rPr>
        <w:t xml:space="preserve">Issued patents may be challenged, narrowed, invalidated, or circumvented. We may from time to time need to resort to litigation (or other adversarial proceedings) to enforce or defend any patents or other intellectual property right owned by or licensed to us, or to determine or challenge the scope or validity of patents or other intellectual property rights of third parties. As enforcement of intellectual property rights is difficult, unpredictable, and expensive, we may fail in enforcing our rights—in which case our competitors may be permitted to use our technology without being enjoined, required to pay us any license fees, or compensate us for lost profits or reasonable royalty. In addition, litigation involving our patents carries the risk that one or more of our patents will be held invalid (in whole or in part, on a claim-by-claim basis) or held unenforceable. Such an adverse court ruling could allow third parties to commercialize technology covered by our patents we seek to enforce, such as those covering our product candidates and related methods, among other technologies, and then compete directly with us, without payment to us. </w:t>
      </w:r>
    </w:p>
    <w:p>
      <w:pPr>
        <w:pStyle w:val="TextBody"/>
        <w:bidi w:val="0"/>
        <w:spacing w:before="240" w:after="0"/>
        <w:jc w:val="left"/>
        <w:rPr>
          <w:rFonts w:ascii="Times New Roman" w:hAnsi="Times New Roman"/>
          <w:sz w:val="20"/>
        </w:rPr>
      </w:pPr>
      <w:r>
        <w:rPr>
          <w:rFonts w:ascii="Times New Roman" w:hAnsi="Times New Roman"/>
          <w:sz w:val="20"/>
        </w:rPr>
        <w:t xml:space="preserve">If we were to initiate legal proceedings against a third party to enforce a patent covering our product candidates or other technologies, the defendant could counterclaim that our patent is invalid and/or unenforceable, which is commonplace in patent litigation in the United States and in other foreign jurisdictions. Grounds for a validity challenge could be an alleged failure to meet any of several statutory requirements for patentability, for example, lack of utility, novelty, obviousness, non-enablement, or lack of written description or as constituting unpatentable subject matter. Grounds for an unenforceability assertion could be an allegation that someone substantively involved in prosecution of the patent withheld but-for material information from the USPTO or engaged in affirmatively egregious misconduct, during prosecution, with a specific intent to deceive the USPTO. </w:t>
      </w:r>
    </w:p>
    <w:p>
      <w:pPr>
        <w:pStyle w:val="TextBody"/>
        <w:bidi w:val="0"/>
        <w:spacing w:before="240" w:after="0"/>
        <w:jc w:val="left"/>
        <w:rPr>
          <w:rFonts w:ascii="Times New Roman" w:hAnsi="Times New Roman"/>
          <w:sz w:val="20"/>
        </w:rPr>
      </w:pPr>
      <w:r>
        <w:rPr>
          <w:rFonts w:ascii="Times New Roman" w:hAnsi="Times New Roman"/>
          <w:sz w:val="20"/>
        </w:rPr>
        <w:t xml:space="preserve">The outcome following legal assertions of invalidity and unenforceability during patent litigation (or other adversarial proceedings)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could lose at least part, and perhaps all, of the patent protection on our product candidate or other technology. Such a loss of patent protection could have a material adverse impact on our business. Even if we have valid and enforceable patents, these patents still may not provide protection against competing products or processes sufficient to achieve our business objectives. Patents and other intellectual property rights also will not protect our technology if competitors design around our protected technology without infringing our patents or other intellectual property rights.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unsuccessful in defending against claims by competitors or others that we are infringing upon their intellectual property rights, our business could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Our commercial success will depend, in part, on our ability to operate without infringing the proprietary rights of third parties. Other entities may have or obtain patents or other proprietary rights that could limit our ability to make, use, sell, offer for sale, or import a product candidate, a future approved product, or impair our competitive position. There may be issued patents and/or pending patent applications held by third parties that could be alleged as covering our product candidate, irrespective of the merits. Although we believe that these patents are not infringed, and/or are invalid and/or unenforceable, if a court should find that they cover our product candidates and we are unable to invalidate such patents, or if licenses for them are not available or on commercially reasonable terms, our business could be harmed, perhaps materially.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if such patents or patent applications were asserted against us, we would have counterclaims and defenses against such claims, including non-infringement, the affirmative defense of safe harbor designed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protect activity undertaken to obtain federal regulatory approval of a cell therapy, including under 35 U.S.C. § 271(e) and similar foreign exceptions to infringement, and defenses concerning patent invalidity and/or unenforceability. However, if such counterclaims and defenses are not successful and such patents are successfully asserted against us such that they are found to be valid and enforceable, and infringed, unless we obtain a license to such patents, which may not be available or on commercially reasonable terms or at all, we could be prevented from continuing to develop or commercialize our product candidate. We could also be required to pay substantial damages. We cannot confirm that we will ultimately prevail if any such third-party intellectual property is asserted against us. </w:t>
      </w:r>
    </w:p>
    <w:p>
      <w:pPr>
        <w:pStyle w:val="TextBody"/>
        <w:bidi w:val="0"/>
        <w:spacing w:before="240" w:after="0"/>
        <w:jc w:val="left"/>
        <w:rPr>
          <w:rFonts w:ascii="Times New Roman" w:hAnsi="Times New Roman"/>
          <w:sz w:val="20"/>
        </w:rPr>
      </w:pPr>
      <w:r>
        <w:rPr>
          <w:rFonts w:ascii="Times New Roman" w:hAnsi="Times New Roman"/>
          <w:sz w:val="20"/>
        </w:rPr>
        <w:t xml:space="preserve">In the biotechnology industry, significant litigation and other proceedings regarding patents, patent applications, trademarks, and other intellectual property rights have become commonplace. The types of situations in which we may become a party to such litigation or proceedings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or our collaborators may initiate litigation or other adversarial proceedings against third parties seeking to invalidate the patents held by those third parties or to obtain a judgment that our products or processes do not infringe those third parties’ patents;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our competitors file patent applications that claim technology also claimed by us or our licensors, we or our licensors may be required to participate in interference, opposition, or other proceedings to determine the priority of invention, which could jeopardize our patent rights and potentially provide a third party with a dominant patent position;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third parties initiate litigation claiming that our processes or products infringe their patent or other intellectual property rights, we and our collaborators will need to defend against such proceedings;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 license to necessary technology is terminated, the licensor may initiate litigation claiming that our processes or products infringe or misappropriate their patent or other intellectual property rights and/or that we breached our obligations under the license agreement, and we and our collaborators would need to defend against such proceedings.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lawsuits (or other adversarial proceedings) would be costly and could affect our results of operations and divert the attention of our management and scientific personnel. The cost of any patent litigation or other proceeding, even if resolved in our favor, could be substantial. Some of our competitors may be able to sustain the cost of such litigation and proceedings more effectively than we can because of their substantially greater resources. Uncertainties resulting from the initiation and continuation of patent litigation or other proceedings could have a material adverse effect on our ability to compete in the marketplace. Patent litigation and other proceedings may also absorb significant management time.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the breadth or strength of protection provided by our present or future licensors’, collaborators’, or partners’ patents and patent applications is threatened, it could dissuade companies from collaborating with us to license, develop, or commercialize current or future product candidates. Furthermore, because of the substantial amount of discovery required in connection with intellectual property litigation, there is a risk that some of our confidential information could be compromised by disclosure during this type of litigation. </w:t>
      </w:r>
    </w:p>
    <w:p>
      <w:pPr>
        <w:pStyle w:val="TextBody"/>
        <w:bidi w:val="0"/>
        <w:spacing w:before="240" w:after="0"/>
        <w:jc w:val="left"/>
        <w:rPr>
          <w:rFonts w:ascii="Times New Roman" w:hAnsi="Times New Roman"/>
          <w:sz w:val="20"/>
        </w:rPr>
      </w:pPr>
      <w:r>
        <w:rPr>
          <w:rFonts w:ascii="Times New Roman" w:hAnsi="Times New Roman"/>
          <w:sz w:val="20"/>
        </w:rPr>
        <w:t xml:space="preserve">Third-party intellectual property right holders, including our competitors, may actively bring infringement claims against us. We may not be able to successfully settle, license (including on commercially acceptable terms), or otherwise resolve such potential infringement claims. If we are unable to successfully settle future claims on terms acceptable to us, we may be required to engage or continue costly, unpredictable, and time-consuming litigation and may be prevented from or experience substantial delays in marketing any approved products. If we fail in any such dispute, in addition to being forced to potentially pay damages, we or our collaborators may be temporarily or permanently prohibited from commercializing our product candidates that are held to be infringing or be forced to redesign product candidates so that we no longer infringe the third-party’s intellectual property rights. Any of these events, even if we were ultimately to prevail, could require us to divert substantial financial and management resources that we would otherwise be able to devote to our business, research, and development.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biotechnology industry has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or predictable. If we are sued for patent infringement, we would need to demonstrate that our products or methods either do not infringe the patented claims of the relevant patent or that the patented claims are invalid, and we may not be able to do this. Proving invalidity can be difficult. For example, in the United States, proving invalidity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 incur substantial monetary damages, encounter significant delays in bringing our product candidate to market, and be precluded from manufacturing or selling our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identify relevant third-party patents or may incorrectly interpret the relevance, scope or expiration of a third-party patent which might adversely affect our ability to develop and market our products. </w:t>
      </w:r>
    </w:p>
    <w:p>
      <w:pPr>
        <w:pStyle w:val="TextBody"/>
        <w:bidi w:val="0"/>
        <w:spacing w:before="120" w:after="0"/>
        <w:jc w:val="left"/>
        <w:rPr>
          <w:rFonts w:ascii="Times New Roman" w:hAnsi="Times New Roman"/>
          <w:sz w:val="20"/>
        </w:rPr>
      </w:pPr>
      <w:r>
        <w:rPr>
          <w:rFonts w:ascii="Times New Roman" w:hAnsi="Times New Roman"/>
          <w:sz w:val="20"/>
        </w:rPr>
        <w:t xml:space="preserve">It is also possible that in our evaluation of third-party intellectual property, we failed to identify relevant patents or applications. We cannot guarantee that any of our patent searches or analyses, including but not limited to the identification of relevant patents, the scope of patented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 in any jurisdiction. </w:t>
      </w:r>
    </w:p>
    <w:p>
      <w:pPr>
        <w:pStyle w:val="TextBody"/>
        <w:bidi w:val="0"/>
        <w:spacing w:before="240" w:after="0"/>
        <w:jc w:val="left"/>
        <w:rPr>
          <w:rFonts w:ascii="Times New Roman" w:hAnsi="Times New Roman"/>
          <w:sz w:val="20"/>
        </w:rPr>
      </w:pPr>
      <w:r>
        <w:rPr>
          <w:rFonts w:ascii="Times New Roman" w:hAnsi="Times New Roman"/>
          <w:sz w:val="20"/>
        </w:rPr>
        <w:t xml:space="preserve">The scope of a patented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 Our failure to identify and correctly interpret relevant patents may negatively impact our ability to develop and market our products. </w:t>
      </w:r>
    </w:p>
    <w:p>
      <w:pPr>
        <w:pStyle w:val="TextBody"/>
        <w:bidi w:val="0"/>
        <w:spacing w:before="240" w:after="0"/>
        <w:jc w:val="left"/>
        <w:rPr>
          <w:rFonts w:ascii="Times New Roman" w:hAnsi="Times New Roman"/>
          <w:sz w:val="20"/>
        </w:rPr>
      </w:pPr>
      <w:r>
        <w:rPr>
          <w:rFonts w:ascii="Times New Roman" w:hAnsi="Times New Roman"/>
          <w:sz w:val="20"/>
        </w:rPr>
        <w:t xml:space="preserve">For example, U.S. applications filed before November 29, 2000 and certain U.S. applications filed after that date that will not be filed outside the United States remain confidential until the patent issues. Patent applications in the United States and elsewhere are published approximately 18 months after the earliest filing for which priority is claimed, with such earliest filing date being commonly referred to as the priority date. Furthermore, we operate in a highly competitive field, and given our limited resources, it is unreasonable to monitor all patent applications purporting to claim broad coverage in the areas in which we are active. Additionally, pending patent applications which have been published can, subject to certain limitations, be later amended in a manner that could cover our product candidate or related technology. We cannot predict whether third parties will be able to successfully obtain claims or the breadth of such claims.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become involved in lawsuits involving our intellectual property, including patents, to protect or enforce our patents, which could be expensive, time consuming, and unsuccessful. </w:t>
      </w:r>
    </w:p>
    <w:p>
      <w:pPr>
        <w:pStyle w:val="TextBody"/>
        <w:bidi w:val="0"/>
        <w:spacing w:before="120" w:after="0"/>
        <w:jc w:val="left"/>
        <w:rPr>
          <w:rFonts w:ascii="Times New Roman" w:hAnsi="Times New Roman"/>
          <w:sz w:val="20"/>
        </w:rPr>
      </w:pPr>
      <w:r>
        <w:rPr>
          <w:rFonts w:ascii="Times New Roman" w:hAnsi="Times New Roman"/>
          <w:sz w:val="20"/>
        </w:rPr>
        <w:t xml:space="preserve">We may become a party to litigation and other adversarial proceedings or disputes involving intellectual property in the US and in other jurisdictions. Such litigation (or other adversarial proceedings or disputes) include instances where we are asserting our intellectual property against third parties, or we are defending against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allegation of infringement. Even if such litigation (or other adversarial proceedings or disputes) is resolved in our favor, litigation or other legal proceedings relating to intellectual property claims may cause us to incur significant expenses and could distract our technical and management personnel from their normal responsibilities. In addition, there will be public announcements of the results of hearings, motions or other interim proceedings or developments and if securities analysts or investors perceive these results to be negative, this could have a substantial adverse effect on the price of our common shares. Such litigation or proceedings and the legal costs associated with them,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 material adverse effect on our ability to compete in the marketplace.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comply with our obligations under our intellectual property licenses with third parties, we could lose license rights that are important to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are currently party to intellectual property license agreements. These license agreements impose, and we expect that future license agreements may impose, various obligations on us. For example, we have entered into patent and know-how license agreements with the Board of Regents of The University of Texas System that grant us the right to use certain technologies related to our clinical product candidates and related methods. If we fail to comply with our obligations under the licenses, the licensor may have the right to terminate their respective license agreements, in which event we might not be able to market any product that is covered by the agreements. Termination of the license agreements or reduction or elimination of our licensed rights may result in our having to negotiate new or reinstated licenses with less favorable terms, which could adversely affect our competitive business position and harm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rights in some intellectual property that have been discovered through United States government funded programs and thus are subject to federal regulations such as “march-in” rights, certain reporting requirements, and a preference for U.S. industry. </w:t>
      </w:r>
    </w:p>
    <w:p>
      <w:pPr>
        <w:pStyle w:val="TextBody"/>
        <w:bidi w:val="0"/>
        <w:spacing w:before="120" w:after="0"/>
        <w:jc w:val="left"/>
        <w:rPr>
          <w:rFonts w:ascii="Times New Roman" w:hAnsi="Times New Roman"/>
          <w:sz w:val="20"/>
        </w:rPr>
      </w:pPr>
      <w:r>
        <w:rPr>
          <w:rFonts w:ascii="Times New Roman" w:hAnsi="Times New Roman"/>
          <w:sz w:val="20"/>
        </w:rPr>
        <w:t xml:space="preserve">We have rights in some intellectual property that was developed through U.S. government funded programs and thus are subject to federal regulations such as “march-in” rights, certain reporting requirements, and a preference for U.S. industry. For example, some of the intellectual property rights licensed to us under our M.D. Anderson License Agreement were generated using U.S. government funds. As a result, the U.S. government has certain rights to intellectual property embodied in certain current or future products pursuant to the Bayh-Dole Act of 1980. These U.S. government rights in certain inventions developed under government-funded programs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the government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the applicable licensor fails to disclose the invention to the government, elect title, and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U.S. government-funded programs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This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preference for U.S. manufacturing may limit our ability to license the applicable patent rights on an exclusive basis under certain circumstances.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unsuccessful in licensing or acquiring third-party intellectual property that may be required to develop and commercialize our product candidate. </w:t>
      </w:r>
    </w:p>
    <w:p>
      <w:pPr>
        <w:pStyle w:val="TextBody"/>
        <w:bidi w:val="0"/>
        <w:spacing w:before="120" w:after="0"/>
        <w:jc w:val="left"/>
        <w:rPr>
          <w:rFonts w:ascii="Times New Roman" w:hAnsi="Times New Roman"/>
          <w:sz w:val="20"/>
        </w:rPr>
      </w:pPr>
      <w:r>
        <w:rPr>
          <w:rFonts w:ascii="Times New Roman" w:hAnsi="Times New Roman"/>
          <w:sz w:val="20"/>
        </w:rPr>
        <w:t xml:space="preserve">We have rights, through patents that we have in-licensed or own, to the intellectual property to develop our product candidates. Because our programs may involve additional product candidates that may require the use of intellectual property or proprietary rights held by third parties, the growth of our business may depend in part on our ability to acquire, in-license, or use such intellectual property and proprietary rights of others. We may be unable to acquire or in-license any third-party intellectual property or proprietary rights or to do so on commercially reasonable terms. For example, we sometimes collaborate with public or private academic institutions to accelerate our research or development under written agreements with these institutions. Typically, these institutions provide us with an option to negotiate a license to any of the institution’s rights in technology resulting from the strategic collaboration. Regardless of such option, we may be unable to negotiate a license within the specified time frame or under terms that are acceptable to us, and the institution may license such intellectual property rights to third parties, potentially blocking our ability to pursue our development and commercialization plans. The same situation may occur with a present or future development partner. </w:t>
      </w:r>
    </w:p>
    <w:p>
      <w:pPr>
        <w:pStyle w:val="TextBody"/>
        <w:bidi w:val="0"/>
        <w:spacing w:before="240" w:after="0"/>
        <w:jc w:val="left"/>
        <w:rPr>
          <w:rFonts w:ascii="Times New Roman" w:hAnsi="Times New Roman"/>
          <w:sz w:val="20"/>
        </w:rPr>
      </w:pPr>
      <w:r>
        <w:rPr>
          <w:rFonts w:ascii="Times New Roman" w:hAnsi="Times New Roman"/>
          <w:sz w:val="20"/>
        </w:rPr>
        <w:t xml:space="preserve">The licensing and acquisition of third-party intellectual property and proprietary rights is a competitive area, and a number of more established companies are also pursuing strategies to license or acquire third-party intellectual property and proprietary rights that we may consider attractive or necessary. These established companies may have a competitive advantage over us due to their size and greater capital resources and development and commercialization capabilities. In addition, companies that perceive us to be a competitor may be unwilling to assign or license intellectual property and proprietary rights to us. </w:t>
      </w:r>
    </w:p>
    <w:p>
      <w:pPr>
        <w:pStyle w:val="TextBody"/>
        <w:bidi w:val="0"/>
        <w:spacing w:before="240" w:after="0"/>
        <w:jc w:val="left"/>
        <w:rPr>
          <w:rFonts w:ascii="Times New Roman" w:hAnsi="Times New Roman"/>
          <w:sz w:val="20"/>
        </w:rPr>
      </w:pPr>
      <w:r>
        <w:rPr>
          <w:rFonts w:ascii="Times New Roman" w:hAnsi="Times New Roman"/>
          <w:sz w:val="20"/>
        </w:rPr>
        <w:t xml:space="preserve">If we are unable to successfully acquire or in-license rights to required third-party intellectual property and proprietary rights or maintain our intellectual property and proprietary rights, we may have to cease development of the relevant program, product, or product candidate, which could have a material adverse effect on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 </w:t>
      </w:r>
    </w:p>
    <w:p>
      <w:pPr>
        <w:pStyle w:val="TextBody"/>
        <w:bidi w:val="0"/>
        <w:spacing w:before="120" w:after="0"/>
        <w:jc w:val="left"/>
        <w:rPr>
          <w:rFonts w:ascii="Times New Roman" w:hAnsi="Times New Roman"/>
          <w:sz w:val="20"/>
        </w:rPr>
      </w:pPr>
      <w:r>
        <w:rPr>
          <w:rFonts w:ascii="Times New Roman" w:hAnsi="Times New Roman"/>
          <w:sz w:val="20"/>
        </w:rPr>
        <w:t xml:space="preserve">The USPTO and various foreign patent offices require compliance with a number of procedural, documentary, fee payment, and other similar provisions during the patent prosecution and post grant or issuance. We employ reputable law firms and other professionals to help us comply. Additionally, periodic maintenance fees, renewal fees, annuity fees, and various other governmental fees on patents and/or patent applications will be due to the USPTO and various foreign patent offices at various points over the lifetime of our patents and/or patent applications. We rely on our outside counsel or our agents to pay these fees when due.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such an event were to occur, it could have a material adverse effect on our business.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may be responsible for the payment of patent fees for patent rights that we license from third parties. If any licensor of these patents does not itself elect to make these payments, and we fail to do so, we may be liable to the licensor for any costs and consequences of any resulting loss of patent rights. If we or our existing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future licensors fail to maintain the patents and patent applications covering our product candidates, our competitors might be able to enter the market, which would have an adverse effect on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do not obtain protection under the Hatch-Waxman Amendments and similar foreign legislation for extending the term of patents covering each of our product candidates, our business may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Patents typically have a limited lifespan. In the United States and in most ex-U.S. jurisdictions, if all maintenance fees are timely paid, the natural expiration of a patent is generally 20 years from its earliest non-provisional filing date, not including potential patent term extensions or adjustments that may be available in the United States, and under comparable laws applicable outside the United States, where certain conditions are met. Various extensions may be available, but the life of a patent, and the protection it affords, is limited. Even if patents covering our product candidates are obtained, once the patent life has expired for a product candidate, we may be open to competition from competitive cell therapies.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causing our revenue from applicable products to be reduced, possibly materially, and potentially harming our ability to recover our investment in such product or obtain a reasonable return on that investment. </w:t>
      </w:r>
    </w:p>
    <w:p>
      <w:pPr>
        <w:pStyle w:val="TextBody"/>
        <w:bidi w:val="0"/>
        <w:spacing w:before="240" w:after="0"/>
        <w:jc w:val="left"/>
        <w:rPr>
          <w:rFonts w:ascii="Times New Roman" w:hAnsi="Times New Roman"/>
          <w:sz w:val="20"/>
        </w:rPr>
      </w:pPr>
      <w:r>
        <w:rPr>
          <w:rFonts w:ascii="Times New Roman" w:hAnsi="Times New Roman"/>
          <w:sz w:val="20"/>
        </w:rPr>
        <w:t xml:space="preserve">Depending upon the timing, duration, and conditions of FDA marketing approval of our product candidates or any future product candidates, one or more of our U.S. patents may be eligible for limited patent term extension under the Drug Price Competition and Patent Term Restoration Act of 1984, or Hatch-Waxman Amendments. The Hatch-Waxman Amendments permit a patent term extension of up to five years for a patent covering an approved product as compensation for effective patent term lost during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to claims by third parties asserting that our employees or we have misappropriated their intellectual property, or claiming ownership of what we regard as our own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As is common in the biotechnology and pharmaceutical industries, we employ individuals who were previously or are concurrently employed at other biotechnology or pharmaceutical companies, universities, and/or research institutions and the like, including our competitors or potential competitors. We may be subject to claims that these employees, or we, have inadvertently or otherwise used or disclosed trade secrets or other proprietary information of their former or concurrent employers, or that patents and applications we have filed to protect inventions of these employees, even those related to our product candidate, are rightfully owned by their former or concurrent employer. </w:t>
      </w:r>
    </w:p>
    <w:p>
      <w:pPr>
        <w:pStyle w:val="TextBody"/>
        <w:bidi w:val="0"/>
        <w:spacing w:before="240" w:after="0"/>
        <w:jc w:val="left"/>
        <w:rPr>
          <w:rFonts w:ascii="Times New Roman" w:hAnsi="Times New Roman"/>
          <w:sz w:val="20"/>
        </w:rPr>
      </w:pPr>
      <w:r>
        <w:rPr>
          <w:rFonts w:ascii="Times New Roman" w:hAnsi="Times New Roman"/>
          <w:sz w:val="20"/>
        </w:rPr>
        <w:t xml:space="preserve">Litigation may be necessary to defend against these claims. Even if we are successful in defending against these claims, litigation could result in substantial costs and be a distraction to management. If we fail in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or on commercially reasonable terms or at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Any trademarks we have obtained or may obtain may be infringed or successfully challenged, resulting in harm to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expect to rely on trademarks as one means to distinguish our product candidates that are approved for marketing from the products of our competitors. However,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diversions of resources and could adversely affect our business, financial condition, and growth prospects. </w:t>
      </w:r>
    </w:p>
    <w:p>
      <w:pPr>
        <w:pStyle w:val="TextBody"/>
        <w:bidi w:val="0"/>
        <w:spacing w:before="240" w:after="0"/>
        <w:jc w:val="left"/>
        <w:rPr>
          <w:rFonts w:ascii="Times New Roman" w:hAnsi="Times New Roman"/>
          <w:sz w:val="20"/>
        </w:rPr>
      </w:pPr>
      <w:r>
        <w:rPr>
          <w:rFonts w:ascii="Times New Roman" w:hAnsi="Times New Roman"/>
          <w:sz w:val="20"/>
        </w:rPr>
        <w:t xml:space="preserve">In addition, any proprietary name we propose to use with any product candidates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an alternate proprietary product name that would qualify under applicable trademark laws, not infringe the existing rights of third parties, and be acceptable to the FDA.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Healthcare, Insurance and Legal Matters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Product liability lawsuits against us could cause us to incur substantial liabilities and to limit commercialization of our product candidate. </w:t>
      </w:r>
    </w:p>
    <w:p>
      <w:pPr>
        <w:pStyle w:val="TextBody"/>
        <w:bidi w:val="0"/>
        <w:spacing w:before="120" w:after="0"/>
        <w:jc w:val="left"/>
        <w:rPr>
          <w:rFonts w:ascii="Times New Roman" w:hAnsi="Times New Roman"/>
          <w:sz w:val="20"/>
        </w:rPr>
      </w:pPr>
      <w:r>
        <w:rPr>
          <w:rFonts w:ascii="Times New Roman" w:hAnsi="Times New Roman"/>
          <w:sz w:val="20"/>
        </w:rPr>
        <w:t xml:space="preserve">We face an inherent risk of product liability exposure related to the testing of our product candidate in human trials and may face greater risk if we commercialize any products that we develop. Product liability claims may be brought against us by subjects enrolled in our trials, patients, healthcare providers, or others using, administering, or selling our products. If we cannot successfully defend ourselves against such claims, we could incur substantial liabilities. Regardless of merit or eventual outcome, liability claims may result in: </w:t>
      </w:r>
    </w:p>
    <w:p>
      <w:pPr>
        <w:pStyle w:val="TextBody"/>
        <w:bidi w:val="0"/>
        <w:spacing w:before="0" w:after="0"/>
        <w:jc w:val="left"/>
        <w:rPr/>
      </w:pPr>
      <w:r>
        <w:rPr/>
        <w:t> </w:t>
      </w:r>
    </w:p>
    <w:tbl>
      <w:tblPr>
        <w:tblW w:w="5365" w:type="dxa"/>
        <w:jc w:val="left"/>
        <w:tblInd w:w="0" w:type="dxa"/>
        <w:tblLayout w:type="fixed"/>
        <w:tblCellMar>
          <w:top w:w="0" w:type="dxa"/>
          <w:left w:w="0" w:type="dxa"/>
          <w:bottom w:w="0" w:type="dxa"/>
          <w:right w:w="0" w:type="dxa"/>
        </w:tblCellMar>
      </w:tblPr>
      <w:tblGrid>
        <w:gridCol w:w="75"/>
        <w:gridCol w:w="110"/>
        <w:gridCol w:w="60"/>
        <w:gridCol w:w="5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decreased demand for any product candidate we may develop; </w:t>
            </w:r>
          </w:p>
        </w:tc>
      </w:tr>
    </w:tbl>
    <w:p>
      <w:pPr>
        <w:pStyle w:val="TextBody"/>
        <w:bidi w:val="0"/>
        <w:spacing w:before="0" w:after="0"/>
        <w:jc w:val="left"/>
        <w:rPr/>
      </w:pPr>
      <w:r>
        <w:rPr/>
        <w:t> </w:t>
      </w:r>
    </w:p>
    <w:tbl>
      <w:tblPr>
        <w:tblW w:w="2875" w:type="dxa"/>
        <w:jc w:val="left"/>
        <w:tblInd w:w="0" w:type="dxa"/>
        <w:tblLayout w:type="fixed"/>
        <w:tblCellMar>
          <w:top w:w="0" w:type="dxa"/>
          <w:left w:w="0" w:type="dxa"/>
          <w:bottom w:w="0" w:type="dxa"/>
          <w:right w:w="0" w:type="dxa"/>
        </w:tblCellMar>
      </w:tblPr>
      <w:tblGrid>
        <w:gridCol w:w="75"/>
        <w:gridCol w:w="110"/>
        <w:gridCol w:w="60"/>
        <w:gridCol w:w="26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withdrawal of trial participants; </w:t>
            </w:r>
          </w:p>
        </w:tc>
      </w:tr>
    </w:tbl>
    <w:p>
      <w:pPr>
        <w:pStyle w:val="TextBody"/>
        <w:bidi w:val="0"/>
        <w:spacing w:before="0" w:after="0"/>
        <w:jc w:val="left"/>
        <w:rPr/>
      </w:pPr>
      <w:r>
        <w:rPr/>
        <w:t> </w:t>
      </w:r>
    </w:p>
    <w:tbl>
      <w:tblPr>
        <w:tblW w:w="4870" w:type="dxa"/>
        <w:jc w:val="left"/>
        <w:tblInd w:w="0" w:type="dxa"/>
        <w:tblLayout w:type="fixed"/>
        <w:tblCellMar>
          <w:top w:w="0" w:type="dxa"/>
          <w:left w:w="0" w:type="dxa"/>
          <w:bottom w:w="0" w:type="dxa"/>
          <w:right w:w="0" w:type="dxa"/>
        </w:tblCellMar>
      </w:tblPr>
      <w:tblGrid>
        <w:gridCol w:w="75"/>
        <w:gridCol w:w="110"/>
        <w:gridCol w:w="60"/>
        <w:gridCol w:w="46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termination of clinical trial sites or entire trial programs; </w:t>
            </w:r>
          </w:p>
        </w:tc>
      </w:tr>
    </w:tbl>
    <w:p>
      <w:pPr>
        <w:pStyle w:val="TextBody"/>
        <w:bidi w:val="0"/>
        <w:spacing w:before="0" w:after="0"/>
        <w:jc w:val="left"/>
        <w:rPr/>
      </w:pPr>
      <w:r>
        <w:rPr/>
        <w:t> </w:t>
      </w:r>
    </w:p>
    <w:tbl>
      <w:tblPr>
        <w:tblW w:w="5620" w:type="dxa"/>
        <w:jc w:val="left"/>
        <w:tblInd w:w="0" w:type="dxa"/>
        <w:tblLayout w:type="fixed"/>
        <w:tblCellMar>
          <w:top w:w="0" w:type="dxa"/>
          <w:left w:w="0" w:type="dxa"/>
          <w:bottom w:w="0" w:type="dxa"/>
          <w:right w:w="0" w:type="dxa"/>
        </w:tblCellMar>
      </w:tblPr>
      <w:tblGrid>
        <w:gridCol w:w="75"/>
        <w:gridCol w:w="110"/>
        <w:gridCol w:w="60"/>
        <w:gridCol w:w="53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injury to our reputation and significant negative media attention; </w:t>
            </w:r>
          </w:p>
        </w:tc>
      </w:tr>
    </w:tbl>
    <w:p>
      <w:pPr>
        <w:pStyle w:val="TextBody"/>
        <w:bidi w:val="0"/>
        <w:spacing w:before="0" w:after="0"/>
        <w:jc w:val="left"/>
        <w:rPr/>
      </w:pPr>
      <w:r>
        <w:rPr/>
        <w:t> </w:t>
      </w:r>
    </w:p>
    <w:tbl>
      <w:tblPr>
        <w:tblW w:w="3670" w:type="dxa"/>
        <w:jc w:val="left"/>
        <w:tblInd w:w="0" w:type="dxa"/>
        <w:tblLayout w:type="fixed"/>
        <w:tblCellMar>
          <w:top w:w="0" w:type="dxa"/>
          <w:left w:w="0" w:type="dxa"/>
          <w:bottom w:w="0" w:type="dxa"/>
          <w:right w:w="0" w:type="dxa"/>
        </w:tblCellMar>
      </w:tblPr>
      <w:tblGrid>
        <w:gridCol w:w="75"/>
        <w:gridCol w:w="110"/>
        <w:gridCol w:w="60"/>
        <w:gridCol w:w="34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initiation of investigations by regulators; </w:t>
            </w:r>
          </w:p>
        </w:tc>
      </w:tr>
    </w:tbl>
    <w:p>
      <w:pPr>
        <w:pStyle w:val="TextBody"/>
        <w:bidi w:val="0"/>
        <w:spacing w:before="0" w:after="0"/>
        <w:jc w:val="left"/>
        <w:rPr/>
      </w:pPr>
      <w:r>
        <w:rPr/>
        <w:t> </w:t>
      </w:r>
    </w:p>
    <w:tbl>
      <w:tblPr>
        <w:tblW w:w="4975" w:type="dxa"/>
        <w:jc w:val="left"/>
        <w:tblInd w:w="0" w:type="dxa"/>
        <w:tblLayout w:type="fixed"/>
        <w:tblCellMar>
          <w:top w:w="0" w:type="dxa"/>
          <w:left w:w="0" w:type="dxa"/>
          <w:bottom w:w="0" w:type="dxa"/>
          <w:right w:w="0" w:type="dxa"/>
        </w:tblCellMar>
      </w:tblPr>
      <w:tblGrid>
        <w:gridCol w:w="75"/>
        <w:gridCol w:w="110"/>
        <w:gridCol w:w="60"/>
        <w:gridCol w:w="47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significant time and costs to defend the related litigation; </w:t>
            </w:r>
          </w:p>
        </w:tc>
      </w:tr>
    </w:tbl>
    <w:p>
      <w:pPr>
        <w:pStyle w:val="TextBody"/>
        <w:bidi w:val="0"/>
        <w:spacing w:before="0" w:after="0"/>
        <w:jc w:val="left"/>
        <w:rPr/>
      </w:pPr>
      <w:r>
        <w:rPr/>
        <w:t> </w:t>
      </w:r>
    </w:p>
    <w:tbl>
      <w:tblPr>
        <w:tblW w:w="4870" w:type="dxa"/>
        <w:jc w:val="left"/>
        <w:tblInd w:w="0" w:type="dxa"/>
        <w:tblLayout w:type="fixed"/>
        <w:tblCellMar>
          <w:top w:w="0" w:type="dxa"/>
          <w:left w:w="0" w:type="dxa"/>
          <w:bottom w:w="0" w:type="dxa"/>
          <w:right w:w="0" w:type="dxa"/>
        </w:tblCellMar>
      </w:tblPr>
      <w:tblGrid>
        <w:gridCol w:w="75"/>
        <w:gridCol w:w="110"/>
        <w:gridCol w:w="60"/>
        <w:gridCol w:w="46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substantial monetary awards to trial subjects or patients; </w:t>
            </w:r>
          </w:p>
        </w:tc>
      </w:tr>
    </w:tbl>
    <w:p>
      <w:pPr>
        <w:pStyle w:val="TextBody"/>
        <w:bidi w:val="0"/>
        <w:spacing w:before="0" w:after="0"/>
        <w:jc w:val="left"/>
        <w:rPr/>
      </w:pPr>
      <w:r>
        <w:rPr/>
        <w:t> </w:t>
      </w:r>
    </w:p>
    <w:tbl>
      <w:tblPr>
        <w:tblW w:w="7090" w:type="dxa"/>
        <w:jc w:val="left"/>
        <w:tblInd w:w="0" w:type="dxa"/>
        <w:tblLayout w:type="fixed"/>
        <w:tblCellMar>
          <w:top w:w="0" w:type="dxa"/>
          <w:left w:w="0" w:type="dxa"/>
          <w:bottom w:w="0" w:type="dxa"/>
          <w:right w:w="0" w:type="dxa"/>
        </w:tblCellMar>
      </w:tblPr>
      <w:tblGrid>
        <w:gridCol w:w="75"/>
        <w:gridCol w:w="110"/>
        <w:gridCol w:w="60"/>
        <w:gridCol w:w="6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diversion of management and scientific resources from our business operations; and </w:t>
            </w:r>
          </w:p>
        </w:tc>
      </w:tr>
    </w:tbl>
    <w:p>
      <w:pPr>
        <w:pStyle w:val="TextBody"/>
        <w:bidi w:val="0"/>
        <w:spacing w:before="0" w:after="0"/>
        <w:jc w:val="left"/>
        <w:rPr/>
      </w:pPr>
      <w:r>
        <w:rPr/>
        <w:t> </w:t>
      </w:r>
    </w:p>
    <w:tbl>
      <w:tblPr>
        <w:tblW w:w="6475" w:type="dxa"/>
        <w:jc w:val="left"/>
        <w:tblInd w:w="0" w:type="dxa"/>
        <w:tblLayout w:type="fixed"/>
        <w:tblCellMar>
          <w:top w:w="0" w:type="dxa"/>
          <w:left w:w="0" w:type="dxa"/>
          <w:bottom w:w="0" w:type="dxa"/>
          <w:right w:w="0" w:type="dxa"/>
        </w:tblCellMar>
      </w:tblPr>
      <w:tblGrid>
        <w:gridCol w:w="75"/>
        <w:gridCol w:w="110"/>
        <w:gridCol w:w="60"/>
        <w:gridCol w:w="62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commercialize any product candidates that we may develop.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While we currently hold product liability insurance coverage for clinical trials consistent with industry standards, the amount of coverage may not adequately cover all liabilities that we may incur. We may not be able to maintain insurance coverage at a reasonable cost or in an amount adequate to satisfy any liability that may arise.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intend to expand our insurance coverage for products to include the sale of commercial products if we obtain marketing approval for our product candidate, but we may be unable to obtain commercially reasonable product liability insurance. A successful product liability claim or series of claims brought against us, particularly if judgments exceed our insurance coverage, could decrease our cash and adversely affect our business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successful commercialization of our product candidate or any future product candidates, if approved, will depend in part on the extent to which governmental authorities and health insurers establish coverage, adequate reimbursement levels, and favorable pricing policies. Failure to obtain or maintain coverage and adequate reimbursement for our products could limit our ability to market those products and decrease our ability to generate revenue. </w:t>
      </w:r>
    </w:p>
    <w:p>
      <w:pPr>
        <w:pStyle w:val="TextBody"/>
        <w:bidi w:val="0"/>
        <w:spacing w:before="120" w:after="0"/>
        <w:jc w:val="left"/>
        <w:rPr>
          <w:rFonts w:ascii="Times New Roman" w:hAnsi="Times New Roman"/>
          <w:sz w:val="20"/>
        </w:rPr>
      </w:pPr>
      <w:r>
        <w:rPr>
          <w:rFonts w:ascii="Times New Roman" w:hAnsi="Times New Roman"/>
          <w:sz w:val="20"/>
        </w:rPr>
        <w:t>The availability of coverage and the adequacy of reimbursement by governmental healthcare programs such as Medicare and Medicaid, private health insurers, and other third-party payors are essential for most patients to be able to afford prescription medications such as our product candidate or any future product candidates, if approved. Our ability to achieve coverage and acceptable levels of reimbursement for our products by third-party payors will have an effect on our ability to successfully commercialize those products. Accordingly, we will need to successfully implement a coverage and reimbursement strategy for any approved product candidate. Even if we obtain coverage for a given product by a third-party payor, the resulting reimbursement payment rates may not be adequate or may require co-payments that patients find unacceptably high. For more information, see the section of this prospectus titled “</w:t>
      </w:r>
      <w:r>
        <w:rPr>
          <w:rFonts w:ascii="Times New Roman" w:hAnsi="Times New Roman"/>
          <w:i/>
          <w:sz w:val="20"/>
        </w:rPr>
        <w:t>Business—Government Regulation—Coverage, Pricing and Reimbursement</w:t>
      </w:r>
      <w:r>
        <w:rPr>
          <w:rFonts w:ascii="Times New Roman" w:hAnsi="Times New Roman"/>
          <w:sz w:val="20"/>
        </w:rPr>
        <w:t xml:space="preserve">” beginning on page 128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If we participate in the Medicaid Drug Rebate Program or other governmental pricing programs, in certain circumstances, our products would be subject to ceiling prices set by such programs, which could reduce the revenue we may generate from any such products. Participation in such programs would also expose us to the risk of significant civil monetary penalties, sanctions, and fines should we be found to be in violation of any applicable obligations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Third-party payors increasingly are challenging prices charged for biopharmaceutical products and services, and many third-party payors may refuse to provide coverage and reimbursement for particular drugs when an equivalent generic drug or a less expensive therapy is available. It is possible that a third-party payor may consider our products as substitutable and offer to reimburse patients only for the less expensive product. Even if we are successful in demonstrating improved efficacy or improved convenience of administration with our products, pricing of existing drugs may limit the amount we will be able to charge for our products.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products and may not be able to obtain a satisfactory financial return on products that we may develop. </w:t>
      </w:r>
    </w:p>
    <w:p>
      <w:pPr>
        <w:pStyle w:val="TextBody"/>
        <w:bidi w:val="0"/>
        <w:spacing w:before="240" w:after="0"/>
        <w:jc w:val="left"/>
        <w:rPr>
          <w:rFonts w:ascii="Times New Roman" w:hAnsi="Times New Roman"/>
          <w:sz w:val="20"/>
        </w:rPr>
      </w:pPr>
      <w:r>
        <w:rPr>
          <w:rFonts w:ascii="Times New Roman" w:hAnsi="Times New Roman"/>
          <w:sz w:val="20"/>
        </w:rPr>
        <w:t xml:space="preserve">There is significant uncertainty related to third-party payor coverage and reimbursement of newly approved products. In the United States, third-party payors, including private and governmental payors, such as the Medicare and Medicaid programs, play an important role in determining the extent to which new drugs will be covered. Some third-party payors may require pre-approval of coverage for new or innovative devices or drug therapies before they will reimburse healthcare providers who use such therapies. It is difficult to predict at this time what third-party payors will decide with respect to the coverage and reimbursement for our product candidate or any future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Obtaining and maintaining reimbursement status is time-consuming, costly, and uncertain. The Medicare and Medicaid programs increasingly are used as models for how private payors and other governmental payors develop their coverage and reimbursement policies for drugs. However, no uniform policy for coverage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reimbursement for products exists among third-party payors in the United States. Therefore, coverage and reimbursement for products can differ significantly from payor to payor. As a result, the coverage determination process is often a time 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and, in some cases, at short notice, and we believe that changes in these rules and regulations are likely. For products administered under the supervision of a physician (including products administered in the clinical setting), obtaining coverage and adequate reimbursement may be particularly difficult because of the higher prices often associated with such drugs. Additionally, separate reimbursement for the product itself or the administration of the product, or the treatment or procedure in which the product is used may not be available, which may impact physician utilization. </w:t>
      </w:r>
    </w:p>
    <w:p>
      <w:pPr>
        <w:pStyle w:val="TextBody"/>
        <w:bidi w:val="0"/>
        <w:spacing w:before="240" w:after="0"/>
        <w:jc w:val="left"/>
        <w:rPr>
          <w:rFonts w:ascii="Times New Roman" w:hAnsi="Times New Roman"/>
          <w:sz w:val="20"/>
        </w:rPr>
      </w:pPr>
      <w:r>
        <w:rPr>
          <w:rFonts w:ascii="Times New Roman" w:hAnsi="Times New Roman"/>
          <w:sz w:val="20"/>
        </w:rPr>
        <w:t xml:space="preserve">Outside the United States,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our product candidate or any future product candidates, if approved in these jurisdictions.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products. Accordingly, in markets outside the United States, the reimbursement for our products may be reduced compared with the United States and may be insufficient to generate commercially reasonable revenue and profits. </w:t>
      </w:r>
    </w:p>
    <w:p>
      <w:pPr>
        <w:pStyle w:val="TextBody"/>
        <w:bidi w:val="0"/>
        <w:spacing w:before="240" w:after="0"/>
        <w:jc w:val="left"/>
        <w:rPr>
          <w:rFonts w:ascii="Times New Roman" w:hAnsi="Times New Roman"/>
          <w:sz w:val="20"/>
        </w:rPr>
      </w:pPr>
      <w:r>
        <w:rPr>
          <w:rFonts w:ascii="Times New Roman" w:hAnsi="Times New Roman"/>
          <w:sz w:val="20"/>
        </w:rPr>
        <w:t xml:space="preserve">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products. We expect to experience pricing pressures in connection with the sale of any of our products due to the trend toward managed healthcare, the increasing influence of health maintenance organizations, and additional legislative changes. The downward pressure on healthcare costs in general, and prescription drugs, surgical procedures, and other treatments in particular, has become very intense. As a result, increasingly high barriers are being erected to the entry of new products. </w:t>
      </w:r>
    </w:p>
    <w:p>
      <w:pPr>
        <w:pStyle w:val="TextBody"/>
        <w:bidi w:val="0"/>
        <w:spacing w:before="240" w:after="0"/>
        <w:jc w:val="left"/>
        <w:rPr>
          <w:rFonts w:ascii="Times New Roman" w:hAnsi="Times New Roman"/>
          <w:sz w:val="20"/>
        </w:rPr>
      </w:pPr>
      <w:r>
        <w:rPr>
          <w:rFonts w:ascii="Times New Roman" w:hAnsi="Times New Roman"/>
          <w:sz w:val="20"/>
        </w:rPr>
        <w:t xml:space="preserve">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and Medicaid beneficiaries, and may seek to increase such discounts at any time. Future regulation may negatively impact the price of our products, if approved. We cannot predict the likelihood, nature, or extent of government regulation that may arise from future legislation or administrative action, either in the United States or abroad. In addition, the U.S. Supreme Court’s June 2024 decision to overturn established case law giving deference to regulatory agencies’ interpretations of ambiguous statutory language has introduced uncertainty regarding the extent to which the FDA’s regulations, policies and decisions may become subject to increasing legal challenges, delays and/or changes. If we are slow or unable to adapt to changes to existing requirements or the adoption of new requirements or policies, or if we are not able to maintain regulatory compliance, our product candidate may lose any marketing approval that may have been obtained and we may not achieve or sustain profitability, which would adversely affect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various U.S. federal, state, and foreign healthcare laws and regulations, which could increase compliance costs, and our failure to comply with these laws and regulations could harm our reputation, subject us to significant fines and liability, or otherwise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Our business operations and current and future arrangements with investigators, healthcare professionals, consultants, third-party payors, patient organizations, and customers may expose us to broadly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foreign, federal, and state fraud and abuse and other healthcare laws and regulations. These laws may constrain the business or financial arrangements and relationships through which we conduct our operations, including how we research, and plan to market, sell, and distribute any products for which we obtain regulatory approval. In particular, the research of our product candidates, as well as the promotion, sales and marketing of our product candidates is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For more information about the applicable federal, state and foreign healthcare laws and regulations that may affect our ability to operate, see the section of this prospectus titled “</w:t>
      </w:r>
      <w:r>
        <w:rPr>
          <w:rFonts w:ascii="Times New Roman" w:hAnsi="Times New Roman"/>
          <w:i/>
          <w:sz w:val="20"/>
        </w:rPr>
        <w:t>Business—Government Regulation—Other U.S. Healthcare Laws and Compliance Requirements</w:t>
      </w:r>
      <w:r>
        <w:rPr>
          <w:rFonts w:ascii="Times New Roman" w:hAnsi="Times New Roman"/>
          <w:sz w:val="20"/>
        </w:rPr>
        <w:t xml:space="preserve">” beginning on page 126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Efforts to ensure that our current and future business arrangements with third parties will comply with applicable healthcare and privacy laws and regulations will involve ongoing substantial costs. It is possible that governmental authorities will conclude that our business practices, including certain agreements we have entered into with physicians who are paid, in part, in the form of stock or stock options, may not comply with current or future statutes, regulations, or case law involving applicable fraud and abuse or other healthcare laws and regulations.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and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are found not to be in compliance with applicable laws or regulations, they may be subject to significant criminal, civil, or administrative sanctions, including exclusions from government-funded healthcare programs. If any of the above occur, our ability to operate our business and our results of operations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Current and future healthcare reform legislation or regulation may increase the difficulty and cost for us to obtain coverage for and commercialize our product candidate or any future product candidates and may adversely affect the prices we may set.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our product candidate or any future product candidates for which we obtain regulatory approval. In particular, there have been and continue to be a number of initiatives at the U.S. federal and state levels that seek to reduce healthcare costs and improve the quality of healthcare. For example, the Inflation Reduction Act of 2022, or the IRA, includes several provisions that will impact our business to varying degrees, including provisions that allow the U.S. government to negotiate Medicare Part B and Part D pricing for certain high-cost drugs and biologics without generic or biosimilar competition, among others. Our lead product candidate, amsoki-cel, is being developed in indications that may rely on Medicare reimbursement. Accordingly, these price-negotiation provisions may have a negative impact on our future revenue and profits. Further, the IRA also imposed rebates with respect to certain drugs and biologics covered under Medicare Part B or Medicare Part D to penalize price increases that outpace inflation.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One Big Beautiful Bill Act of 2025, or the OBBBA, also included significant reforms to Medicaid, including an estimated $1 trillion in reduced federal Medicaid spending from 2025 through 2034, the imposition of work requirements for certain adult enrollees, more frequent eligibility redeterminations, and increased cost-sharing for beneficiaries. These changes are expected to reduce overall Medicaid enrollment and access to care. Although the effect on our business is currently unknown, any decrease in the number of insured patients or reimbursement levels for our products could adversely affect our revenue and commercial prospects. </w:t>
      </w:r>
    </w:p>
    <w:p>
      <w:pPr>
        <w:pStyle w:val="TextBody"/>
        <w:bidi w:val="0"/>
        <w:spacing w:before="240" w:after="0"/>
        <w:jc w:val="left"/>
        <w:rPr>
          <w:rFonts w:ascii="Times New Roman" w:hAnsi="Times New Roman"/>
          <w:sz w:val="20"/>
        </w:rPr>
      </w:pPr>
      <w:r>
        <w:rPr>
          <w:rFonts w:ascii="Times New Roman" w:hAnsi="Times New Roman"/>
          <w:sz w:val="20"/>
        </w:rPr>
        <w:t>For more information, see the section of this prospectus titled “</w:t>
      </w:r>
      <w:r>
        <w:rPr>
          <w:rFonts w:ascii="Times New Roman" w:hAnsi="Times New Roman"/>
          <w:i/>
          <w:sz w:val="20"/>
        </w:rPr>
        <w:t>Business—Government Regulation—Healthcare Reform</w:t>
      </w:r>
      <w:r>
        <w:rPr>
          <w:rFonts w:ascii="Times New Roman" w:hAnsi="Times New Roman"/>
          <w:sz w:val="20"/>
        </w:rPr>
        <w:t xml:space="preserve">” beginning on page 129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 and any future product candidates, if approved, or put pressure on our product pricing, which could negatively affect our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these existing laws and other federal and state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Reductions in reimbursement levels may negatively impact the prices we receive or the frequency with which our potential products are prescribed or administered.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 or any future product candidates, if approved.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comply with laws and regulations related to the protection of research subjects could result in fines, penalties, and litigation, and have a material adverse effect upon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may be subject to regulation under international, federal, state, and local laws and regulations relating to the protection of research subjects. Federally funded human-subject research in the United States, including the collection of identifiable human biospecimens, is governed by 45 CFR Part 46, also known as the Health and Human Services Policy for Protection of Human Research Subjects or the “Common Rule.” Use of biospecimens in certain other research is subject to FDA regulations for the Protection of Human Subjects and Institutional Review Boards at 21 CFR Parts 50 and 56. While we believe that we are in compliance with these laws, we may not be aware of all such laws or may fail to properly audit and identify gaps in compliance. Similarly, we may find errors in our product candidate and processes and may fail to properly match the compliance requirements of our researchers to the compliance requirements of our suppliers. Failure of our company or our suppliers to comply with international, federal, state, and local laws and regulations could subject us to denial of the right to conduct business, fines, criminal penalties, and/or other enforcement actions which could have a material adverse effect on our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Employee Matters and Managing Growth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ability to develop product candidates and our future growth depends on attracting, hiring, and retaining our key personnel and recruiting additional qualified personnel. If we are not successful in attracting, motivating, and retaining highly qualified personnel, we may not be able to successfully implement our business strategy. Additionally, we will need to grow the size of our organization, and we may experience difficulties in managing this growth. </w:t>
      </w:r>
    </w:p>
    <w:p>
      <w:pPr>
        <w:pStyle w:val="TextBody"/>
        <w:bidi w:val="0"/>
        <w:spacing w:before="120" w:after="0"/>
        <w:jc w:val="left"/>
        <w:rPr>
          <w:rFonts w:ascii="Times New Roman" w:hAnsi="Times New Roman"/>
          <w:sz w:val="20"/>
        </w:rPr>
      </w:pPr>
      <w:r>
        <w:rPr>
          <w:rFonts w:ascii="Times New Roman" w:hAnsi="Times New Roman"/>
          <w:sz w:val="20"/>
        </w:rPr>
        <w:t xml:space="preserve">We are highly dependent on members of our executive team. The loss of the services of any of them may adversely impact the achievement of our objectives. The loss of services of any of these individuals could delay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prevent the successful development of our product candidate, completion of our planned clinical trials, or the commercialization of our product candidate and any future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Our success also depends upon the continued contributions of our key management and scientific personnel, many of whom have been instrumental for us and have substantial experience with developing therapies, identifying potential product candidates, and building the technologies related to the clinical development of our product candidate. Historically, we have experienced significant turnover in our research and development workforce and have operated with a limited team of scientific and technical personnel. Given the specialized nature of engineered TIL technology and our approach, there is an inherent scarcity of experienced personnel in these fields. As we continue developing our product candidate in our pipeline, we will require personnel with medical, scientific, or technical qualifications specific to each program. The loss of key personnel, in particular our scientists, would delay our research and development activities. Despite our efforts to retain valuable employees, members of our team may terminate their employment with us on short notice. The competition for qualified personnel in the biotechnology and biopharmaceutical industries is intense, and our future success depends upon our ability to attract, retain, and motivate highly skilled scientific, technical, and managerial employees. We face competition for personnel from other companies, universities, public and private research institutions, and other organizations. If we hire employees from competitors or other companies, their former employers may attempt to assert that these employees or we have breached legal obligations, resulting in a diversion of our time and resources and, potentially, damages. In addition, job candidates and existing employees often consider the value of the stock awards they receive in connection with their employment. If the perceived benefits of our stock awards decline, it may harm our ability to recruit and retain highly skilled employees. If our recruitment and retention efforts are unsuccessful in the future, it may be difficult for us to implement our business strategy, which would have a material adverse effect on our business. </w:t>
      </w:r>
    </w:p>
    <w:p>
      <w:pPr>
        <w:pStyle w:val="TextBody"/>
        <w:bidi w:val="0"/>
        <w:spacing w:before="240" w:after="0"/>
        <w:jc w:val="left"/>
        <w:rPr>
          <w:rFonts w:ascii="Times New Roman" w:hAnsi="Times New Roman"/>
          <w:sz w:val="20"/>
        </w:rPr>
      </w:pPr>
      <w:r>
        <w:rPr>
          <w:rFonts w:ascii="Times New Roman" w:hAnsi="Times New Roman"/>
          <w:sz w:val="20"/>
        </w:rPr>
        <w:t xml:space="preserve">As our development plans and strategies develop, and as we continue operating as a public company, we expect to need additional managerial, operational, marketing, sales, financial, and other personnel. Future growth would impose significant added responsibilities on members of management,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managing our internal development efforts effectively, including the clinical and FDA review process for our current product candidates and any future product candidates we develop, while complying with our contractual obligations to contractors and other third parties; and </w:t>
            </w:r>
          </w:p>
        </w:tc>
      </w:tr>
    </w:tbl>
    <w:p>
      <w:pPr>
        <w:pStyle w:val="TextBody"/>
        <w:bidi w:val="0"/>
        <w:spacing w:before="0" w:after="0"/>
        <w:jc w:val="left"/>
        <w:rPr/>
      </w:pPr>
      <w:r>
        <w:rPr/>
        <w:t> </w:t>
      </w:r>
    </w:p>
    <w:tbl>
      <w:tblPr>
        <w:tblW w:w="8335" w:type="dxa"/>
        <w:jc w:val="left"/>
        <w:tblInd w:w="0" w:type="dxa"/>
        <w:tblLayout w:type="fixed"/>
        <w:tblCellMar>
          <w:top w:w="0" w:type="dxa"/>
          <w:left w:w="0" w:type="dxa"/>
          <w:bottom w:w="0" w:type="dxa"/>
          <w:right w:w="0" w:type="dxa"/>
        </w:tblCellMar>
      </w:tblPr>
      <w:tblGrid>
        <w:gridCol w:w="75"/>
        <w:gridCol w:w="110"/>
        <w:gridCol w:w="60"/>
        <w:gridCol w:w="8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improving our operational, financial, and management controls, reporting systems, and procedures.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future financial performance and our ability to advance development of and, if approved, commercialize our current product candidates and any future product candidates we develop will depend, in part, on our ability to effectively manage any future growth, and our management may have to divert a disproportionate amount of its attention away from day-to-day activities in order to devote a substantial amount of time to managing these growth activities. </w:t>
      </w:r>
    </w:p>
    <w:p>
      <w:pPr>
        <w:pStyle w:val="TextBody"/>
        <w:bidi w:val="0"/>
        <w:spacing w:before="240" w:after="0"/>
        <w:jc w:val="left"/>
        <w:rPr>
          <w:rFonts w:ascii="Times New Roman" w:hAnsi="Times New Roman"/>
          <w:sz w:val="20"/>
        </w:rPr>
      </w:pPr>
      <w:r>
        <w:rPr>
          <w:rFonts w:ascii="Times New Roman" w:hAnsi="Times New Roman"/>
          <w:sz w:val="20"/>
        </w:rPr>
        <w:t xml:space="preserve">We currently rely, and for the foreseeable future will continue to rely, in substantial part, on certain independent organizations, advisors, and consultants to provide certain services.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marketing approval of any current or future product candidates or otherwise advance our business. We cannot assure you that we will be able to manage our existing consultants or find other competent outside contractors and consultants on economically reasonable terms, or at all. </w:t>
      </w:r>
    </w:p>
    <w:p>
      <w:pPr>
        <w:pStyle w:val="TextBody"/>
        <w:bidi w:val="0"/>
        <w:spacing w:before="240" w:after="0"/>
        <w:jc w:val="left"/>
        <w:rPr>
          <w:rFonts w:ascii="Times New Roman" w:hAnsi="Times New Roman"/>
          <w:sz w:val="20"/>
        </w:rPr>
      </w:pPr>
      <w:r>
        <w:rPr>
          <w:rFonts w:ascii="Times New Roman" w:hAnsi="Times New Roman"/>
          <w:sz w:val="20"/>
        </w:rPr>
        <w:t xml:space="preserve">If we are not able to effectively expand our organization by hiring new employees and expanding our groups of consultants and contractors, we may not be able to successfully implement the tasks necessary to further develop and commercialize our current product candidates and any future product candidates we develop and, accordingly, may not achieve our research, development and commercialization goals.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Other General Risks </w:t>
      </w:r>
    </w:p>
    <w:p>
      <w:pPr>
        <w:pStyle w:val="TextBody"/>
        <w:bidi w:val="0"/>
        <w:spacing w:before="120" w:after="0"/>
        <w:jc w:val="left"/>
        <w:rPr>
          <w:rFonts w:ascii="Times New Roman" w:hAnsi="Times New Roman"/>
          <w:b/>
          <w:i/>
          <w:sz w:val="20"/>
        </w:rPr>
      </w:pPr>
      <w:r>
        <w:rPr>
          <w:rFonts w:ascii="Times New Roman" w:hAnsi="Times New Roman"/>
          <w:b/>
          <w:i/>
          <w:sz w:val="20"/>
        </w:rPr>
        <w:t xml:space="preserve">Unfavorable global economic and geopolitical conditions could adversely affect our business, financial condition, stock price,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business could be adversely affected by unstable economic and political conditions within the United States and foreign jurisdictions, including as a result of an economic downturn and geopolitical events, such as changes in U.S. federal policy that affect the geopolitical landscape. Changes to policy implemented by the U.S. Congress, the current administration or any new administration have impacted and may in the future impact, among other things, the U.S. and global economy, international trade relations, unemployment, immigration, healthcare, taxation, the U.S. regulatory environment, inflation and other areas. For example, in 2025, the United States imposed tariffs on imports on its trading partners, including Canada, Mexico, the EU and China. Historically, tariffs have led to increased trade and political tensions, between not only the United States and China, but also between the United States and other countries in the international community.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Any changes in political, trade, regulatory, and economic conditions, including U.S. trade policies, could have a material adverse effect on our financial condition or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global credit and financial markets have also experienced extreme volatility and disruptions (including as a result of actual or perceived changes in interest rates, inflation, and macroeconomic uncertainties), which has included severely diminished liquidity and credit availability, declines in consumer confidence, declines in economic growth, high inflation, uncertainty about economic stability, global supply chain disruptions, and increases in unemployment rates. The financial markets and the global economy may also be adversely affected by the current or anticipated impact of military conflict, including the ongoing conflicts between Russia and Ukraine, the conflicts in the Middle East, terrorism, or other geopolitical events. There can be no assurance that further deterioration in credit and financial markets and confidence in economic conditions will not occur. A severe or prolonged economic downturn could result in a variety of risks to our business, including a decrease in the demand for our product candidates and in our ability to raise additional capital when needed on acceptable terms, if at all. For example, there has been proposed U.S. legislation that may restrict the ability of U.S. biopharmaceutical companies to purchase services or products from, or otherwise collaborate with, certain Chinese biotechnology companies of concern without losing the ability to contract with, or otherwise receive funding from, the U.S. government. We continue to assess the legislation as it develops to determine whether it could have an effect on our contractual relationships. Furthermore, any disruptions to our supply chain as a result of unfavorable global economic conditions, including due to geopolitical conflicts or public health crises, could negatively impact the timely execution of our ongoing and future clinical trials. In addition, current inflationary trends in the global economy may impact salaries and wages, costs of goods and transportation expenses, among other things, and recent and potential future disruptions in access to bank deposits or lending commitments due to bank failures may create market and economic instability. We cannot anticipate all of the ways in which the foregoing, and the current economic climate and financial market conditions generally, could adversely impact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or the third parties upon whom we depend, may be adversely affected by natural disasters, public health crises, or other business interruptions and our business continuity and disaster recovery plans may not adequately protect us from a serious disaster. </w:t>
      </w:r>
    </w:p>
    <w:p>
      <w:pPr>
        <w:pStyle w:val="TextBody"/>
        <w:bidi w:val="0"/>
        <w:spacing w:before="120" w:after="0"/>
        <w:jc w:val="left"/>
        <w:rPr>
          <w:rFonts w:ascii="Times New Roman" w:hAnsi="Times New Roman"/>
          <w:sz w:val="20"/>
        </w:rPr>
      </w:pPr>
      <w:r>
        <w:rPr>
          <w:rFonts w:ascii="Times New Roman" w:hAnsi="Times New Roman"/>
          <w:sz w:val="20"/>
        </w:rPr>
        <w:t xml:space="preserve">Natural disasters or public health crises could severely disrupt our operations, and have a material adverse impact on our business, results of operations, financial condition, and prospects. If a natural disaster, power outage, public health crisis, or other event occurred that prevented us from conducting our clinical trials, releasing clinical trial results, or delaying our ability to obtain regulatory approval for our product candidate, it may be difficult or, in certain cases, impossible for us to continue our business for a substantial period of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information technology systems, or those used by our CROs or other contractors or consultants, may fail or suffer cybersecurity incidents or breaches, which could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Despite the implementation of security measures, our information technology systems and data and those of our current or future CROs or other contractors and consultants are vulnerable to compromise or damage from computer hacking, computer viruses, social engineering (e.g. phishing attacks) and malware (e.g., ransomware malicious software), fraudulent activity, employee misconduct, human error, telecommunication and electrical failures, natural disasters, or other cybersecurity attacks or accidents. Future acquisitions could expose us to additional cybersecurity risks and vulnerabilities from any newly acquired information technology infrastructure. Cybersecurity attacks are constantly increasing in frequency and sophistication and are made by groups and individuals with a wide range of motives (including industrial espionage) and expertise, including by organized criminal groups, “hacktivists,” nation states, and others. As a result of a continued hybrid working environment,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Further, as a company with an increasingly global presence, our systems are subject to frequent attacks, which are becoming more commonplace in the industry, including attempted hacking, phishing attempts, such as cyber-related threats involving spoofed or manipulated electronic communications, which increasingly represent considerable risk. Due to the nature of some of the attacks described herein, there is a risk that an attack may remain undetected for a period of time. Even if identified, we may be unable to adequately investigate or remediate cybersecurity incidents or breaches due to attackers increasingly using tools and techniques that are designed to circumvent controls, to avoid detection, and to remove or obfuscate forensic evidence. While we continue to make investments to improve the protection of data and information technology, including in the hiring of IT personnel, periodic cyber security awareness trainings, and improvements to IT infrastructure and controls, and conduct regular testing of our systems, there can be no assurance that our efforts will prevent service interruptions or cybersecurity incidents or breaches. </w:t>
      </w:r>
    </w:p>
    <w:p>
      <w:pPr>
        <w:pStyle w:val="TextBody"/>
        <w:bidi w:val="0"/>
        <w:spacing w:before="240" w:after="0"/>
        <w:jc w:val="left"/>
        <w:rPr>
          <w:rFonts w:ascii="Times New Roman" w:hAnsi="Times New Roman"/>
          <w:sz w:val="20"/>
        </w:rPr>
      </w:pPr>
      <w:r>
        <w:rPr>
          <w:rFonts w:ascii="Times New Roman" w:hAnsi="Times New Roman"/>
          <w:sz w:val="20"/>
        </w:rPr>
        <w:t xml:space="preserve">We and certain of our service providers are from time to time subject to cyberattack attempts or incidents and cybersecurity incidents. Any cybersecurity incident could adversely affect our business, by leading to, for example, the loss of trade secrets or other intellectual property, demands for ransom or other forms of blackmail, or the unauthorized disclosure of personal or other sensitive information of our employees, clinical trial patients, customers, and others. Although to our knowledge we have not experienced any significant cybersecurity incident to date, if such an event were to occur, it could seriously harm our development programs and our business operations. We could be subject to cybersecurity incident or breach notification requirements, regulatory actions taken by governmental authorities, litigation under laws that protect the privacy of personal information, or other forms of legal proceedings, which could result in significant liabilities or penalties, result in substantial costs, and require attention from management. Further, a cybersecurity incident may disrupt our business or damage our reputation, which could have a material adverse effect on our business, prospects, operating results, share price and stockholder value, and financial condition. We could also incur substantial remediation costs, including the costs of investigating the incident, repairing, or replacing damaged systems, restoring normal business operations, implementing increased cybersecurity protections, and paying increased insurance premiums. </w:t>
      </w:r>
    </w:p>
    <w:p>
      <w:pPr>
        <w:pStyle w:val="TextBody"/>
        <w:bidi w:val="0"/>
        <w:spacing w:before="240" w:after="0"/>
        <w:jc w:val="left"/>
        <w:rPr>
          <w:rFonts w:ascii="Times New Roman" w:hAnsi="Times New Roman"/>
          <w:sz w:val="20"/>
        </w:rPr>
      </w:pPr>
      <w:r>
        <w:rPr>
          <w:rFonts w:ascii="Times New Roman" w:hAnsi="Times New Roman"/>
          <w:sz w:val="20"/>
        </w:rPr>
        <w:t xml:space="preserve">For example, the loss of clinical trial data from completed, ongoing, or future clinical trials could result in delays in our regulatory approval efforts and significantly increase our costs to recover or reproduce the data. If a cybersecurity breach or other incident were to result in the unauthorized access to or unauthorized use, disclosure, release, or other processing of clinical trial data or personal data, it may be necessary to notify individuals, governmental authorities, supervisory bodies, the media, and other parties pursuant to privacy and security laws. Likewise, we rely on our third-party research institution collaborators for research and development of our product candidate and other third parties for the manufacture of our product candidate and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conduct clinical trials, and similar events relating to their information technology systems could also seriously harm our business. Any security compromise affecting us, our collaborators, or our industry, whether real or perceived, could harm our reputation, erode confidence in the effectiveness of our security measures, and lead to regulatory scrutiny. To the extent that any disruption or cybersecurity incident or breach were to result in a loss of, or damage to, our data or systems, or inappropriate disclosure of confidential or proprietary or personal information, we could incur liability, our competitive position could be harmed, and the further development and commercialization of our product candidate could be delayed, result in substantial costs and require attention from management.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establish and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We have implemented the process of documenting, reviewing and improving our internal controls and procedures for compliance with Section 404 of the Sarbanes-Oxley Act, which requires annual management assessment of the effectiveness of our internal control over financial reporting beginning with our Quarterly Report on Form 10-Q, filed with the SEC on August 14, 2026. Any failure to implement required new or improved controls, or difficulties encountered in their implementation could cause us to fail to meet our reporting obligations. In addition,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 </w:t>
      </w:r>
    </w:p>
    <w:p>
      <w:pPr>
        <w:pStyle w:val="TextBody"/>
        <w:bidi w:val="0"/>
        <w:spacing w:before="240" w:after="0"/>
        <w:jc w:val="left"/>
        <w:rPr>
          <w:rFonts w:ascii="Times New Roman" w:hAnsi="Times New Roman"/>
          <w:sz w:val="20"/>
        </w:rPr>
      </w:pPr>
      <w:r>
        <w:rPr>
          <w:rFonts w:ascii="Times New Roman" w:hAnsi="Times New Roman"/>
          <w:sz w:val="20"/>
        </w:rPr>
        <w:t xml:space="preserve">We are required to disclose changes made in our internal controls and procedures on a quarterly basis and our management is required to assess the effectiveness of these controls annually. However, for as long as we are an emerging growth company or a non-accelerated filer, our independent registered public accounting firm will not be required to attest to the effectiveness of our internal controls over financial reporting pursuant to Section 404(b) of the Sarbanes-Oxley Act. We could be an emerging growth company for up to five years following the closing of the Mergers. An independent assessment of the effectiveness of our internal controls over financial reporting could detect problems that our management’s assessment might not. Undetected material weaknesses in our internal controls over financial reporting could lead to restatements of our financial statements and require us to incur the expense of remediation.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disclosure controls and procedures may not prevent or detect all errors or acts of fraud.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completion of the Mergers and PIPE Financing, we are now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ability to use our net operating loss carryforwards and other tax attributes may be limited.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we had approximately $186.5 million of federal net operating losses, or NOLs. Federal NOLs generated in taxable years ending after December 31, 2017, may be carried forward indefinitely, but the deductibility of such federal NOLs is limited to 80% of our taxable income. As of December 31, 2025, we had approximately $171.0 million of state NOLs. Of the state NOLs, some are of indefinite life, but most are of definite life with various expiration dates, beginning in 2037. As of December 31, 2025, we had approximately $17.1 million of federal research and development tax credit carryforwards. Federal tax credit carryforwards expire at various dates, beginning in 2037. As of December 31, 2025, we had approximately $7.7 million of state research and development tax credit carryforwards. The state tax credits, which have various carryforward rules, begin to expire in 2031. Our ability to utilize these NOLs and tax credits to offset future tax liabilities depends on the successful development of our product candidates and future financial performance. </w:t>
      </w:r>
    </w:p>
    <w:p>
      <w:pPr>
        <w:pStyle w:val="TextBody"/>
        <w:bidi w:val="0"/>
        <w:spacing w:before="240" w:after="0"/>
        <w:jc w:val="left"/>
        <w:rPr>
          <w:rFonts w:ascii="Times New Roman" w:hAnsi="Times New Roman"/>
          <w:sz w:val="20"/>
        </w:rPr>
      </w:pPr>
      <w:r>
        <w:rPr>
          <w:rFonts w:ascii="Times New Roman" w:hAnsi="Times New Roman"/>
          <w:sz w:val="20"/>
        </w:rPr>
        <w:t xml:space="preserve">Under Sections 382 and 383 of the Internal Revenue Code of 1986, as amended, or the Code, if a corporation undergoes an “ownership change,” generally defined as a greater than 50 percentage point change (by value) in its equity ownership by “5 percent shareholders” over a three-year period, the corporation’s ability to use its pre-change NOLs and other pre-change tax attributes (such as research and development tax credits) to offset its post-change income or taxes may be limited. A corporation that experiences an ownership change will generally be subject to an annual limitation on the use of its pre-ownership change NOLs equal to the value of the corporation immediately before the ownership change, multiplied by the long-term tax-exempt rate (subject to certain adjustments). We may have experienced ownership changes in the past, including as a result of the Mergers and the PIPE Financing, and may experience additional ownership changes in the future as a result of subsequent shifts in our stock ownership (some of which are outside our control). There is also a risk that due to regulatory changes, such as suspensions on the use of NOLs by federal or state taxing authorities or other unforeseen reasons, our existing NOLs could expire or otherwise be unavailable to reduce future income tax liabilities. As a result, our ability to use our pre-change NOLs and tax credits to offset future taxable income, if any, could be subject to limitations. Similar provisions of state tax law may also apply. As a result, even if we attain profitability, we may be unable to use a material portion of our NOLs and tax credits.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tax law could adversely affect our business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The rules dealing with U.S. federal, state, and local income taxation are constantly under review by persons involved in the legislative process and by the IRS and the U.S. Treasury Department. Changes to tax laws (which changes may have retroactive application), including with respect to NOLs and research and development tax credits, could adversely affect us or holders of our common stock. For example, the OBBBA was signed into law on July 4, 2025 and made significant changes to U.S. federal tax law. Under Section 174 of the Code, in taxable years beginning after December 31, 2021, expenses that are incurred for research and development performed outside the U.S. will be capitalized and amortized, which may have an adverse effect on our cash flow. The OBBBA provides that for taxable years beginning after December 31, 2024, expenses that are incurred for research and development performed in the United States may, at the taxpayer’s election, be immediately deducted or capitalized and amortized. In addition, the OBBBA provides that for taxable years beginning after December 31, 2021 and before January 1, 2025, certain eligible taxpayers generally may elect to retroactively deduct expenses for research and development performed in the United States in such taxable years by filing amended tax returns for such taxable years, and all other taxpayers that are not eligible to make such an election and that amortized expenses for research and development performed in the United States in such taxable years generally may elect to accelerate and deduct the remaining unamortized amounts of such research and development expenses (i) in the first taxable year beginning after December 31, 2024, or (ii) ratably over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two-taxable year period beginning with the first taxable year beginning after December 31, 2024. In recent years, many changes to tax laws have been made and changes are likely to continue to occur in the future.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exposed to increased litigation, including stockholder litigation, which could have an adverse effect on our business and operations. </w:t>
      </w:r>
    </w:p>
    <w:p>
      <w:pPr>
        <w:pStyle w:val="TextBody"/>
        <w:bidi w:val="0"/>
        <w:spacing w:before="120" w:after="0"/>
        <w:jc w:val="left"/>
        <w:rPr>
          <w:rFonts w:ascii="Times New Roman" w:hAnsi="Times New Roman"/>
          <w:sz w:val="20"/>
        </w:rPr>
      </w:pPr>
      <w:r>
        <w:rPr>
          <w:rFonts w:ascii="Times New Roman" w:hAnsi="Times New Roman"/>
          <w:sz w:val="20"/>
        </w:rPr>
        <w:t xml:space="preserve">We may be exposed to increased litigation from stockholders, suppliers and other third parties from time to time, including litigation due to the Mergers. Such litigation may have an adverse impact on our business and results of operations or may cause disruptions to our operations. In addition, in the past, stockholders have initiated class action lawsuits against biotechnology companies following periods of volatility in the market prices of these companies’ common stock. Such litigation, if instituted against us, could cause us to incur substantial costs and divert management’s attention and resources, which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stockholders, formerly Galera stockholders, may not receive any payment on the CVRs, and the CVRs may expire valueless. </w:t>
      </w:r>
    </w:p>
    <w:p>
      <w:pPr>
        <w:pStyle w:val="TextBody"/>
        <w:bidi w:val="0"/>
        <w:spacing w:before="120" w:after="0"/>
        <w:jc w:val="left"/>
        <w:rPr>
          <w:rFonts w:ascii="Times New Roman" w:hAnsi="Times New Roman"/>
          <w:sz w:val="20"/>
        </w:rPr>
      </w:pPr>
      <w:r>
        <w:rPr>
          <w:rFonts w:ascii="Times New Roman" w:hAnsi="Times New Roman"/>
          <w:sz w:val="20"/>
        </w:rPr>
        <w:t xml:space="preserve">The right of Galera stockholders to receive any future payment on or derive any value from the CVRs will be contingent solely upon the occurrence of certain milestone events within the time periods specified in the CVR Agreement and the consideration received being greater than the amounts permitted to be withheld or deducted under the CVR Agreement. Specifically, payments under the CVRs with respect to the Legacy Product Agreement are contingent upon CVR Proceeds being received by Parent or its affiliates under any Legacy Product Agreement prior to the fifth anniversary of the closing, and payments under the CVRs with respect to the Supportive-Care Agreement are contingent upon CVR Proceeds being received by Parent or its affiliates under the Supportive-Care Agreement prior to the tenth anniversary of the closing. There is no guarantee that Parent will receive any proceeds under either CVR Product Agreement within the applicable time periods. In the event that no CVR Proceeds are received within the applicable time periods, no payments will be made under the CVR Agreement, and the CVRs will expire valueless.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127696_7"/>
      <w:bookmarkEnd w:id="9"/>
      <w:r>
        <w:rPr>
          <w:rFonts w:ascii="Times New Roman" w:hAnsi="Times New Roman"/>
          <w:b/>
          <w:sz w:val="20"/>
        </w:rPr>
        <w:t xml:space="preserve">SPECIAL NOTE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This prospectus, including the sections titled “</w:t>
      </w:r>
      <w:r>
        <w:rPr>
          <w:rFonts w:ascii="Times New Roman" w:hAnsi="Times New Roman"/>
          <w:i/>
          <w:sz w:val="20"/>
        </w:rPr>
        <w:t>Prospectus Summary</w:t>
      </w:r>
      <w:r>
        <w:rPr>
          <w:rFonts w:ascii="Times New Roman" w:hAnsi="Times New Roman"/>
          <w:sz w:val="20"/>
        </w:rPr>
        <w:t>,” “</w:t>
      </w:r>
      <w:r>
        <w:rPr>
          <w:rFonts w:ascii="Times New Roman" w:hAnsi="Times New Roman"/>
          <w:i/>
          <w:sz w:val="20"/>
        </w:rPr>
        <w:t>Risk Factors</w:t>
      </w:r>
      <w:r>
        <w:rPr>
          <w:rFonts w:ascii="Times New Roman" w:hAnsi="Times New Roman"/>
          <w:sz w:val="20"/>
        </w:rPr>
        <w:t>,” “</w:t>
      </w:r>
      <w:r>
        <w:rPr>
          <w:rFonts w:ascii="Times New Roman" w:hAnsi="Times New Roman"/>
          <w:i/>
          <w:sz w:val="20"/>
        </w:rPr>
        <w:t>Management’s Discussion and Analysis of Financial Condition and Results of Operations</w:t>
      </w:r>
      <w:r>
        <w:rPr>
          <w:rFonts w:ascii="Times New Roman" w:hAnsi="Times New Roman"/>
          <w:sz w:val="20"/>
        </w:rPr>
        <w:t>,” and “</w:t>
      </w:r>
      <w:r>
        <w:rPr>
          <w:rFonts w:ascii="Times New Roman" w:hAnsi="Times New Roman"/>
          <w:i/>
          <w:sz w:val="20"/>
        </w:rPr>
        <w:t>Business,</w:t>
      </w:r>
      <w:r>
        <w:rPr>
          <w:rFonts w:ascii="Times New Roman" w:hAnsi="Times New Roman"/>
          <w:sz w:val="20"/>
        </w:rPr>
        <w:t xml:space="preserve">”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prospectus include, but are not limited to, statements about: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timing, progress, results and cost of amsoki-cel, as well as our research and development programs and our current and future preclinical and clinical studies, including statements regarding the timing of initiation and completion of studies or trials and related preparatory work, the period during which the results of the trials will become available and our current and future programs;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identify research priorities and efficiently discover and develop product candidates, including by applying learnings from one program to other programs and from one modality to our other modalities;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and the potential to successfully manufacture our drug substances, delivery vehicles, and product candidates for preclinical use, for clinical trials and on a larger scale for commercial use, if approved;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our preclinical studies and clinical trials to demonstrate safety and efficacy of our product candidates, and other positive results; </w:t>
            </w:r>
          </w:p>
        </w:tc>
      </w:tr>
    </w:tbl>
    <w:p>
      <w:pPr>
        <w:pStyle w:val="TextBody"/>
        <w:bidi w:val="0"/>
        <w:spacing w:before="0" w:after="0"/>
        <w:jc w:val="left"/>
        <w:rPr/>
      </w:pPr>
      <w:r>
        <w:rPr/>
        <w:t> </w:t>
      </w:r>
    </w:p>
    <w:tbl>
      <w:tblPr>
        <w:tblW w:w="9415" w:type="dxa"/>
        <w:jc w:val="left"/>
        <w:tblInd w:w="0" w:type="dxa"/>
        <w:tblLayout w:type="fixed"/>
        <w:tblCellMar>
          <w:top w:w="0" w:type="dxa"/>
          <w:left w:w="0" w:type="dxa"/>
          <w:bottom w:w="0" w:type="dxa"/>
          <w:right w:w="0" w:type="dxa"/>
        </w:tblCellMar>
      </w:tblPr>
      <w:tblGrid>
        <w:gridCol w:w="75"/>
        <w:gridCol w:w="110"/>
        <w:gridCol w:w="60"/>
        <w:gridCol w:w="9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beneficial characteristics, and the potential safety, efficacy and therapeutic effects of our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scope and likelihood of regulatory filings and approvals, including timing of Investigational New Drug applications and final U.S. Food and Drug Administration, or FDA, approval of our current product candidates or any future product candidates; </w:t>
            </w:r>
          </w:p>
        </w:tc>
      </w:tr>
    </w:tbl>
    <w:p>
      <w:pPr>
        <w:pStyle w:val="TextBody"/>
        <w:bidi w:val="0"/>
        <w:spacing w:before="0" w:after="0"/>
        <w:jc w:val="left"/>
        <w:rPr/>
      </w:pPr>
      <w:r>
        <w:rPr/>
        <w:t> </w:t>
      </w:r>
    </w:p>
    <w:tbl>
      <w:tblPr>
        <w:tblW w:w="6370" w:type="dxa"/>
        <w:jc w:val="left"/>
        <w:tblInd w:w="0" w:type="dxa"/>
        <w:tblLayout w:type="fixed"/>
        <w:tblCellMar>
          <w:top w:w="0" w:type="dxa"/>
          <w:left w:w="0" w:type="dxa"/>
          <w:bottom w:w="0" w:type="dxa"/>
          <w:right w:w="0" w:type="dxa"/>
        </w:tblCellMar>
      </w:tblPr>
      <w:tblGrid>
        <w:gridCol w:w="75"/>
        <w:gridCol w:w="110"/>
        <w:gridCol w:w="60"/>
        <w:gridCol w:w="61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scope or likelihood of foreign regulatory filings and approvals;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estimates of the number of patients that we will enroll and our ability to initiate, recruit and enroll patients in and conduct and successfully complete our clinical trials at the pace that we project;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scale-up our manufacturing and processing approaches to appropriately address our anticipated commercial needs, which will require significant resources;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and further develop the specific shipping, storage, handling and administration of amsoki-cel at the clinical sites;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and willingness of our third-party strategic collaborators to continue research and development activities relating to our development candidates and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funding for our operations necessary to complete further development and commercialization of our product candidates; </w:t>
            </w:r>
          </w:p>
        </w:tc>
      </w:tr>
    </w:tbl>
    <w:p>
      <w:pPr>
        <w:pStyle w:val="TextBody"/>
        <w:bidi w:val="0"/>
        <w:spacing w:before="0" w:after="0"/>
        <w:jc w:val="left"/>
        <w:rPr/>
      </w:pPr>
      <w:r>
        <w:rPr/>
        <w:t> </w:t>
      </w:r>
    </w:p>
    <w:tbl>
      <w:tblPr>
        <w:tblW w:w="6895" w:type="dxa"/>
        <w:jc w:val="left"/>
        <w:tblInd w:w="0" w:type="dxa"/>
        <w:tblLayout w:type="fixed"/>
        <w:tblCellMar>
          <w:top w:w="0" w:type="dxa"/>
          <w:left w:w="0" w:type="dxa"/>
          <w:bottom w:w="0" w:type="dxa"/>
          <w:right w:w="0" w:type="dxa"/>
        </w:tblCellMar>
      </w:tblPr>
      <w:tblGrid>
        <w:gridCol w:w="75"/>
        <w:gridCol w:w="110"/>
        <w:gridCol w:w="60"/>
        <w:gridCol w:w="66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regulatory approval of our product candidates; </w:t>
            </w:r>
          </w:p>
        </w:tc>
      </w:tr>
    </w:tbl>
    <w:p>
      <w:pPr>
        <w:pStyle w:val="TextBody"/>
        <w:bidi w:val="0"/>
        <w:spacing w:before="0" w:after="0"/>
        <w:jc w:val="left"/>
        <w:rPr/>
      </w:pPr>
      <w:r>
        <w:rPr/>
        <w:t> </w:t>
      </w:r>
    </w:p>
    <w:tbl>
      <w:tblPr>
        <w:tblW w:w="4765" w:type="dxa"/>
        <w:jc w:val="left"/>
        <w:tblInd w:w="0" w:type="dxa"/>
        <w:tblLayout w:type="fixed"/>
        <w:tblCellMar>
          <w:top w:w="0" w:type="dxa"/>
          <w:left w:w="0" w:type="dxa"/>
          <w:bottom w:w="0" w:type="dxa"/>
          <w:right w:w="0" w:type="dxa"/>
        </w:tblCellMar>
      </w:tblPr>
      <w:tblGrid>
        <w:gridCol w:w="75"/>
        <w:gridCol w:w="110"/>
        <w:gridCol w:w="60"/>
        <w:gridCol w:w="45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commercialize our products, if approved; </w:t>
            </w:r>
          </w:p>
        </w:tc>
      </w:tr>
    </w:tbl>
    <w:p>
      <w:pPr>
        <w:pStyle w:val="TextBody"/>
        <w:bidi w:val="0"/>
        <w:spacing w:before="0" w:after="0"/>
        <w:jc w:val="left"/>
        <w:rPr/>
      </w:pPr>
      <w:r>
        <w:rPr/>
        <w:t> </w:t>
      </w:r>
    </w:p>
    <w:tbl>
      <w:tblPr>
        <w:tblW w:w="5995" w:type="dxa"/>
        <w:jc w:val="left"/>
        <w:tblInd w:w="0" w:type="dxa"/>
        <w:tblLayout w:type="fixed"/>
        <w:tblCellMar>
          <w:top w:w="0" w:type="dxa"/>
          <w:left w:w="0" w:type="dxa"/>
          <w:bottom w:w="0" w:type="dxa"/>
          <w:right w:w="0" w:type="dxa"/>
        </w:tblCellMar>
      </w:tblPr>
      <w:tblGrid>
        <w:gridCol w:w="75"/>
        <w:gridCol w:w="110"/>
        <w:gridCol w:w="60"/>
        <w:gridCol w:w="57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pricing and reimbursement of our product candidates, if approved; </w:t>
            </w:r>
          </w:p>
        </w:tc>
      </w:tr>
    </w:tbl>
    <w:p>
      <w:pPr>
        <w:pStyle w:val="TextBody"/>
        <w:bidi w:val="0"/>
        <w:spacing w:before="0" w:after="0"/>
        <w:jc w:val="left"/>
        <w:rPr/>
      </w:pPr>
      <w:r>
        <w:rPr/>
        <w:t> </w:t>
      </w:r>
    </w:p>
    <w:tbl>
      <w:tblPr>
        <w:tblW w:w="9715" w:type="dxa"/>
        <w:jc w:val="left"/>
        <w:tblInd w:w="0" w:type="dxa"/>
        <w:tblLayout w:type="fixed"/>
        <w:tblCellMar>
          <w:top w:w="0" w:type="dxa"/>
          <w:left w:w="0" w:type="dxa"/>
          <w:bottom w:w="0" w:type="dxa"/>
          <w:right w:w="0" w:type="dxa"/>
        </w:tblCellMar>
      </w:tblPr>
      <w:tblGrid>
        <w:gridCol w:w="75"/>
        <w:gridCol w:w="110"/>
        <w:gridCol w:w="60"/>
        <w:gridCol w:w="94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implementation of our business model, and strategic plans for our business, product candidates, and technology;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scope of protection we are able to establish and maintain for intellectual property rights covering our product candidates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 </w:t>
            </w:r>
          </w:p>
        </w:tc>
      </w:tr>
    </w:tbl>
    <w:p>
      <w:pPr>
        <w:pStyle w:val="TextBody"/>
        <w:bidi w:val="0"/>
        <w:spacing w:before="0" w:after="0"/>
        <w:jc w:val="left"/>
        <w:rPr/>
      </w:pPr>
      <w:r>
        <w:rPr/>
        <w:t> </w:t>
      </w:r>
    </w:p>
    <w:tbl>
      <w:tblPr>
        <w:tblW w:w="8965" w:type="dxa"/>
        <w:jc w:val="left"/>
        <w:tblInd w:w="0" w:type="dxa"/>
        <w:tblLayout w:type="fixed"/>
        <w:tblCellMar>
          <w:top w:w="0" w:type="dxa"/>
          <w:left w:w="0" w:type="dxa"/>
          <w:bottom w:w="0" w:type="dxa"/>
          <w:right w:w="0" w:type="dxa"/>
        </w:tblCellMar>
      </w:tblPr>
      <w:tblGrid>
        <w:gridCol w:w="75"/>
        <w:gridCol w:w="110"/>
        <w:gridCol w:w="60"/>
        <w:gridCol w:w="87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estimates of our future expenses, revenues and capital requirements and our needs for additional financing;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future agreements with third parties in connection with the development and commercialization of product candidates and any other approved product; </w:t>
            </w:r>
          </w:p>
        </w:tc>
      </w:tr>
    </w:tbl>
    <w:p>
      <w:pPr>
        <w:pStyle w:val="TextBody"/>
        <w:bidi w:val="0"/>
        <w:spacing w:before="0" w:after="0"/>
        <w:jc w:val="left"/>
        <w:rPr/>
      </w:pPr>
      <w:r>
        <w:rPr/>
        <w:t> </w:t>
      </w:r>
    </w:p>
    <w:tbl>
      <w:tblPr>
        <w:tblW w:w="9175" w:type="dxa"/>
        <w:jc w:val="left"/>
        <w:tblInd w:w="0" w:type="dxa"/>
        <w:tblLayout w:type="fixed"/>
        <w:tblCellMar>
          <w:top w:w="0" w:type="dxa"/>
          <w:left w:w="0" w:type="dxa"/>
          <w:bottom w:w="0" w:type="dxa"/>
          <w:right w:w="0" w:type="dxa"/>
        </w:tblCellMar>
      </w:tblPr>
      <w:tblGrid>
        <w:gridCol w:w="75"/>
        <w:gridCol w:w="110"/>
        <w:gridCol w:w="60"/>
        <w:gridCol w:w="8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size and growth potential of the markets for our product candidates and our ability to serve those markets; </w:t>
            </w:r>
          </w:p>
        </w:tc>
      </w:tr>
    </w:tbl>
    <w:p>
      <w:pPr>
        <w:pStyle w:val="TextBody"/>
        <w:bidi w:val="0"/>
        <w:spacing w:before="0" w:after="0"/>
        <w:jc w:val="left"/>
        <w:rPr/>
      </w:pPr>
      <w:r>
        <w:rPr/>
        <w:t> </w:t>
      </w:r>
    </w:p>
    <w:tbl>
      <w:tblPr>
        <w:tblW w:w="2470" w:type="dxa"/>
        <w:jc w:val="left"/>
        <w:tblInd w:w="0" w:type="dxa"/>
        <w:tblLayout w:type="fixed"/>
        <w:tblCellMar>
          <w:top w:w="0" w:type="dxa"/>
          <w:left w:w="0" w:type="dxa"/>
          <w:bottom w:w="0" w:type="dxa"/>
          <w:right w:w="0" w:type="dxa"/>
        </w:tblCellMar>
      </w:tblPr>
      <w:tblGrid>
        <w:gridCol w:w="75"/>
        <w:gridCol w:w="110"/>
        <w:gridCol w:w="60"/>
        <w:gridCol w:w="2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financial performance; </w:t>
            </w:r>
          </w:p>
        </w:tc>
      </w:tr>
    </w:tbl>
    <w:p>
      <w:pPr>
        <w:pStyle w:val="TextBody"/>
        <w:bidi w:val="0"/>
        <w:spacing w:before="0" w:after="0"/>
        <w:jc w:val="left"/>
        <w:rPr/>
      </w:pPr>
      <w:r>
        <w:rPr/>
        <w:t> </w:t>
      </w:r>
    </w:p>
    <w:tbl>
      <w:tblPr>
        <w:tblW w:w="5785" w:type="dxa"/>
        <w:jc w:val="left"/>
        <w:tblInd w:w="0" w:type="dxa"/>
        <w:tblLayout w:type="fixed"/>
        <w:tblCellMar>
          <w:top w:w="0" w:type="dxa"/>
          <w:left w:w="0" w:type="dxa"/>
          <w:bottom w:w="0" w:type="dxa"/>
          <w:right w:w="0" w:type="dxa"/>
        </w:tblCellMar>
      </w:tblPr>
      <w:tblGrid>
        <w:gridCol w:w="75"/>
        <w:gridCol w:w="110"/>
        <w:gridCol w:w="60"/>
        <w:gridCol w:w="55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rate and degree of market acceptance of our product candidates; </w:t>
            </w:r>
          </w:p>
        </w:tc>
      </w:tr>
    </w:tbl>
    <w:p>
      <w:pPr>
        <w:pStyle w:val="TextBody"/>
        <w:bidi w:val="0"/>
        <w:spacing w:before="0" w:after="0"/>
        <w:jc w:val="left"/>
        <w:rPr/>
      </w:pPr>
      <w:r>
        <w:rPr/>
        <w:t> </w:t>
      </w:r>
    </w:p>
    <w:tbl>
      <w:tblPr>
        <w:tblW w:w="5815" w:type="dxa"/>
        <w:jc w:val="left"/>
        <w:tblInd w:w="0" w:type="dxa"/>
        <w:tblLayout w:type="fixed"/>
        <w:tblCellMar>
          <w:top w:w="0" w:type="dxa"/>
          <w:left w:w="0" w:type="dxa"/>
          <w:bottom w:w="0" w:type="dxa"/>
          <w:right w:w="0" w:type="dxa"/>
        </w:tblCellMar>
      </w:tblPr>
      <w:tblGrid>
        <w:gridCol w:w="75"/>
        <w:gridCol w:w="110"/>
        <w:gridCol w:w="60"/>
        <w:gridCol w:w="55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developments in the United States and foreign countries; </w:t>
            </w:r>
          </w:p>
        </w:tc>
      </w:tr>
    </w:tbl>
    <w:p>
      <w:pPr>
        <w:pStyle w:val="TextBody"/>
        <w:bidi w:val="0"/>
        <w:spacing w:before="0" w:after="0"/>
        <w:jc w:val="left"/>
        <w:rPr/>
      </w:pPr>
      <w:r>
        <w:rPr/>
        <w:t> </w:t>
      </w:r>
    </w:p>
    <w:tbl>
      <w:tblPr>
        <w:tblW w:w="8965" w:type="dxa"/>
        <w:jc w:val="left"/>
        <w:tblInd w:w="0" w:type="dxa"/>
        <w:tblLayout w:type="fixed"/>
        <w:tblCellMar>
          <w:top w:w="0" w:type="dxa"/>
          <w:left w:w="0" w:type="dxa"/>
          <w:bottom w:w="0" w:type="dxa"/>
          <w:right w:w="0" w:type="dxa"/>
        </w:tblCellMar>
      </w:tblPr>
      <w:tblGrid>
        <w:gridCol w:w="75"/>
        <w:gridCol w:w="110"/>
        <w:gridCol w:w="60"/>
        <w:gridCol w:w="87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contract with third-party suppliers and manufacturers and their ability to perform adequately; </w:t>
            </w:r>
          </w:p>
        </w:tc>
      </w:tr>
    </w:tbl>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75"/>
        <w:gridCol w:w="110"/>
        <w:gridCol w:w="60"/>
        <w:gridCol w:w="9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produce our products or product candidates with advantages in turnaround times or manufacturing costs; </w:t>
            </w:r>
          </w:p>
        </w:tc>
      </w:tr>
    </w:tbl>
    <w:p>
      <w:pPr>
        <w:pStyle w:val="TextBody"/>
        <w:bidi w:val="0"/>
        <w:spacing w:before="0" w:after="0"/>
        <w:jc w:val="left"/>
        <w:rPr/>
      </w:pPr>
      <w:r>
        <w:rPr/>
        <w:t> </w:t>
      </w:r>
    </w:p>
    <w:tbl>
      <w:tblPr>
        <w:tblW w:w="5905" w:type="dxa"/>
        <w:jc w:val="left"/>
        <w:tblInd w:w="0" w:type="dxa"/>
        <w:tblLayout w:type="fixed"/>
        <w:tblCellMar>
          <w:top w:w="0" w:type="dxa"/>
          <w:left w:w="0" w:type="dxa"/>
          <w:bottom w:w="0" w:type="dxa"/>
          <w:right w:w="0" w:type="dxa"/>
        </w:tblCellMar>
      </w:tblPr>
      <w:tblGrid>
        <w:gridCol w:w="75"/>
        <w:gridCol w:w="110"/>
        <w:gridCol w:w="60"/>
        <w:gridCol w:w="5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competing therapies that are or may become available; </w:t>
            </w:r>
          </w:p>
        </w:tc>
      </w:tr>
    </w:tbl>
    <w:p>
      <w:pPr>
        <w:pStyle w:val="TextBody"/>
        <w:bidi w:val="0"/>
        <w:spacing w:before="0" w:after="0"/>
        <w:jc w:val="left"/>
        <w:rPr/>
      </w:pPr>
      <w:r>
        <w:rPr/>
        <w:t> </w:t>
      </w:r>
    </w:p>
    <w:tbl>
      <w:tblPr>
        <w:tblW w:w="6130" w:type="dxa"/>
        <w:jc w:val="left"/>
        <w:tblInd w:w="0" w:type="dxa"/>
        <w:tblLayout w:type="fixed"/>
        <w:tblCellMar>
          <w:top w:w="0" w:type="dxa"/>
          <w:left w:w="0" w:type="dxa"/>
          <w:bottom w:w="0" w:type="dxa"/>
          <w:right w:w="0" w:type="dxa"/>
        </w:tblCellMar>
      </w:tblPr>
      <w:tblGrid>
        <w:gridCol w:w="75"/>
        <w:gridCol w:w="110"/>
        <w:gridCol w:w="60"/>
        <w:gridCol w:w="5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key scientific or management personnel; </w:t>
            </w:r>
          </w:p>
        </w:tc>
      </w:tr>
    </w:tbl>
    <w:p>
      <w:pPr>
        <w:pStyle w:val="TextBody"/>
        <w:bidi w:val="0"/>
        <w:spacing w:before="0" w:after="0"/>
        <w:jc w:val="left"/>
        <w:rPr/>
      </w:pPr>
      <w:r>
        <w:rPr/>
        <w:t> </w:t>
      </w:r>
    </w:p>
    <w:tbl>
      <w:tblPr>
        <w:tblW w:w="3160" w:type="dxa"/>
        <w:jc w:val="left"/>
        <w:tblInd w:w="0" w:type="dxa"/>
        <w:tblLayout w:type="fixed"/>
        <w:tblCellMar>
          <w:top w:w="0" w:type="dxa"/>
          <w:left w:w="0" w:type="dxa"/>
          <w:bottom w:w="0" w:type="dxa"/>
          <w:right w:w="0" w:type="dxa"/>
        </w:tblCellMar>
      </w:tblPr>
      <w:tblGrid>
        <w:gridCol w:w="75"/>
        <w:gridCol w:w="110"/>
        <w:gridCol w:w="60"/>
        <w:gridCol w:w="29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impact of laws and regulations;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period over which we estimate our cash, cash equivalents, and marketable securities will be sufficient to fund our future operating expenses and capital expenditure requirements; </w:t>
            </w:r>
          </w:p>
        </w:tc>
      </w:tr>
    </w:tbl>
    <w:p>
      <w:pPr>
        <w:pStyle w:val="TextBody"/>
        <w:bidi w:val="0"/>
        <w:spacing w:before="0" w:after="0"/>
        <w:jc w:val="left"/>
        <w:rPr/>
      </w:pPr>
      <w:r>
        <w:rPr/>
        <w:t> </w:t>
      </w:r>
    </w:p>
    <w:tbl>
      <w:tblPr>
        <w:tblW w:w="5455" w:type="dxa"/>
        <w:jc w:val="left"/>
        <w:tblInd w:w="0" w:type="dxa"/>
        <w:tblLayout w:type="fixed"/>
        <w:tblCellMar>
          <w:top w:w="0" w:type="dxa"/>
          <w:left w:w="0" w:type="dxa"/>
          <w:bottom w:w="0" w:type="dxa"/>
          <w:right w:w="0" w:type="dxa"/>
        </w:tblCellMar>
      </w:tblPr>
      <w:tblGrid>
        <w:gridCol w:w="75"/>
        <w:gridCol w:w="110"/>
        <w:gridCol w:w="60"/>
        <w:gridCol w:w="52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developments relating to our competitors and our industry; and </w:t>
            </w:r>
          </w:p>
        </w:tc>
      </w:tr>
    </w:tbl>
    <w:p>
      <w:pPr>
        <w:pStyle w:val="TextBody"/>
        <w:bidi w:val="0"/>
        <w:spacing w:before="0" w:after="0"/>
        <w:jc w:val="left"/>
        <w:rPr/>
      </w:pPr>
      <w:r>
        <w:rPr/>
        <w:t> </w:t>
      </w:r>
    </w:p>
    <w:tbl>
      <w:tblPr>
        <w:tblW w:w="7225" w:type="dxa"/>
        <w:jc w:val="left"/>
        <w:tblInd w:w="0" w:type="dxa"/>
        <w:tblLayout w:type="fixed"/>
        <w:tblCellMar>
          <w:top w:w="0" w:type="dxa"/>
          <w:left w:w="0" w:type="dxa"/>
          <w:bottom w:w="0" w:type="dxa"/>
          <w:right w:w="0" w:type="dxa"/>
        </w:tblCellMar>
      </w:tblPr>
      <w:tblGrid>
        <w:gridCol w:w="75"/>
        <w:gridCol w:w="110"/>
        <w:gridCol w:w="60"/>
        <w:gridCol w:w="69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risks and uncertainties, including those listed under the caption “</w:t>
            </w:r>
            <w:r>
              <w:rPr>
                <w:rFonts w:ascii="Times New Roman" w:hAnsi="Times New Roman"/>
                <w:i/>
                <w:sz w:val="20"/>
              </w:rPr>
              <w:t>Risk Factors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In some cases, forward-looking statements can be identified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titled “</w:t>
      </w:r>
      <w:r>
        <w:rPr>
          <w:rFonts w:ascii="Times New Roman" w:hAnsi="Times New Roman"/>
          <w:i/>
          <w:sz w:val="20"/>
        </w:rPr>
        <w:t>Risk Factors</w:t>
      </w:r>
      <w:r>
        <w:rPr>
          <w:rFonts w:ascii="Times New Roman" w:hAnsi="Times New Roman"/>
          <w:sz w:val="20"/>
        </w:rPr>
        <w:t xml:space="preserve">” and elsewhere in this prospectus.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prospectus and the documents that we reference in this prospectus and have filed with the Securities and Exchange Commission as exhibits to the registration statement, of which this prospectus is a part, completely and with the understanding that our actual future results may be materially different from any future results expressed or implied by these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in this prospectus represent our views as of the date of this prospectus.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x127696_8"/>
      <w:bookmarkEnd w:id="10"/>
      <w:r>
        <w:rPr>
          <w:rFonts w:ascii="Times New Roman" w:hAnsi="Times New Roman"/>
          <w:b/>
          <w:sz w:val="20"/>
        </w:rPr>
        <w:t xml:space="preserve">USE OF PROCEEDS </w:t>
      </w:r>
    </w:p>
    <w:p>
      <w:pPr>
        <w:pStyle w:val="TextBody"/>
        <w:bidi w:val="0"/>
        <w:spacing w:before="120" w:after="0"/>
        <w:jc w:val="left"/>
        <w:rPr>
          <w:rFonts w:ascii="Times New Roman" w:hAnsi="Times New Roman"/>
          <w:sz w:val="20"/>
        </w:rPr>
      </w:pPr>
      <w:r>
        <w:rPr>
          <w:rFonts w:ascii="Times New Roman" w:hAnsi="Times New Roman"/>
          <w:sz w:val="20"/>
        </w:rPr>
        <w:t xml:space="preserve">The selling stockholders will make offers and sales pursuant to this prospectus. We will not receive any of the proceeds of such offerings. The selling stockholders will pay any underwriting discounts and commissions and expenses they incur for brokerage, accounting, tax or legal services, or any other expenses they incur in disposing of their shares. We will incur certain expenses in connection with the registration with the SEC of the shares of our common stock to be sold by the selling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x127696_9"/>
      <w:bookmarkEnd w:id="11"/>
      <w:r>
        <w:rPr>
          <w:rFonts w:ascii="Times New Roman" w:hAnsi="Times New Roman"/>
          <w:b/>
          <w:sz w:val="20"/>
        </w:rPr>
        <w:t xml:space="preserve">MARKET PRICE OF AND DIVIDEND ON THE REGISTRANT’S COMMON EQUITY AND RELATED STOCKHOLDER MATTERS </w:t>
      </w:r>
    </w:p>
    <w:p>
      <w:pPr>
        <w:pStyle w:val="TextBody"/>
        <w:bidi w:val="0"/>
        <w:spacing w:before="120" w:after="0"/>
        <w:jc w:val="left"/>
        <w:rPr>
          <w:rFonts w:ascii="Times New Roman" w:hAnsi="Times New Roman"/>
          <w:b/>
          <w:sz w:val="20"/>
        </w:rPr>
      </w:pPr>
      <w:r>
        <w:rPr>
          <w:rFonts w:ascii="Times New Roman" w:hAnsi="Times New Roman"/>
          <w:b/>
          <w:sz w:val="20"/>
        </w:rPr>
        <w:t xml:space="preserve">Market Information and Holders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Nasdaq under the symbol “OBX.” Our common stock commenced trading on the Nasdaq on August 4, 2026. </w:t>
      </w:r>
    </w:p>
    <w:p>
      <w:pPr>
        <w:pStyle w:val="TextBody"/>
        <w:bidi w:val="0"/>
        <w:spacing w:before="240" w:after="0"/>
        <w:jc w:val="left"/>
        <w:rPr>
          <w:rFonts w:ascii="Times New Roman" w:hAnsi="Times New Roman"/>
          <w:sz w:val="20"/>
        </w:rPr>
      </w:pPr>
      <w:r>
        <w:rPr>
          <w:rFonts w:ascii="Times New Roman" w:hAnsi="Times New Roman"/>
          <w:sz w:val="20"/>
        </w:rPr>
        <w:t xml:space="preserve">As of August 24, 2026, there were approximately 208 holders of record of our common stock. The number of holders of record does not include a substantially greater number of “street name” holders or beneficial holders whose shares are held of record by banks, brokers and other financial institutions. </w:t>
      </w:r>
    </w:p>
    <w:p>
      <w:pPr>
        <w:pStyle w:val="TextBody"/>
        <w:bidi w:val="0"/>
        <w:spacing w:before="360" w:after="0"/>
        <w:jc w:val="left"/>
        <w:rPr>
          <w:rFonts w:ascii="Times New Roman" w:hAnsi="Times New Roman"/>
          <w:b/>
          <w:sz w:val="20"/>
        </w:rPr>
      </w:pPr>
      <w:r>
        <w:rPr>
          <w:rFonts w:ascii="Times New Roman" w:hAnsi="Times New Roman"/>
          <w:b/>
          <w:sz w:val="20"/>
        </w:rPr>
        <w:t xml:space="preserve">Dividend Policy </w:t>
      </w:r>
    </w:p>
    <w:p>
      <w:pPr>
        <w:pStyle w:val="TextBody"/>
        <w:bidi w:val="0"/>
        <w:spacing w:before="120" w:after="0"/>
        <w:jc w:val="left"/>
        <w:rPr>
          <w:rFonts w:ascii="Times New Roman" w:hAnsi="Times New Roman"/>
          <w:sz w:val="20"/>
        </w:rPr>
      </w:pPr>
      <w:r>
        <w:rPr>
          <w:rFonts w:ascii="Times New Roman" w:hAnsi="Times New Roman"/>
          <w:sz w:val="20"/>
        </w:rPr>
        <w:t xml:space="preserve">We have never declared or paid cash dividends on our capital stock. We intend to retain all available funds and any future earnings for use in the operation of our business and do not anticipate paying any cash dividends on our capital stock in the foreseeable future. Notwithstanding the foregoing, any determination to pay cash dividends will be at the discretion of our board of directors and will depend upon a number of factors, including our results of operations, financial condition, future prospects, contractual restrictions, restrictions imposed by applicable law and other factors our board of directors deems relevant.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127696_10"/>
      <w:bookmarkEnd w:id="12"/>
      <w:r>
        <w:rPr>
          <w:rFonts w:ascii="Times New Roman" w:hAnsi="Times New Roman"/>
          <w:b/>
          <w:sz w:val="20"/>
        </w:rPr>
        <w:t xml:space="preserve">SELECTED UNAUDITED PRO FORMA CONDENSED COMBINED FINANCIAL DATA OF OBSIDIAN </w:t>
      </w:r>
    </w:p>
    <w:p>
      <w:pPr>
        <w:pStyle w:val="TextBody"/>
        <w:bidi w:val="0"/>
        <w:spacing w:before="0" w:after="0"/>
        <w:jc w:val="left"/>
        <w:rPr>
          <w:rFonts w:ascii="Times New Roman" w:hAnsi="Times New Roman"/>
          <w:i/>
          <w:sz w:val="20"/>
        </w:rPr>
      </w:pPr>
      <w:r>
        <w:rPr>
          <w:rFonts w:ascii="Times New Roman" w:hAnsi="Times New Roman"/>
          <w:i/>
          <w:sz w:val="20"/>
        </w:rPr>
        <w:t xml:space="preserve">Defined terms included below and not otherwise defined shall have the same meaning as terms defined and included elsewhere in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Introduction </w:t>
      </w:r>
    </w:p>
    <w:p>
      <w:pPr>
        <w:pStyle w:val="TextBody"/>
        <w:bidi w:val="0"/>
        <w:spacing w:before="120" w:after="0"/>
        <w:jc w:val="left"/>
        <w:rPr>
          <w:rFonts w:ascii="Times New Roman" w:hAnsi="Times New Roman"/>
          <w:sz w:val="20"/>
        </w:rPr>
      </w:pPr>
      <w:r>
        <w:rPr>
          <w:rFonts w:ascii="Times New Roman" w:hAnsi="Times New Roman"/>
          <w:sz w:val="20"/>
        </w:rPr>
        <w:t xml:space="preserve">As previously announced, on April 14, 2026, Gazelle Parent, Inc. (now known as Obsidian Therapeutics, Inc.), or the Parent, entered into the Merger Agreement with Legacy Galera, Legacy Obsidian, Obsidian Merger Sub and Galera Merger Sub, pursuant to which (1) Obsidian Merger Sub merged with and into Legacy Obsidian, with Legacy Obsidian surviving as a wholly owned subsidiary of Obsidian Therapeutics, Inc., and (2) immediately thereafter, Galera Merger Sub merged with and into Legacy Galera, with Legacy Galera surviving as a wholly owned subsidiary of Obsidian Therapeutics, Inc. References to “Parent” herein refer to Gazelle Parent, Inc., which was renamed Obsidian Therapeutics, Inc., following the closing of the Mergers. </w:t>
      </w:r>
    </w:p>
    <w:p>
      <w:pPr>
        <w:pStyle w:val="TextBody"/>
        <w:bidi w:val="0"/>
        <w:spacing w:before="240" w:after="0"/>
        <w:jc w:val="left"/>
        <w:rPr>
          <w:rFonts w:ascii="Times New Roman" w:hAnsi="Times New Roman"/>
          <w:sz w:val="20"/>
        </w:rPr>
      </w:pPr>
      <w:r>
        <w:rPr>
          <w:rFonts w:ascii="Times New Roman" w:hAnsi="Times New Roman"/>
          <w:sz w:val="20"/>
        </w:rPr>
        <w:t xml:space="preserve">Also on April 14, 2026, Legacy Galera entered into the Securities Purchase Agreement with certain investors, pursuant to which Legacy Galera sold, and such investors purchased, shares of Legacy Galera’s Series C preferred stock for an aggregate purchase price of approximately $350.0 million (less any proceeds received by Legacy Obsidian in connection with a Permitted Obsidian Bridge Financing (as defined in the Securities Purchase Agreement)), or the PIPE Financing. The PIPE Financing closed on July 31, 2026. </w:t>
      </w:r>
    </w:p>
    <w:p>
      <w:pPr>
        <w:pStyle w:val="TextBody"/>
        <w:bidi w:val="0"/>
        <w:spacing w:before="240" w:after="0"/>
        <w:jc w:val="left"/>
        <w:rPr>
          <w:rFonts w:ascii="Times New Roman" w:hAnsi="Times New Roman"/>
          <w:sz w:val="20"/>
        </w:rPr>
      </w:pPr>
      <w:r>
        <w:rPr>
          <w:rFonts w:ascii="Times New Roman" w:hAnsi="Times New Roman"/>
          <w:sz w:val="20"/>
        </w:rPr>
        <w:t xml:space="preserve">On August 3, 2026, the Mergers were completed pursuant to which (a) Obsidian Merger Sub merged with and into Legacy Obsidian, pursuant to the provisions of the General Corporation Law of the State of Delaware, as amended, or the DGCL, with Legacy Obsidian as the surviving entity, or the Obsidian Merger, and (b) immediately following the Obsidian Merger, Galera Merger Sub merged with and into Legacy Galera, pursuant to the DGCL, with Legacy Galera as the surviving entity, or the Galera Merger, and together with the Obsidian Merger, the Mergers.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provided that, (1) prior to the effective time of the Galera Merger, all of the outstanding shares of Legacy Galera preferred stock, as well as the Legacy Galera pre-funded warrants, would be converted into Legacy Galera common stock and (2) prior to the effective time of the Obsidian Merger, all of the outstanding shares of Legacy Obsidian preferred stock, as well as the Banc of California, Inc. warrants of Legacy Obsidian would be converted into Legacy Obsidian common stock. </w:t>
      </w:r>
    </w:p>
    <w:p>
      <w:pPr>
        <w:pStyle w:val="TextBody"/>
        <w:bidi w:val="0"/>
        <w:spacing w:before="240" w:after="0"/>
        <w:jc w:val="left"/>
        <w:rPr>
          <w:rFonts w:ascii="Times New Roman" w:hAnsi="Times New Roman"/>
          <w:sz w:val="20"/>
        </w:rPr>
      </w:pPr>
      <w:r>
        <w:rPr>
          <w:rFonts w:ascii="Times New Roman" w:hAnsi="Times New Roman"/>
          <w:sz w:val="20"/>
        </w:rPr>
        <w:t xml:space="preserve">At the Obsidian Merger effective time, each outstanding share of Legacy Obsidian common stock (including those resulting from the conversion of the Legacy Obsidian preferred stock, the Legacy Obsidian Banc of California, Inc. warrants, and Legacy Obsidian common stock issued in connection with any interim permitted financings, but excluding dissenting shares and certain excluded shares as described in this prospectus) was converted into the right to receive a number of shares of Parent Common Stock calculated as described in the information statement/prospectus filed by Parent on July 2, 2026. </w:t>
      </w:r>
    </w:p>
    <w:p>
      <w:pPr>
        <w:pStyle w:val="TextBody"/>
        <w:bidi w:val="0"/>
        <w:spacing w:before="240" w:after="0"/>
        <w:jc w:val="left"/>
        <w:rPr>
          <w:rFonts w:ascii="Times New Roman" w:hAnsi="Times New Roman"/>
          <w:sz w:val="20"/>
        </w:rPr>
      </w:pPr>
      <w:r>
        <w:rPr>
          <w:rFonts w:ascii="Times New Roman" w:hAnsi="Times New Roman"/>
          <w:sz w:val="20"/>
        </w:rPr>
        <w:t xml:space="preserve">Immediately following the effective time of the Obsidian Merger, at the Galera Merger effective time, each outstanding share of Legacy Galera common stock (including those resulting from the conversion of the Legacy Galera preferred stock and the Legacy Galera pre-funded warrants, but excluding dissenting shares and certain excluded shares as described in this prospectus) was converted into the right to receive a number of shares of Parent Common Stock calculated as described in the information statement/prospectus filed by Parent on July 2, 2026. </w:t>
      </w:r>
    </w:p>
    <w:p>
      <w:pPr>
        <w:pStyle w:val="TextBody"/>
        <w:bidi w:val="0"/>
        <w:spacing w:before="360" w:after="0"/>
        <w:jc w:val="left"/>
        <w:rPr>
          <w:rFonts w:ascii="Times New Roman" w:hAnsi="Times New Roman"/>
          <w:i/>
          <w:sz w:val="20"/>
        </w:rPr>
      </w:pPr>
      <w:r>
        <w:rPr>
          <w:rFonts w:ascii="Times New Roman" w:hAnsi="Times New Roman"/>
          <w:i/>
          <w:sz w:val="20"/>
        </w:rPr>
        <w:t xml:space="preserve">Legacy Galera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On July 12, 2026, Legacy Galera effected a one-for-two hundred (1:200) reverse stock split, or the Galera Reverse Stock Split, of Legacy Galera’s common stock, which has been retroactively applied to the unaudited pro forma condensed combined financial statements for all periods presented.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While Parent is the legal acquirer, Legacy Obsidian is deemed to be the accounting acquirer of Legacy Galera. The acquisition of Legacy Galera is accounted for as an asset acquisition as Legacy Galera does not meet the definition of a business as defined within Accounting Standards Codification Topic 805, Business Combinations, or ASC 805, as Legacy Galera only has inputs and no substantive processes or outputs at the time of acquisition. The Legacy Galera assets acquired are measured based on the estimated fair value of the consideration paid, inclusive of direct transaction costs. The Legacy Galera In-Process Research and Development, or IPR&amp;D, acquired was determined to have no alternative future use to the continuing company and was immediately expensed. The unaudited pro forma condensed combined financial information set forth below primarily gives effect to the following: </w:t>
      </w:r>
    </w:p>
    <w:p>
      <w:pPr>
        <w:pStyle w:val="TextBody"/>
        <w:bidi w:val="0"/>
        <w:spacing w:before="0" w:after="0"/>
        <w:jc w:val="left"/>
        <w:rPr/>
      </w:pPr>
      <w:r>
        <w:rPr/>
        <w:t> </w:t>
      </w:r>
    </w:p>
    <w:tbl>
      <w:tblPr>
        <w:tblW w:w="6670" w:type="dxa"/>
        <w:jc w:val="left"/>
        <w:tblInd w:w="0" w:type="dxa"/>
        <w:tblLayout w:type="fixed"/>
        <w:tblCellMar>
          <w:top w:w="0" w:type="dxa"/>
          <w:left w:w="0" w:type="dxa"/>
          <w:bottom w:w="0" w:type="dxa"/>
          <w:right w:w="0" w:type="dxa"/>
        </w:tblCellMar>
      </w:tblPr>
      <w:tblGrid>
        <w:gridCol w:w="75"/>
        <w:gridCol w:w="110"/>
        <w:gridCol w:w="60"/>
        <w:gridCol w:w="64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closing of the PIPE Financing immediately prior to the closing of the Mergers; </w:t>
            </w:r>
          </w:p>
        </w:tc>
      </w:tr>
    </w:tbl>
    <w:p>
      <w:pPr>
        <w:pStyle w:val="TextBody"/>
        <w:bidi w:val="0"/>
        <w:spacing w:before="0" w:after="0"/>
        <w:jc w:val="left"/>
        <w:rPr/>
      </w:pPr>
      <w:r>
        <w:rPr/>
        <w:t> </w:t>
      </w:r>
    </w:p>
    <w:tbl>
      <w:tblPr>
        <w:tblW w:w="2905" w:type="dxa"/>
        <w:jc w:val="left"/>
        <w:tblInd w:w="0" w:type="dxa"/>
        <w:tblLayout w:type="fixed"/>
        <w:tblCellMar>
          <w:top w:w="0" w:type="dxa"/>
          <w:left w:w="0" w:type="dxa"/>
          <w:bottom w:w="0" w:type="dxa"/>
          <w:right w:w="0" w:type="dxa"/>
        </w:tblCellMar>
      </w:tblPr>
      <w:tblGrid>
        <w:gridCol w:w="75"/>
        <w:gridCol w:w="110"/>
        <w:gridCol w:w="60"/>
        <w:gridCol w:w="2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closing of the Obsidian Merger; </w:t>
            </w:r>
          </w:p>
        </w:tc>
      </w:tr>
    </w:tbl>
    <w:p>
      <w:pPr>
        <w:pStyle w:val="TextBody"/>
        <w:bidi w:val="0"/>
        <w:spacing w:before="0" w:after="0"/>
        <w:jc w:val="left"/>
        <w:rPr/>
      </w:pPr>
      <w:r>
        <w:rPr/>
        <w:t> </w:t>
      </w:r>
    </w:p>
    <w:tbl>
      <w:tblPr>
        <w:tblW w:w="2695" w:type="dxa"/>
        <w:jc w:val="left"/>
        <w:tblInd w:w="0" w:type="dxa"/>
        <w:tblLayout w:type="fixed"/>
        <w:tblCellMar>
          <w:top w:w="0" w:type="dxa"/>
          <w:left w:w="0" w:type="dxa"/>
          <w:bottom w:w="0" w:type="dxa"/>
          <w:right w:w="0" w:type="dxa"/>
        </w:tblCellMar>
      </w:tblPr>
      <w:tblGrid>
        <w:gridCol w:w="75"/>
        <w:gridCol w:w="110"/>
        <w:gridCol w:w="60"/>
        <w:gridCol w:w="24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closing of the Galera Merger; </w:t>
            </w:r>
          </w:p>
        </w:tc>
      </w:tr>
    </w:tbl>
    <w:p>
      <w:pPr>
        <w:pStyle w:val="TextBody"/>
        <w:bidi w:val="0"/>
        <w:spacing w:before="0" w:after="0"/>
        <w:jc w:val="left"/>
        <w:rPr/>
      </w:pPr>
      <w:r>
        <w:rPr/>
        <w:t> </w:t>
      </w:r>
    </w:p>
    <w:tbl>
      <w:tblPr>
        <w:tblW w:w="9280" w:type="dxa"/>
        <w:jc w:val="left"/>
        <w:tblInd w:w="0" w:type="dxa"/>
        <w:tblLayout w:type="fixed"/>
        <w:tblCellMar>
          <w:top w:w="0" w:type="dxa"/>
          <w:left w:w="0" w:type="dxa"/>
          <w:bottom w:w="0" w:type="dxa"/>
          <w:right w:w="0" w:type="dxa"/>
        </w:tblCellMar>
      </w:tblPr>
      <w:tblGrid>
        <w:gridCol w:w="75"/>
        <w:gridCol w:w="110"/>
        <w:gridCol w:w="60"/>
        <w:gridCol w:w="90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of Legacy Galera common stock and Legacy Galera preferred stock into Parent Common Stock; </w:t>
            </w:r>
          </w:p>
        </w:tc>
      </w:tr>
    </w:tbl>
    <w:p>
      <w:pPr>
        <w:pStyle w:val="TextBody"/>
        <w:bidi w:val="0"/>
        <w:spacing w:before="0" w:after="0"/>
        <w:jc w:val="left"/>
        <w:rPr/>
      </w:pPr>
      <w:r>
        <w:rPr/>
        <w:t> </w:t>
      </w:r>
    </w:p>
    <w:tbl>
      <w:tblPr>
        <w:tblW w:w="10045" w:type="dxa"/>
        <w:jc w:val="left"/>
        <w:tblInd w:w="0" w:type="dxa"/>
        <w:tblLayout w:type="fixed"/>
        <w:tblCellMar>
          <w:top w:w="0" w:type="dxa"/>
          <w:left w:w="0" w:type="dxa"/>
          <w:bottom w:w="0" w:type="dxa"/>
          <w:right w:w="0" w:type="dxa"/>
        </w:tblCellMar>
      </w:tblPr>
      <w:tblGrid>
        <w:gridCol w:w="75"/>
        <w:gridCol w:w="110"/>
        <w:gridCol w:w="60"/>
        <w:gridCol w:w="98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of Legacy Obsidian common stock and Legacy Obsidian preferred stock into Parent Common Stock; and </w:t>
            </w:r>
          </w:p>
        </w:tc>
      </w:tr>
    </w:tbl>
    <w:p>
      <w:pPr>
        <w:pStyle w:val="TextBody"/>
        <w:bidi w:val="0"/>
        <w:spacing w:before="0" w:after="0"/>
        <w:jc w:val="left"/>
        <w:rPr/>
      </w:pPr>
      <w:r>
        <w:rPr/>
        <w:t> </w:t>
      </w:r>
    </w:p>
    <w:tbl>
      <w:tblPr>
        <w:tblW w:w="6745" w:type="dxa"/>
        <w:jc w:val="left"/>
        <w:tblInd w:w="0" w:type="dxa"/>
        <w:tblLayout w:type="fixed"/>
        <w:tblCellMar>
          <w:top w:w="0" w:type="dxa"/>
          <w:left w:w="0" w:type="dxa"/>
          <w:bottom w:w="0" w:type="dxa"/>
          <w:right w:w="0" w:type="dxa"/>
        </w:tblCellMar>
      </w:tblPr>
      <w:tblGrid>
        <w:gridCol w:w="75"/>
        <w:gridCol w:w="110"/>
        <w:gridCol w:w="60"/>
        <w:gridCol w:w="65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application of asset acquisition accounting in connection with the Mergers.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At the effective time of the Mergers, Parent issued (or reserved for issuance upon exercise of options assumed in the Mergers) an aggregate of approximately (i) 31,831,595 shares of Parent Common Stock to Legacy Obsidian securityholders, (ii) 777,236 shares of Parent Common Stock to Legacy Galera securityholders, and (iii) 29,164,045 shares of Parent Common Stock to investors in the PIPE Financing, resulting in approximately 61,772,876 shares of common stock being issued and outstanding immediately following the effective time of the Mergers. Immediately following the effective time of the Mergers, the (i) Legacy Obsidian securityholders owned approximately 51.5% of the outstanding shares of Parent Common Stock, (ii) Legacy Galera securityholders owned approximately 1.3% of the outstanding shares of Parent Common Stock and (iii) investors in the PIPE Financing owned approximately 47.2% of Parent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balance sheet assumes that the Mergers and PIPE Financing took place on June 30, 2026, and combines the historical balance sheets of Legacy Galera and Legacy Obsidian as of such date. The unaudited pro forma condensed combined statements of operations for the six months ended June 30, 2026 and the year ended December 31, 2025 assume that the Mergers took place as of January 1, 2025, and combines the historical results of Legacy Galera and Legacy Obsidian for the six months ended June 30, 2026 and the year ended December 31, 2025. The unaudited pro forma condensed combined financial information was prepared pursuant to the rules and regulations of Article 11 of SEC Regulation S-X.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including the notes thereto, should be read in conjunction with the separate historical financial statements of Legacy Galera and Legacy Obsidian, and their respective management’s discussion and analysis of financial condition and results of operations, included elsewhere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is based on the assumptions and adjustments that are described in the accompanying notes. The pro forma adjustments are preliminary, subject to further revision as additional information becomes available and additional analyses are performed including but not limited to changes in Legacy Galera’s assets and liabilities, additional direct and incremental offering costs. Adjustments have been made solely for the purpose of providing unaudited pro forma condensed combined financial information. Differences between these preliminary estimates and the final accounting, which has not yet been completed, may occur, and these differences could have a material impact on the accompanying unaudited pro forma condensed combined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unaudited pro forma condensed combined financial information does not give effect to the potential impact of current financial conditions, regulatory matters, operating efficiencies or other savings or expenses that may be associated with the integration of the two companies. The unaudited pro forma condensed combined financial information is not necessarily indicative of the financial position or results of operations in the future periods or the result that actually would have been realized had Legacy Galera and Legacy Obsidian been a combined organization during the specified period. The actual results reported in periods following the Mergers may differ significantly from those reflected in the unaudited condensed combined pro forma financial information presented herein for a number of reasons, including, but not limited to, differences in the assumptions used to prepare this unaudited pro forma condensed combined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BALANCE SHEET </w:t>
      </w:r>
    </w:p>
    <w:p>
      <w:pPr>
        <w:pStyle w:val="TextBody"/>
        <w:bidi w:val="0"/>
        <w:spacing w:before="0" w:after="0"/>
        <w:jc w:val="center"/>
        <w:rPr>
          <w:rFonts w:ascii="Times New Roman" w:hAnsi="Times New Roman"/>
          <w:b/>
          <w:sz w:val="20"/>
        </w:rPr>
      </w:pPr>
      <w:r>
        <w:rPr>
          <w:rFonts w:ascii="Times New Roman" w:hAnsi="Times New Roman"/>
          <w:b/>
          <w:sz w:val="20"/>
        </w:rPr>
        <w:t xml:space="preserve">As of June 30, 2026 </w:t>
      </w:r>
    </w:p>
    <w:p>
      <w:pPr>
        <w:pStyle w:val="TextBody"/>
        <w:bidi w:val="0"/>
        <w:spacing w:before="0" w:after="0"/>
        <w:jc w:val="center"/>
        <w:rPr>
          <w:rFonts w:ascii="Times New Roman" w:hAnsi="Times New Roman"/>
          <w:b/>
          <w:i/>
          <w:sz w:val="20"/>
        </w:rPr>
      </w:pPr>
      <w:r>
        <w:rPr>
          <w:rFonts w:ascii="Times New Roman" w:hAnsi="Times New Roman"/>
          <w:b/>
          <w:i/>
          <w:sz w:val="20"/>
        </w:rPr>
        <w:t xml:space="preserve">(in thousands, except per share data) </w:t>
      </w:r>
    </w:p>
    <w:p>
      <w:pPr>
        <w:pStyle w:val="TextBody"/>
        <w:bidi w:val="0"/>
        <w:spacing w:before="120" w:after="0"/>
        <w:jc w:val="center"/>
        <w:rPr>
          <w:rFonts w:ascii="Times New Roman" w:hAnsi="Times New Roman"/>
          <w:i/>
          <w:sz w:val="20"/>
        </w:rPr>
      </w:pPr>
      <w:r>
        <w:rPr>
          <w:rFonts w:ascii="Times New Roman" w:hAnsi="Times New Roman"/>
          <w:i/>
          <w:sz w:val="20"/>
        </w:rPr>
        <w:t xml:space="preserve">See accompanying notes to the unaudited pro forma condensed combined financial statements.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81"/>
        <w:gridCol w:w="60"/>
        <w:gridCol w:w="195"/>
        <w:gridCol w:w="1220"/>
        <w:gridCol w:w="155"/>
        <w:gridCol w:w="60"/>
        <w:gridCol w:w="195"/>
        <w:gridCol w:w="1220"/>
        <w:gridCol w:w="155"/>
        <w:gridCol w:w="60"/>
        <w:gridCol w:w="180"/>
        <w:gridCol w:w="1130"/>
        <w:gridCol w:w="155"/>
        <w:gridCol w:w="60"/>
        <w:gridCol w:w="136"/>
        <w:gridCol w:w="454"/>
        <w:gridCol w:w="60"/>
        <w:gridCol w:w="60"/>
        <w:gridCol w:w="150"/>
        <w:gridCol w:w="947"/>
        <w:gridCol w:w="172"/>
      </w:tblGrid>
      <w:tr>
        <w:trPr/>
        <w:tc>
          <w:tcPr>
            <w:tcW w:w="3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3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Obsidian</w:t>
              <w:br/>
              <w:t>Therapeutics,</w:t>
              <w:br/>
              <w:t>Inc.</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Galera</w:t>
              <w:br/>
              <w:t>Therapeutics,</w:t>
              <w:br/>
              <w:t>Inc.</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Transaction</w:t>
              <w:br/>
              <w:t>Adjustments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w:t>
              <w:br/>
              <w:t>Combined</w:t>
            </w:r>
          </w:p>
        </w:tc>
        <w:tc>
          <w:tcPr>
            <w:tcW w:w="172" w:type="dxa"/>
            <w:tcBorders/>
            <w:vAlign w:val="center"/>
          </w:tcPr>
          <w:p>
            <w:pPr>
              <w:pStyle w:val="TableContents"/>
              <w:bidi w:val="0"/>
              <w:spacing w:before="0" w:after="283"/>
              <w:jc w:val="left"/>
              <w:rPr/>
            </w:pPr>
            <w:r>
              <w:rPr/>
              <w:t> </w:t>
            </w:r>
          </w:p>
        </w:tc>
      </w:tr>
      <w:tr>
        <w:trPr/>
        <w:tc>
          <w:tcPr>
            <w:tcW w:w="33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(historical)</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7" w:type="dxa"/>
            <w:gridSpan w:val="2"/>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r>
      <w:tr>
        <w:trPr/>
        <w:tc>
          <w:tcPr>
            <w:tcW w:w="3381" w:type="dxa"/>
            <w:tcBorders/>
            <w:shd w:fill="CCEEFF" w:val="clear"/>
            <w:vAlign w:val="center"/>
          </w:tcPr>
          <w:p>
            <w:pPr>
              <w:pStyle w:val="TableContents"/>
              <w:bidi w:val="0"/>
              <w:spacing w:before="0" w:after="0"/>
              <w:jc w:val="left"/>
              <w:rPr>
                <w:rFonts w:ascii="Times New Roman" w:hAnsi="Times New Roman"/>
                <w:b/>
                <w:sz w:val="18"/>
              </w:rPr>
            </w:pPr>
            <w:r>
              <w:rPr>
                <w:rFonts w:ascii="Times New Roman" w:hAnsi="Times New Roman"/>
                <w:b/>
                <w:sz w:val="18"/>
              </w:rPr>
              <w:t>ASSETS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sz w:val="4"/>
                <w:szCs w:val="4"/>
              </w:rPr>
            </w:pPr>
            <w:r>
              <w:rPr>
                <w:sz w:val="4"/>
                <w:szCs w:val="4"/>
              </w:rPr>
            </w:r>
          </w:p>
        </w:tc>
        <w:tc>
          <w:tcPr>
            <w:tcW w:w="45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947"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3381"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Current assets:</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381"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Cash and cash equivalents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17,983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3,458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331,372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right"/>
              <w:rPr/>
            </w:pPr>
            <w:r>
              <w:rPr/>
              <w:t>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947" w:type="dxa"/>
            <w:tcBorders/>
            <w:shd w:fill="CCEEFF" w:val="clear"/>
            <w:vAlign w:val="center"/>
          </w:tcPr>
          <w:p>
            <w:pPr>
              <w:pStyle w:val="TableContents"/>
              <w:bidi w:val="0"/>
              <w:spacing w:before="0" w:after="283"/>
              <w:jc w:val="right"/>
              <w:rPr/>
            </w:pPr>
            <w:r>
              <w:rPr/>
              <w:t>338,632</w:t>
            </w:r>
          </w:p>
        </w:tc>
        <w:tc>
          <w:tcPr>
            <w:tcW w:w="172" w:type="dxa"/>
            <w:tcBorders/>
            <w:shd w:fill="CCEEFF" w:val="clear"/>
            <w:vAlign w:val="center"/>
          </w:tcPr>
          <w:p>
            <w:pPr>
              <w:pStyle w:val="TableContents"/>
              <w:bidi w:val="0"/>
              <w:spacing w:before="0" w:after="283"/>
              <w:jc w:val="left"/>
              <w:rPr/>
            </w:pPr>
            <w:r>
              <w:rPr/>
              <w:t> </w:t>
            </w:r>
          </w:p>
        </w:tc>
      </w:tr>
      <w:tr>
        <w:trPr/>
        <w:tc>
          <w:tcPr>
            <w:tcW w:w="3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(1,668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454" w:type="dxa"/>
            <w:tcBorders/>
            <w:vAlign w:val="center"/>
          </w:tcPr>
          <w:p>
            <w:pPr>
              <w:pStyle w:val="TableContents"/>
              <w:bidi w:val="0"/>
              <w:spacing w:before="0" w:after="283"/>
              <w:jc w:val="right"/>
              <w:rPr/>
            </w:pPr>
            <w:r>
              <w:rPr/>
              <w:t>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38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(12,513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right"/>
              <w:rPr/>
            </w:pPr>
            <w:r>
              <w:rPr/>
              <w:t>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947"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3381"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Marketable securities</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16,462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16,462</w:t>
            </w:r>
          </w:p>
        </w:tc>
        <w:tc>
          <w:tcPr>
            <w:tcW w:w="172" w:type="dxa"/>
            <w:tcBorders/>
            <w:vAlign w:val="center"/>
          </w:tcPr>
          <w:p>
            <w:pPr>
              <w:pStyle w:val="TableContents"/>
              <w:bidi w:val="0"/>
              <w:spacing w:before="0" w:after="283"/>
              <w:jc w:val="left"/>
              <w:rPr/>
            </w:pPr>
            <w:r>
              <w:rPr/>
              <w:t> </w:t>
            </w:r>
          </w:p>
        </w:tc>
      </w:tr>
      <w:tr>
        <w:trPr/>
        <w:tc>
          <w:tcPr>
            <w:tcW w:w="3381"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11,914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465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(6,827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right"/>
              <w:rPr/>
            </w:pPr>
            <w:r>
              <w:rPr/>
              <w:t>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pPr>
            <w:r>
              <w:rPr/>
              <w:t>5,552</w:t>
            </w:r>
          </w:p>
        </w:tc>
        <w:tc>
          <w:tcPr>
            <w:tcW w:w="172" w:type="dxa"/>
            <w:tcBorders/>
            <w:shd w:fill="CCEEFF" w:val="clear"/>
            <w:vAlign w:val="center"/>
          </w:tcPr>
          <w:p>
            <w:pPr>
              <w:pStyle w:val="TableContents"/>
              <w:bidi w:val="0"/>
              <w:spacing w:before="0" w:after="283"/>
              <w:jc w:val="left"/>
              <w:rPr/>
            </w:pPr>
            <w:r>
              <w:rPr/>
              <w:t> </w:t>
            </w:r>
          </w:p>
        </w:tc>
      </w:tr>
      <w:tr>
        <w:trPr/>
        <w:tc>
          <w:tcPr>
            <w:tcW w:w="3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single" w:sz="2" w:space="1" w:color="000000"/>
              </w:pBdr>
              <w:bidi w:val="0"/>
              <w:spacing w:before="0" w:after="0"/>
              <w:jc w:val="left"/>
              <w:rPr/>
            </w:pPr>
            <w:r>
              <w:rPr/>
              <w:t> </w:t>
            </w:r>
          </w:p>
        </w:tc>
        <w:tc>
          <w:tcPr>
            <w:tcW w:w="113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single" w:sz="2" w:space="1" w:color="000000"/>
              </w:pBdr>
              <w:bidi w:val="0"/>
              <w:spacing w:before="0" w:after="0"/>
              <w:jc w:val="left"/>
              <w:rPr/>
            </w:pPr>
            <w:r>
              <w:rPr/>
              <w:t> </w:t>
            </w:r>
          </w:p>
        </w:tc>
        <w:tc>
          <w:tcPr>
            <w:tcW w:w="947" w:type="dxa"/>
            <w:tcBorders/>
            <w:vAlign w:val="center"/>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r>
        <w:trPr/>
        <w:tc>
          <w:tcPr>
            <w:tcW w:w="3381"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Total current assets</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46,359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3,923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310,364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360,646</w:t>
            </w:r>
          </w:p>
        </w:tc>
        <w:tc>
          <w:tcPr>
            <w:tcW w:w="172" w:type="dxa"/>
            <w:tcBorders/>
            <w:vAlign w:val="center"/>
          </w:tcPr>
          <w:p>
            <w:pPr>
              <w:pStyle w:val="TableContents"/>
              <w:bidi w:val="0"/>
              <w:spacing w:before="0" w:after="283"/>
              <w:jc w:val="left"/>
              <w:rPr/>
            </w:pPr>
            <w:r>
              <w:rPr/>
              <w:t> </w:t>
            </w:r>
          </w:p>
        </w:tc>
      </w:tr>
      <w:tr>
        <w:trPr/>
        <w:tc>
          <w:tcPr>
            <w:tcW w:w="3381"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Property and equipment, net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1,201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sz w:val="4"/>
                <w:szCs w:val="4"/>
              </w:rPr>
            </w:pPr>
            <w:r>
              <w:rPr>
                <w:sz w:val="4"/>
                <w:szCs w:val="4"/>
              </w:rPr>
            </w:r>
          </w:p>
        </w:tc>
        <w:tc>
          <w:tcPr>
            <w:tcW w:w="45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pPr>
            <w:r>
              <w:rPr/>
              <w:t>1,201</w:t>
            </w:r>
          </w:p>
        </w:tc>
        <w:tc>
          <w:tcPr>
            <w:tcW w:w="172" w:type="dxa"/>
            <w:tcBorders/>
            <w:shd w:fill="CCEEFF" w:val="clear"/>
            <w:vAlign w:val="center"/>
          </w:tcPr>
          <w:p>
            <w:pPr>
              <w:pStyle w:val="TableContents"/>
              <w:bidi w:val="0"/>
              <w:spacing w:before="0" w:after="283"/>
              <w:jc w:val="left"/>
              <w:rPr/>
            </w:pPr>
            <w:r>
              <w:rPr/>
              <w:t> </w:t>
            </w:r>
          </w:p>
        </w:tc>
      </w:tr>
      <w:tr>
        <w:trPr/>
        <w:tc>
          <w:tcPr>
            <w:tcW w:w="3381"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Right-of-use assets</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2,878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2,878</w:t>
            </w:r>
          </w:p>
        </w:tc>
        <w:tc>
          <w:tcPr>
            <w:tcW w:w="172" w:type="dxa"/>
            <w:tcBorders/>
            <w:vAlign w:val="center"/>
          </w:tcPr>
          <w:p>
            <w:pPr>
              <w:pStyle w:val="TableContents"/>
              <w:bidi w:val="0"/>
              <w:spacing w:before="0" w:after="283"/>
              <w:jc w:val="left"/>
              <w:rPr/>
            </w:pPr>
            <w:r>
              <w:rPr/>
              <w:t> </w:t>
            </w:r>
          </w:p>
        </w:tc>
      </w:tr>
      <w:tr>
        <w:trPr/>
        <w:tc>
          <w:tcPr>
            <w:tcW w:w="3381"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Restricted cash and other assets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sz w:val="4"/>
                <w:szCs w:val="4"/>
              </w:rPr>
            </w:pPr>
            <w:r>
              <w:rPr>
                <w:sz w:val="4"/>
                <w:szCs w:val="4"/>
              </w:rPr>
            </w:r>
          </w:p>
        </w:tc>
        <w:tc>
          <w:tcPr>
            <w:tcW w:w="45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pPr>
            <w:r>
              <w:rPr/>
              <w:t>1,105</w:t>
            </w:r>
          </w:p>
        </w:tc>
        <w:tc>
          <w:tcPr>
            <w:tcW w:w="172" w:type="dxa"/>
            <w:tcBorders/>
            <w:shd w:fill="CCEEFF" w:val="clear"/>
            <w:vAlign w:val="center"/>
          </w:tcPr>
          <w:p>
            <w:pPr>
              <w:pStyle w:val="TableContents"/>
              <w:bidi w:val="0"/>
              <w:spacing w:before="0" w:after="283"/>
              <w:jc w:val="left"/>
              <w:rPr/>
            </w:pPr>
            <w:r>
              <w:rPr/>
              <w:t> </w:t>
            </w:r>
          </w:p>
        </w:tc>
      </w:tr>
      <w:tr>
        <w:trPr/>
        <w:tc>
          <w:tcPr>
            <w:tcW w:w="3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single" w:sz="2" w:space="1" w:color="000000"/>
              </w:pBdr>
              <w:bidi w:val="0"/>
              <w:spacing w:before="0" w:after="0"/>
              <w:jc w:val="left"/>
              <w:rPr/>
            </w:pPr>
            <w:r>
              <w:rPr/>
              <w:t> </w:t>
            </w:r>
          </w:p>
        </w:tc>
        <w:tc>
          <w:tcPr>
            <w:tcW w:w="113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single" w:sz="2" w:space="1" w:color="000000"/>
              </w:pBdr>
              <w:bidi w:val="0"/>
              <w:spacing w:before="0" w:after="0"/>
              <w:jc w:val="left"/>
              <w:rPr/>
            </w:pPr>
            <w:r>
              <w:rPr/>
              <w:t> </w:t>
            </w:r>
          </w:p>
        </w:tc>
        <w:tc>
          <w:tcPr>
            <w:tcW w:w="947" w:type="dxa"/>
            <w:tcBorders/>
            <w:vAlign w:val="center"/>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r>
        <w:trPr/>
        <w:tc>
          <w:tcPr>
            <w:tcW w:w="3381"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Total assets</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51,442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4,024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310,364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w:t>
            </w:r>
          </w:p>
        </w:tc>
        <w:tc>
          <w:tcPr>
            <w:tcW w:w="947" w:type="dxa"/>
            <w:tcBorders/>
            <w:vAlign w:val="center"/>
          </w:tcPr>
          <w:p>
            <w:pPr>
              <w:pStyle w:val="TableContents"/>
              <w:bidi w:val="0"/>
              <w:spacing w:before="0" w:after="283"/>
              <w:jc w:val="right"/>
              <w:rPr/>
            </w:pPr>
            <w:r>
              <w:rPr/>
              <w:t>365,830</w:t>
            </w:r>
          </w:p>
        </w:tc>
        <w:tc>
          <w:tcPr>
            <w:tcW w:w="172" w:type="dxa"/>
            <w:tcBorders/>
            <w:vAlign w:val="center"/>
          </w:tcPr>
          <w:p>
            <w:pPr>
              <w:pStyle w:val="TableContents"/>
              <w:bidi w:val="0"/>
              <w:spacing w:before="0" w:after="283"/>
              <w:jc w:val="left"/>
              <w:rPr/>
            </w:pPr>
            <w:r>
              <w:rPr/>
              <w:t> </w:t>
            </w:r>
          </w:p>
        </w:tc>
      </w:tr>
      <w:tr>
        <w:trPr/>
        <w:tc>
          <w:tcPr>
            <w:tcW w:w="3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double" w:sz="6" w:space="1" w:color="000000"/>
              </w:pBdr>
              <w:bidi w:val="0"/>
              <w:spacing w:before="0" w:after="0"/>
              <w:jc w:val="left"/>
              <w:rPr/>
            </w:pPr>
            <w:r>
              <w:rPr/>
              <w:t> </w:t>
            </w:r>
          </w:p>
        </w:tc>
        <w:tc>
          <w:tcPr>
            <w:tcW w:w="113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pBdr>
                <w:top w:val="double" w:sz="6" w:space="1" w:color="000000"/>
              </w:pBdr>
              <w:bidi w:val="0"/>
              <w:spacing w:before="0" w:after="0"/>
              <w:jc w:val="left"/>
              <w:rPr/>
            </w:pPr>
            <w:r>
              <w:rPr/>
              <w:t> </w:t>
            </w:r>
          </w:p>
        </w:tc>
        <w:tc>
          <w:tcPr>
            <w:tcW w:w="454"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double" w:sz="6" w:space="1" w:color="000000"/>
              </w:pBdr>
              <w:bidi w:val="0"/>
              <w:spacing w:before="0" w:after="0"/>
              <w:jc w:val="left"/>
              <w:rPr/>
            </w:pPr>
            <w:r>
              <w:rPr/>
              <w:t> </w:t>
            </w:r>
          </w:p>
        </w:tc>
        <w:tc>
          <w:tcPr>
            <w:tcW w:w="947" w:type="dxa"/>
            <w:tcBorders/>
            <w:vAlign w:val="center"/>
          </w:tcPr>
          <w:p>
            <w:pPr>
              <w:pStyle w:val="TableContents"/>
              <w:pBdr>
                <w:top w:val="double" w:sz="6"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r>
        <w:trPr/>
        <w:tc>
          <w:tcPr>
            <w:tcW w:w="3381" w:type="dxa"/>
            <w:tcBorders/>
            <w:shd w:fill="CCEEFF" w:val="clear"/>
            <w:vAlign w:val="center"/>
          </w:tcPr>
          <w:p>
            <w:pPr>
              <w:pStyle w:val="TableContents"/>
              <w:bidi w:val="0"/>
              <w:spacing w:before="0" w:after="0"/>
              <w:jc w:val="left"/>
              <w:rPr>
                <w:rFonts w:ascii="Times New Roman" w:hAnsi="Times New Roman"/>
                <w:b/>
                <w:sz w:val="18"/>
              </w:rPr>
            </w:pPr>
            <w:r>
              <w:rPr>
                <w:rFonts w:ascii="Times New Roman" w:hAnsi="Times New Roman"/>
                <w:b/>
                <w:sz w:val="18"/>
              </w:rPr>
              <w:t>LIABILITIES, REDEEMABLE CONVERTIBLE PREFERRED STOCK AND STOCKHOLDERS’ EQUITY (DEFICIT)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sz w:val="4"/>
                <w:szCs w:val="4"/>
              </w:rPr>
            </w:pPr>
            <w:r>
              <w:rPr>
                <w:sz w:val="4"/>
                <w:szCs w:val="4"/>
              </w:rPr>
            </w:r>
          </w:p>
        </w:tc>
        <w:tc>
          <w:tcPr>
            <w:tcW w:w="45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947"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3381"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Current liabilities:</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381"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Accounts payable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365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2,149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(1,834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right"/>
              <w:rPr/>
            </w:pPr>
            <w:r>
              <w:rPr/>
              <w: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947" w:type="dxa"/>
            <w:tcBorders/>
            <w:shd w:fill="CCEEFF" w:val="clear"/>
            <w:vAlign w:val="center"/>
          </w:tcPr>
          <w:p>
            <w:pPr>
              <w:pStyle w:val="TableContents"/>
              <w:bidi w:val="0"/>
              <w:spacing w:before="0" w:after="283"/>
              <w:jc w:val="right"/>
              <w:rPr/>
            </w:pPr>
            <w:r>
              <w:rPr/>
              <w:t>680</w:t>
            </w:r>
          </w:p>
        </w:tc>
        <w:tc>
          <w:tcPr>
            <w:tcW w:w="172" w:type="dxa"/>
            <w:tcBorders/>
            <w:shd w:fill="CCEEFF" w:val="clear"/>
            <w:vAlign w:val="center"/>
          </w:tcPr>
          <w:p>
            <w:pPr>
              <w:pStyle w:val="TableContents"/>
              <w:bidi w:val="0"/>
              <w:spacing w:before="0" w:after="283"/>
              <w:jc w:val="left"/>
              <w:rPr/>
            </w:pPr>
            <w:r>
              <w:rPr/>
              <w:t> </w:t>
            </w:r>
          </w:p>
        </w:tc>
      </w:tr>
      <w:tr>
        <w:trPr/>
        <w:tc>
          <w:tcPr>
            <w:tcW w:w="3381"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Accrued expenses and other current liabilities</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17,853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(7,654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454" w:type="dxa"/>
            <w:tcBorders/>
            <w:vAlign w:val="center"/>
          </w:tcPr>
          <w:p>
            <w:pPr>
              <w:pStyle w:val="TableContents"/>
              <w:bidi w:val="0"/>
              <w:spacing w:before="0" w:after="283"/>
              <w:jc w:val="right"/>
              <w:rPr/>
            </w:pPr>
            <w:r>
              <w:rPr/>
              <w:t>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11,226</w:t>
            </w:r>
          </w:p>
        </w:tc>
        <w:tc>
          <w:tcPr>
            <w:tcW w:w="172" w:type="dxa"/>
            <w:tcBorders/>
            <w:vAlign w:val="center"/>
          </w:tcPr>
          <w:p>
            <w:pPr>
              <w:pStyle w:val="TableContents"/>
              <w:bidi w:val="0"/>
              <w:spacing w:before="0" w:after="283"/>
              <w:jc w:val="left"/>
              <w:rPr/>
            </w:pPr>
            <w:r>
              <w:rPr/>
              <w:t> </w:t>
            </w:r>
          </w:p>
        </w:tc>
      </w:tr>
      <w:tr>
        <w:trPr/>
        <w:tc>
          <w:tcPr>
            <w:tcW w:w="3381"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Operating lease liabilities, current portion</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1,974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sz w:val="4"/>
                <w:szCs w:val="4"/>
              </w:rPr>
            </w:pPr>
            <w:r>
              <w:rPr>
                <w:sz w:val="4"/>
                <w:szCs w:val="4"/>
              </w:rPr>
            </w:r>
          </w:p>
        </w:tc>
        <w:tc>
          <w:tcPr>
            <w:tcW w:w="45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pPr>
            <w:r>
              <w:rPr/>
              <w:t>1,974</w:t>
            </w:r>
          </w:p>
        </w:tc>
        <w:tc>
          <w:tcPr>
            <w:tcW w:w="172" w:type="dxa"/>
            <w:tcBorders/>
            <w:shd w:fill="CCEEFF" w:val="clear"/>
            <w:vAlign w:val="center"/>
          </w:tcPr>
          <w:p>
            <w:pPr>
              <w:pStyle w:val="TableContents"/>
              <w:bidi w:val="0"/>
              <w:spacing w:before="0" w:after="283"/>
              <w:jc w:val="left"/>
              <w:rPr/>
            </w:pPr>
            <w:r>
              <w:rPr/>
              <w:t> </w:t>
            </w:r>
          </w:p>
        </w:tc>
      </w:tr>
      <w:tr>
        <w:trPr/>
        <w:tc>
          <w:tcPr>
            <w:tcW w:w="3381"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Financing lease liabilities</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4</w:t>
            </w:r>
          </w:p>
        </w:tc>
        <w:tc>
          <w:tcPr>
            <w:tcW w:w="172" w:type="dxa"/>
            <w:tcBorders/>
            <w:vAlign w:val="center"/>
          </w:tcPr>
          <w:p>
            <w:pPr>
              <w:pStyle w:val="TableContents"/>
              <w:bidi w:val="0"/>
              <w:spacing w:before="0" w:after="283"/>
              <w:jc w:val="left"/>
              <w:rPr/>
            </w:pPr>
            <w:r>
              <w:rPr/>
              <w:t> </w:t>
            </w:r>
          </w:p>
        </w:tc>
      </w:tr>
      <w:tr>
        <w:trPr/>
        <w:tc>
          <w:tcPr>
            <w:tcW w:w="3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single" w:sz="2" w:space="1" w:color="000000"/>
              </w:pBdr>
              <w:bidi w:val="0"/>
              <w:spacing w:before="0" w:after="0"/>
              <w:jc w:val="left"/>
              <w:rPr/>
            </w:pPr>
            <w:r>
              <w:rPr/>
              <w:t> </w:t>
            </w:r>
          </w:p>
        </w:tc>
        <w:tc>
          <w:tcPr>
            <w:tcW w:w="113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single" w:sz="2" w:space="1" w:color="000000"/>
              </w:pBdr>
              <w:bidi w:val="0"/>
              <w:spacing w:before="0" w:after="0"/>
              <w:jc w:val="left"/>
              <w:rPr/>
            </w:pPr>
            <w:r>
              <w:rPr/>
              <w:t> </w:t>
            </w:r>
          </w:p>
        </w:tc>
        <w:tc>
          <w:tcPr>
            <w:tcW w:w="947" w:type="dxa"/>
            <w:tcBorders/>
            <w:vAlign w:val="center"/>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r>
        <w:trPr/>
        <w:tc>
          <w:tcPr>
            <w:tcW w:w="3381"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Total current liabilities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20,196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3,176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(9,488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sz w:val="4"/>
                <w:szCs w:val="4"/>
              </w:rPr>
            </w:pPr>
            <w:r>
              <w:rPr>
                <w:sz w:val="4"/>
                <w:szCs w:val="4"/>
              </w:rPr>
            </w:r>
          </w:p>
        </w:tc>
        <w:tc>
          <w:tcPr>
            <w:tcW w:w="45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pPr>
            <w:r>
              <w:rPr/>
              <w:t>13,884</w:t>
            </w:r>
          </w:p>
        </w:tc>
        <w:tc>
          <w:tcPr>
            <w:tcW w:w="172" w:type="dxa"/>
            <w:tcBorders/>
            <w:shd w:fill="CCEEFF" w:val="clear"/>
            <w:vAlign w:val="center"/>
          </w:tcPr>
          <w:p>
            <w:pPr>
              <w:pStyle w:val="TableContents"/>
              <w:bidi w:val="0"/>
              <w:spacing w:before="0" w:after="283"/>
              <w:jc w:val="left"/>
              <w:rPr/>
            </w:pPr>
            <w:r>
              <w:rPr/>
              <w:t> </w:t>
            </w:r>
          </w:p>
        </w:tc>
      </w:tr>
      <w:tr>
        <w:trPr/>
        <w:tc>
          <w:tcPr>
            <w:tcW w:w="3381"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Operating lease liabilities, net of current portion</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928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928</w:t>
            </w:r>
          </w:p>
        </w:tc>
        <w:tc>
          <w:tcPr>
            <w:tcW w:w="172" w:type="dxa"/>
            <w:tcBorders/>
            <w:vAlign w:val="center"/>
          </w:tcPr>
          <w:p>
            <w:pPr>
              <w:pStyle w:val="TableContents"/>
              <w:bidi w:val="0"/>
              <w:spacing w:before="0" w:after="283"/>
              <w:jc w:val="left"/>
              <w:rPr/>
            </w:pPr>
            <w:r>
              <w:rPr/>
              <w:t> </w:t>
            </w:r>
          </w:p>
        </w:tc>
      </w:tr>
      <w:tr>
        <w:trPr/>
        <w:tc>
          <w:tcPr>
            <w:tcW w:w="3381"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Other non-current liabilities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right"/>
              <w:rPr/>
            </w:pPr>
            <w:r>
              <w:rPr/>
              <w:t>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3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single" w:sz="2" w:space="1" w:color="000000"/>
              </w:pBdr>
              <w:bidi w:val="0"/>
              <w:spacing w:before="0" w:after="0"/>
              <w:jc w:val="left"/>
              <w:rPr/>
            </w:pPr>
            <w:r>
              <w:rPr/>
              <w:t> </w:t>
            </w:r>
          </w:p>
        </w:tc>
        <w:tc>
          <w:tcPr>
            <w:tcW w:w="113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single" w:sz="2" w:space="1" w:color="000000"/>
              </w:pBdr>
              <w:bidi w:val="0"/>
              <w:spacing w:before="0" w:after="0"/>
              <w:jc w:val="left"/>
              <w:rPr/>
            </w:pPr>
            <w:r>
              <w:rPr/>
              <w:t> </w:t>
            </w:r>
          </w:p>
        </w:tc>
        <w:tc>
          <w:tcPr>
            <w:tcW w:w="947" w:type="dxa"/>
            <w:tcBorders/>
            <w:vAlign w:val="center"/>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r>
        <w:trPr/>
        <w:tc>
          <w:tcPr>
            <w:tcW w:w="3381"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Total liabilities</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21,125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3,176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(9,489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14,812</w:t>
            </w:r>
          </w:p>
        </w:tc>
        <w:tc>
          <w:tcPr>
            <w:tcW w:w="172" w:type="dxa"/>
            <w:tcBorders/>
            <w:vAlign w:val="center"/>
          </w:tcPr>
          <w:p>
            <w:pPr>
              <w:pStyle w:val="TableContents"/>
              <w:bidi w:val="0"/>
              <w:spacing w:before="0" w:after="283"/>
              <w:jc w:val="left"/>
              <w:rPr/>
            </w:pPr>
            <w:r>
              <w:rPr/>
              <w:t> </w:t>
            </w:r>
          </w:p>
        </w:tc>
      </w:tr>
      <w:tr>
        <w:trPr/>
        <w:tc>
          <w:tcPr>
            <w:tcW w:w="3381"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Redeemable convertible preferred stock</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330,028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(330,028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right"/>
              <w:rPr/>
            </w:pPr>
            <w:r>
              <w:rPr/>
              <w:t>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3381"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Stockholders’ equity (deficit):</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381"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Common stock</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right"/>
              <w:rPr/>
            </w:pPr>
            <w:r>
              <w:rPr/>
              <w:t>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pPr>
            <w:r>
              <w:rPr/>
              <w:t>62</w:t>
            </w:r>
          </w:p>
        </w:tc>
        <w:tc>
          <w:tcPr>
            <w:tcW w:w="172" w:type="dxa"/>
            <w:tcBorders/>
            <w:shd w:fill="CCEEFF" w:val="clear"/>
            <w:vAlign w:val="center"/>
          </w:tcPr>
          <w:p>
            <w:pPr>
              <w:pStyle w:val="TableContents"/>
              <w:bidi w:val="0"/>
              <w:spacing w:before="0" w:after="283"/>
              <w:jc w:val="left"/>
              <w:rPr/>
            </w:pPr>
            <w:r>
              <w:rPr/>
              <w:t> </w:t>
            </w:r>
          </w:p>
        </w:tc>
      </w:tr>
      <w:tr>
        <w:trPr/>
        <w:tc>
          <w:tcPr>
            <w:tcW w:w="3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454" w:type="dxa"/>
            <w:tcBorders/>
            <w:vAlign w:val="center"/>
          </w:tcPr>
          <w:p>
            <w:pPr>
              <w:pStyle w:val="TableContents"/>
              <w:bidi w:val="0"/>
              <w:spacing w:before="0" w:after="283"/>
              <w:jc w:val="right"/>
              <w:rPr/>
            </w:pPr>
            <w:r>
              <w:rPr/>
              <w:t>H</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38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right"/>
              <w:rPr/>
            </w:pPr>
            <w:r>
              <w:rPr/>
              <w:t>J</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947"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3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454" w:type="dxa"/>
            <w:tcBorders/>
            <w:vAlign w:val="center"/>
          </w:tcPr>
          <w:p>
            <w:pPr>
              <w:pStyle w:val="TableContents"/>
              <w:bidi w:val="0"/>
              <w:spacing w:before="0" w:after="283"/>
              <w:jc w:val="right"/>
              <w:rPr/>
            </w:pPr>
            <w:r>
              <w:rPr/>
              <w:t>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38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right"/>
              <w:rPr/>
            </w:pPr>
            <w:r>
              <w:rPr/>
              <w:t>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947"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3381"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Additional paid-in capital</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41,722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314,013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(313,165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454" w:type="dxa"/>
            <w:tcBorders/>
            <w:vAlign w:val="center"/>
          </w:tcPr>
          <w:p>
            <w:pPr>
              <w:pStyle w:val="TableContents"/>
              <w:bidi w:val="0"/>
              <w:spacing w:before="0" w:after="283"/>
              <w:jc w:val="right"/>
              <w:rPr/>
            </w:pPr>
            <w:r>
              <w:rPr/>
              <w:t>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718,198</w:t>
            </w:r>
          </w:p>
        </w:tc>
        <w:tc>
          <w:tcPr>
            <w:tcW w:w="172" w:type="dxa"/>
            <w:tcBorders/>
            <w:vAlign w:val="center"/>
          </w:tcPr>
          <w:p>
            <w:pPr>
              <w:pStyle w:val="TableContents"/>
              <w:bidi w:val="0"/>
              <w:spacing w:before="0" w:after="283"/>
              <w:jc w:val="left"/>
              <w:rPr/>
            </w:pPr>
            <w:r>
              <w:rPr/>
              <w:t> </w:t>
            </w:r>
          </w:p>
        </w:tc>
      </w:tr>
      <w:tr>
        <w:trPr/>
        <w:tc>
          <w:tcPr>
            <w:tcW w:w="338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329,999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right"/>
              <w:rPr/>
            </w:pPr>
            <w:r>
              <w:rPr/>
              <w:t>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947"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3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454" w:type="dxa"/>
            <w:tcBorders/>
            <w:vAlign w:val="center"/>
          </w:tcPr>
          <w:p>
            <w:pPr>
              <w:pStyle w:val="TableContents"/>
              <w:bidi w:val="0"/>
              <w:spacing w:before="0" w:after="283"/>
              <w:jc w:val="right"/>
              <w:rPr/>
            </w:pPr>
            <w:r>
              <w:rPr/>
              <w:t>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38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right"/>
              <w:rPr/>
            </w:pPr>
            <w:r>
              <w:rPr/>
              <w:t>J</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947"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3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21,113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454" w:type="dxa"/>
            <w:tcBorders/>
            <w:vAlign w:val="center"/>
          </w:tcPr>
          <w:p>
            <w:pPr>
              <w:pStyle w:val="TableContents"/>
              <w:bidi w:val="0"/>
              <w:spacing w:before="0" w:after="283"/>
              <w:jc w:val="right"/>
              <w:rPr/>
            </w:pPr>
            <w:r>
              <w:rPr/>
              <w:t>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38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331,343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right"/>
              <w:rPr/>
            </w:pPr>
            <w:r>
              <w:rPr/>
              <w:t>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947"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3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(6,827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454" w:type="dxa"/>
            <w:tcBorders/>
            <w:vAlign w:val="center"/>
          </w:tcPr>
          <w:p>
            <w:pPr>
              <w:pStyle w:val="TableContents"/>
              <w:bidi w:val="0"/>
              <w:spacing w:before="0" w:after="283"/>
              <w:jc w:val="right"/>
              <w:rPr/>
            </w:pPr>
            <w:r>
              <w:rPr/>
              <w:t>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381" w:type="dxa"/>
            <w:tcBorders/>
            <w:shd w:fill="CCEEFF" w:val="clear"/>
            <w:vAlign w:val="center"/>
          </w:tcPr>
          <w:p>
            <w:pPr>
              <w:pStyle w:val="TableContents"/>
              <w:bidi w:val="0"/>
              <w:spacing w:before="0" w:after="0"/>
              <w:jc w:val="left"/>
              <w:rPr>
                <w:rFonts w:ascii="Times New Roman" w:hAnsi="Times New Roman"/>
                <w:b/>
                <w:sz w:val="18"/>
              </w:rPr>
            </w:pPr>
            <w:r>
              <w:rPr>
                <w:rFonts w:ascii="Times New Roman" w:hAnsi="Times New Roman"/>
                <w:b/>
                <w:sz w:val="18"/>
              </w:rPr>
              <w:t>Accumulated other comprehensive income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sz w:val="4"/>
                <w:szCs w:val="4"/>
              </w:rPr>
            </w:pPr>
            <w:r>
              <w:rPr>
                <w:sz w:val="4"/>
                <w:szCs w:val="4"/>
              </w:rPr>
            </w:r>
          </w:p>
        </w:tc>
        <w:tc>
          <w:tcPr>
            <w:tcW w:w="45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pPr>
            <w:r>
              <w:rPr/>
              <w:t>(3</w:t>
            </w:r>
          </w:p>
        </w:tc>
        <w:tc>
          <w:tcPr>
            <w:tcW w:w="172" w:type="dxa"/>
            <w:tcBorders/>
            <w:shd w:fill="CCEEFF" w:val="clear"/>
            <w:vAlign w:val="center"/>
          </w:tcPr>
          <w:p>
            <w:pPr>
              <w:pStyle w:val="TableContents"/>
              <w:bidi w:val="0"/>
              <w:spacing w:before="0" w:after="283"/>
              <w:jc w:val="left"/>
              <w:rPr/>
            </w:pPr>
            <w:r>
              <w:rPr/>
              <w:t>) </w:t>
            </w:r>
          </w:p>
        </w:tc>
      </w:tr>
      <w:tr>
        <w:trPr/>
        <w:tc>
          <w:tcPr>
            <w:tcW w:w="3381"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Accumulated deficit</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(341,432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(313,166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313,166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454" w:type="dxa"/>
            <w:tcBorders/>
            <w:vAlign w:val="center"/>
          </w:tcPr>
          <w:p>
            <w:pPr>
              <w:pStyle w:val="TableContents"/>
              <w:bidi w:val="0"/>
              <w:spacing w:before="0" w:after="283"/>
              <w:jc w:val="right"/>
              <w:rPr/>
            </w:pPr>
            <w:r>
              <w:rPr/>
              <w:t>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(367,239</w:t>
            </w:r>
          </w:p>
        </w:tc>
        <w:tc>
          <w:tcPr>
            <w:tcW w:w="172" w:type="dxa"/>
            <w:tcBorders/>
            <w:vAlign w:val="center"/>
          </w:tcPr>
          <w:p>
            <w:pPr>
              <w:pStyle w:val="TableContents"/>
              <w:bidi w:val="0"/>
              <w:spacing w:before="0" w:after="283"/>
              <w:jc w:val="left"/>
              <w:rPr/>
            </w:pPr>
            <w:r>
              <w:rPr/>
              <w:t>) </w:t>
            </w:r>
          </w:p>
        </w:tc>
      </w:tr>
      <w:tr>
        <w:trPr/>
        <w:tc>
          <w:tcPr>
            <w:tcW w:w="338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(1,668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right"/>
              <w:rPr/>
            </w:pPr>
            <w:r>
              <w:rPr/>
              <w:t>B</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947"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3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454" w:type="dxa"/>
            <w:tcBorders/>
            <w:vAlign w:val="center"/>
          </w:tcPr>
          <w:p>
            <w:pPr>
              <w:pStyle w:val="TableContents"/>
              <w:bidi w:val="0"/>
              <w:spacing w:before="0" w:after="283"/>
              <w:jc w:val="right"/>
              <w:rPr/>
            </w:pPr>
            <w:r>
              <w:rPr/>
              <w:t>C</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38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(21,114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right"/>
              <w:rPr/>
            </w:pPr>
            <w:r>
              <w:rPr/>
              <w:t>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947"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3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single" w:sz="2" w:space="1" w:color="000000"/>
              </w:pBdr>
              <w:bidi w:val="0"/>
              <w:spacing w:before="0" w:after="0"/>
              <w:jc w:val="left"/>
              <w:rPr/>
            </w:pPr>
            <w:r>
              <w:rPr/>
              <w:t> </w:t>
            </w:r>
          </w:p>
        </w:tc>
        <w:tc>
          <w:tcPr>
            <w:tcW w:w="113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single" w:sz="2" w:space="1" w:color="000000"/>
              </w:pBdr>
              <w:bidi w:val="0"/>
              <w:spacing w:before="0" w:after="0"/>
              <w:jc w:val="left"/>
              <w:rPr/>
            </w:pPr>
            <w:r>
              <w:rPr/>
              <w:t> </w:t>
            </w:r>
          </w:p>
        </w:tc>
        <w:tc>
          <w:tcPr>
            <w:tcW w:w="947" w:type="dxa"/>
            <w:tcBorders/>
            <w:vAlign w:val="center"/>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r>
        <w:trPr/>
        <w:tc>
          <w:tcPr>
            <w:tcW w:w="3381"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Total stockholders’ equity (deficit)</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(299,711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649,881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351,018</w:t>
            </w:r>
          </w:p>
        </w:tc>
        <w:tc>
          <w:tcPr>
            <w:tcW w:w="172" w:type="dxa"/>
            <w:tcBorders/>
            <w:vAlign w:val="center"/>
          </w:tcPr>
          <w:p>
            <w:pPr>
              <w:pStyle w:val="TableContents"/>
              <w:bidi w:val="0"/>
              <w:spacing w:before="0" w:after="283"/>
              <w:jc w:val="left"/>
              <w:rPr/>
            </w:pPr>
            <w:r>
              <w:rPr/>
              <w:t> </w:t>
            </w:r>
          </w:p>
        </w:tc>
      </w:tr>
      <w:tr>
        <w:trPr/>
        <w:tc>
          <w:tcPr>
            <w:tcW w:w="3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single" w:sz="2" w:space="1" w:color="000000"/>
              </w:pBdr>
              <w:bidi w:val="0"/>
              <w:spacing w:before="0" w:after="0"/>
              <w:jc w:val="left"/>
              <w:rPr/>
            </w:pPr>
            <w:r>
              <w:rPr/>
              <w:t> </w:t>
            </w:r>
          </w:p>
        </w:tc>
        <w:tc>
          <w:tcPr>
            <w:tcW w:w="113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single" w:sz="2" w:space="1" w:color="000000"/>
              </w:pBdr>
              <w:bidi w:val="0"/>
              <w:spacing w:before="0" w:after="0"/>
              <w:jc w:val="left"/>
              <w:rPr/>
            </w:pPr>
            <w:r>
              <w:rPr/>
              <w:t> </w:t>
            </w:r>
          </w:p>
        </w:tc>
        <w:tc>
          <w:tcPr>
            <w:tcW w:w="947" w:type="dxa"/>
            <w:tcBorders/>
            <w:vAlign w:val="center"/>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r>
        <w:trPr/>
        <w:tc>
          <w:tcPr>
            <w:tcW w:w="3381"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Total liabilities, redeemable convertible preferred stock and stockholders’ equity (deficit)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51,442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4,024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310,364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sz w:val="4"/>
                <w:szCs w:val="4"/>
              </w:rPr>
            </w:pPr>
            <w:r>
              <w:rPr>
                <w:sz w:val="4"/>
                <w:szCs w:val="4"/>
              </w:rPr>
            </w:r>
          </w:p>
        </w:tc>
        <w:tc>
          <w:tcPr>
            <w:tcW w:w="45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947" w:type="dxa"/>
            <w:tcBorders/>
            <w:shd w:fill="CCEEFF" w:val="clear"/>
            <w:vAlign w:val="center"/>
          </w:tcPr>
          <w:p>
            <w:pPr>
              <w:pStyle w:val="TableContents"/>
              <w:bidi w:val="0"/>
              <w:spacing w:before="0" w:after="283"/>
              <w:jc w:val="right"/>
              <w:rPr/>
            </w:pPr>
            <w:r>
              <w:rPr/>
              <w:t>365,830</w:t>
            </w:r>
          </w:p>
        </w:tc>
        <w:tc>
          <w:tcPr>
            <w:tcW w:w="172" w:type="dxa"/>
            <w:tcBorders/>
            <w:shd w:fill="CCEEFF" w:val="clear"/>
            <w:vAlign w:val="center"/>
          </w:tcPr>
          <w:p>
            <w:pPr>
              <w:pStyle w:val="TableContents"/>
              <w:bidi w:val="0"/>
              <w:spacing w:before="0" w:after="283"/>
              <w:jc w:val="left"/>
              <w:rPr/>
            </w:pPr>
            <w:r>
              <w:rPr/>
              <w:t> </w:t>
            </w:r>
          </w:p>
        </w:tc>
      </w:tr>
      <w:tr>
        <w:trPr/>
        <w:tc>
          <w:tcPr>
            <w:tcW w:w="3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double" w:sz="6" w:space="1" w:color="000000"/>
              </w:pBdr>
              <w:bidi w:val="0"/>
              <w:spacing w:before="0" w:after="0"/>
              <w:jc w:val="left"/>
              <w:rPr/>
            </w:pPr>
            <w:r>
              <w:rPr/>
              <w:t> </w:t>
            </w:r>
          </w:p>
        </w:tc>
        <w:tc>
          <w:tcPr>
            <w:tcW w:w="113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double" w:sz="6" w:space="1" w:color="000000"/>
              </w:pBdr>
              <w:bidi w:val="0"/>
              <w:spacing w:before="0" w:after="0"/>
              <w:jc w:val="left"/>
              <w:rPr/>
            </w:pPr>
            <w:r>
              <w:rPr/>
              <w:t> </w:t>
            </w:r>
          </w:p>
        </w:tc>
        <w:tc>
          <w:tcPr>
            <w:tcW w:w="947" w:type="dxa"/>
            <w:tcBorders/>
            <w:vAlign w:val="center"/>
          </w:tcPr>
          <w:p>
            <w:pPr>
              <w:pStyle w:val="TableContents"/>
              <w:pBdr>
                <w:top w:val="double" w:sz="6"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STATEMENTS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Six Months ended June 30, 2026 </w:t>
      </w:r>
    </w:p>
    <w:p>
      <w:pPr>
        <w:pStyle w:val="TextBody"/>
        <w:bidi w:val="0"/>
        <w:spacing w:before="120" w:after="0"/>
        <w:jc w:val="center"/>
        <w:rPr>
          <w:rFonts w:ascii="Times New Roman" w:hAnsi="Times New Roman"/>
          <w:b/>
          <w:i/>
          <w:sz w:val="20"/>
        </w:rPr>
      </w:pPr>
      <w:r>
        <w:rPr>
          <w:rFonts w:ascii="Times New Roman" w:hAnsi="Times New Roman"/>
          <w:b/>
          <w:i/>
          <w:sz w:val="20"/>
        </w:rPr>
        <w:t xml:space="preserve">(in thousands, except per share data)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70"/>
        <w:gridCol w:w="120"/>
        <w:gridCol w:w="210"/>
        <w:gridCol w:w="1655"/>
        <w:gridCol w:w="155"/>
        <w:gridCol w:w="60"/>
        <w:gridCol w:w="210"/>
        <w:gridCol w:w="1205"/>
        <w:gridCol w:w="155"/>
        <w:gridCol w:w="60"/>
        <w:gridCol w:w="147"/>
        <w:gridCol w:w="1163"/>
        <w:gridCol w:w="155"/>
        <w:gridCol w:w="60"/>
        <w:gridCol w:w="80"/>
        <w:gridCol w:w="510"/>
        <w:gridCol w:w="60"/>
        <w:gridCol w:w="120"/>
        <w:gridCol w:w="140"/>
        <w:gridCol w:w="1100"/>
        <w:gridCol w:w="170"/>
      </w:tblGrid>
      <w:tr>
        <w:trPr/>
        <w:tc>
          <w:tcPr>
            <w:tcW w:w="2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Obsidian</w:t>
              <w:br/>
              <w:t>Therapeutics, Inc.</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Galera</w:t>
              <w:br/>
              <w:t>Therapeutics,</w:t>
              <w:br/>
              <w:t>Inc.</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Transaction</w:t>
              <w:br/>
              <w:t>Adjustments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w:t>
              <w:br/>
              <w:t>Combined</w:t>
            </w:r>
          </w:p>
        </w:tc>
        <w:tc>
          <w:tcPr>
            <w:tcW w:w="170" w:type="dxa"/>
            <w:tcBorders/>
            <w:vAlign w:val="center"/>
          </w:tcPr>
          <w:p>
            <w:pPr>
              <w:pStyle w:val="TableContents"/>
              <w:bidi w:val="0"/>
              <w:spacing w:before="0" w:after="283"/>
              <w:jc w:val="left"/>
              <w:rPr/>
            </w:pPr>
            <w:r>
              <w:rPr/>
              <w:t> </w:t>
            </w:r>
          </w:p>
        </w:tc>
      </w:tr>
      <w:tr>
        <w:trPr/>
        <w:tc>
          <w:tcPr>
            <w:tcW w:w="2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16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120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116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sz w:val="4"/>
                <w:szCs w:val="4"/>
              </w:rPr>
            </w:pPr>
            <w:r>
              <w:rPr>
                <w:sz w:val="4"/>
                <w:szCs w:val="4"/>
              </w:rPr>
            </w:r>
          </w:p>
        </w:tc>
        <w:tc>
          <w:tcPr>
            <w:tcW w:w="5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w:t>
            </w:r>
          </w:p>
        </w:tc>
        <w:tc>
          <w:tcPr>
            <w:tcW w:w="1655" w:type="dxa"/>
            <w:tcBorders/>
            <w:vAlign w:val="center"/>
          </w:tcPr>
          <w:p>
            <w:pPr>
              <w:pStyle w:val="TableContents"/>
              <w:bidi w:val="0"/>
              <w:spacing w:before="0" w:after="283"/>
              <w:jc w:val="right"/>
              <w:rPr/>
            </w:pPr>
            <w:r>
              <w:rPr/>
              <w:t>37,281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283"/>
              <w:jc w:val="right"/>
              <w:rPr/>
            </w:pPr>
            <w:r>
              <w:rPr/>
              <w:t>40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116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37,321</w:t>
            </w:r>
          </w:p>
        </w:tc>
        <w:tc>
          <w:tcPr>
            <w:tcW w:w="170" w:type="dxa"/>
            <w:tcBorders/>
            <w:vAlign w:val="center"/>
          </w:tcPr>
          <w:p>
            <w:pPr>
              <w:pStyle w:val="TableContents"/>
              <w:bidi w:val="0"/>
              <w:spacing w:before="0" w:after="283"/>
              <w:jc w:val="left"/>
              <w:rPr/>
            </w:pPr>
            <w:r>
              <w:rPr/>
              <w:t> </w:t>
            </w:r>
          </w:p>
        </w:tc>
      </w:tr>
      <w:tr>
        <w:trPr/>
        <w:tc>
          <w:tcPr>
            <w:tcW w:w="2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right"/>
              <w:rPr/>
            </w:pPr>
            <w:r>
              <w:rPr/>
              <w:t>9,139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5,900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t>AA</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15,039</w:t>
            </w:r>
          </w:p>
        </w:tc>
        <w:tc>
          <w:tcPr>
            <w:tcW w:w="170" w:type="dxa"/>
            <w:tcBorders/>
            <w:shd w:fill="CCEEFF" w:val="clear"/>
            <w:vAlign w:val="center"/>
          </w:tcPr>
          <w:p>
            <w:pPr>
              <w:pStyle w:val="TableContents"/>
              <w:bidi w:val="0"/>
              <w:spacing w:before="0" w:after="283"/>
              <w:jc w:val="left"/>
              <w:rPr/>
            </w:pPr>
            <w:r>
              <w:rPr/>
              <w:t> </w:t>
            </w:r>
          </w:p>
        </w:tc>
      </w:tr>
      <w:tr>
        <w:trPr/>
        <w:tc>
          <w:tcPr>
            <w:tcW w:w="2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pBdr>
                <w:top w:val="single" w:sz="2" w:space="1" w:color="000000"/>
              </w:pBdr>
              <w:bidi w:val="0"/>
              <w:spacing w:before="0" w:after="0"/>
              <w:jc w:val="left"/>
              <w:rPr/>
            </w:pPr>
            <w:r>
              <w:rPr/>
              <w:t> </w:t>
            </w:r>
          </w:p>
        </w:tc>
        <w:tc>
          <w:tcPr>
            <w:tcW w:w="16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pBdr>
                <w:top w:val="single" w:sz="2" w:space="1" w:color="000000"/>
              </w:pBdr>
              <w:bidi w:val="0"/>
              <w:spacing w:before="0" w:after="0"/>
              <w:jc w:val="left"/>
              <w:rPr/>
            </w:pPr>
            <w:r>
              <w:rPr/>
              <w:t> </w:t>
            </w:r>
          </w:p>
        </w:tc>
        <w:tc>
          <w:tcPr>
            <w:tcW w:w="120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1163"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right"/>
              <w:rPr/>
            </w:pPr>
            <w:r>
              <w:rPr/>
              <w:t>46,420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5,940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52,360</w:t>
            </w:r>
          </w:p>
        </w:tc>
        <w:tc>
          <w:tcPr>
            <w:tcW w:w="170" w:type="dxa"/>
            <w:tcBorders/>
            <w:vAlign w:val="center"/>
          </w:tcPr>
          <w:p>
            <w:pPr>
              <w:pStyle w:val="TableContents"/>
              <w:bidi w:val="0"/>
              <w:spacing w:before="0" w:after="283"/>
              <w:jc w:val="left"/>
              <w:rPr/>
            </w:pPr>
            <w:r>
              <w:rPr/>
              <w:t> </w:t>
            </w:r>
          </w:p>
        </w:tc>
      </w:tr>
      <w:tr>
        <w:trPr/>
        <w:tc>
          <w:tcPr>
            <w:tcW w:w="2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pBdr>
                <w:top w:val="single" w:sz="2" w:space="1" w:color="000000"/>
              </w:pBdr>
              <w:bidi w:val="0"/>
              <w:spacing w:before="0" w:after="0"/>
              <w:jc w:val="left"/>
              <w:rPr/>
            </w:pPr>
            <w:r>
              <w:rPr/>
              <w:t> </w:t>
            </w:r>
          </w:p>
        </w:tc>
        <w:tc>
          <w:tcPr>
            <w:tcW w:w="16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pBdr>
                <w:top w:val="single" w:sz="2" w:space="1" w:color="000000"/>
              </w:pBdr>
              <w:bidi w:val="0"/>
              <w:spacing w:before="0" w:after="0"/>
              <w:jc w:val="left"/>
              <w:rPr/>
            </w:pPr>
            <w:r>
              <w:rPr/>
              <w:t> </w:t>
            </w:r>
          </w:p>
        </w:tc>
        <w:tc>
          <w:tcPr>
            <w:tcW w:w="120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1163"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right"/>
              <w:rPr/>
            </w:pPr>
            <w:r>
              <w:rPr/>
              <w:t>(46,420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(5,940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sz w:val="4"/>
                <w:szCs w:val="4"/>
              </w:rPr>
            </w:pPr>
            <w:r>
              <w:rPr>
                <w:sz w:val="4"/>
                <w:szCs w:val="4"/>
              </w:rPr>
            </w:r>
          </w:p>
        </w:tc>
        <w:tc>
          <w:tcPr>
            <w:tcW w:w="5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(52,360</w:t>
            </w:r>
          </w:p>
        </w:tc>
        <w:tc>
          <w:tcPr>
            <w:tcW w:w="170" w:type="dxa"/>
            <w:tcBorders/>
            <w:shd w:fill="CCEEFF" w:val="clear"/>
            <w:vAlign w:val="center"/>
          </w:tcPr>
          <w:p>
            <w:pPr>
              <w:pStyle w:val="TableContents"/>
              <w:bidi w:val="0"/>
              <w:spacing w:before="0" w:after="283"/>
              <w:jc w:val="left"/>
              <w:rPr/>
            </w:pPr>
            <w:r>
              <w:rPr/>
              <w:t>) </w:t>
            </w:r>
          </w:p>
        </w:tc>
      </w:tr>
      <w:tr>
        <w:trPr/>
        <w:tc>
          <w:tcPr>
            <w:tcW w:w="2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and other income</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right"/>
              <w:rPr/>
            </w:pPr>
            <w:r>
              <w:rPr/>
              <w:t>923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88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1,011</w:t>
            </w:r>
          </w:p>
        </w:tc>
        <w:tc>
          <w:tcPr>
            <w:tcW w:w="170" w:type="dxa"/>
            <w:tcBorders/>
            <w:vAlign w:val="center"/>
          </w:tcPr>
          <w:p>
            <w:pPr>
              <w:pStyle w:val="TableContents"/>
              <w:bidi w:val="0"/>
              <w:spacing w:before="0" w:after="283"/>
              <w:jc w:val="left"/>
              <w:rPr/>
            </w:pPr>
            <w:r>
              <w:rPr/>
              <w:t> </w:t>
            </w:r>
          </w:p>
        </w:tc>
      </w:tr>
      <w:tr>
        <w:trPr/>
        <w:tc>
          <w:tcPr>
            <w:tcW w:w="2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pBdr>
                <w:top w:val="single" w:sz="2" w:space="1" w:color="000000"/>
              </w:pBdr>
              <w:bidi w:val="0"/>
              <w:spacing w:before="0" w:after="0"/>
              <w:jc w:val="left"/>
              <w:rPr/>
            </w:pPr>
            <w:r>
              <w:rPr/>
              <w:t> </w:t>
            </w:r>
          </w:p>
        </w:tc>
        <w:tc>
          <w:tcPr>
            <w:tcW w:w="16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pBdr>
                <w:top w:val="single" w:sz="2" w:space="1" w:color="000000"/>
              </w:pBdr>
              <w:bidi w:val="0"/>
              <w:spacing w:before="0" w:after="0"/>
              <w:jc w:val="left"/>
              <w:rPr/>
            </w:pPr>
            <w:r>
              <w:rPr/>
              <w:t> </w:t>
            </w:r>
          </w:p>
        </w:tc>
        <w:tc>
          <w:tcPr>
            <w:tcW w:w="120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1163"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655" w:type="dxa"/>
            <w:tcBorders/>
            <w:shd w:fill="CCEEFF" w:val="clear"/>
            <w:vAlign w:val="center"/>
          </w:tcPr>
          <w:p>
            <w:pPr>
              <w:pStyle w:val="TableContents"/>
              <w:bidi w:val="0"/>
              <w:spacing w:before="0" w:after="283"/>
              <w:jc w:val="right"/>
              <w:rPr/>
            </w:pPr>
            <w:r>
              <w:rPr/>
              <w:t>(45,497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(5,852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116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sz w:val="4"/>
                <w:szCs w:val="4"/>
              </w:rPr>
            </w:pPr>
            <w:r>
              <w:rPr>
                <w:sz w:val="4"/>
                <w:szCs w:val="4"/>
              </w:rPr>
            </w:r>
          </w:p>
        </w:tc>
        <w:tc>
          <w:tcPr>
            <w:tcW w:w="5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(51,349</w:t>
            </w:r>
          </w:p>
        </w:tc>
        <w:tc>
          <w:tcPr>
            <w:tcW w:w="170" w:type="dxa"/>
            <w:tcBorders/>
            <w:shd w:fill="CCEEFF" w:val="clear"/>
            <w:vAlign w:val="center"/>
          </w:tcPr>
          <w:p>
            <w:pPr>
              <w:pStyle w:val="TableContents"/>
              <w:bidi w:val="0"/>
              <w:spacing w:before="0" w:after="283"/>
              <w:jc w:val="left"/>
              <w:rPr/>
            </w:pPr>
            <w:r>
              <w:rPr/>
              <w:t>) </w:t>
            </w:r>
          </w:p>
        </w:tc>
      </w:tr>
      <w:tr>
        <w:trPr/>
        <w:tc>
          <w:tcPr>
            <w:tcW w:w="2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pBdr>
                <w:top w:val="double" w:sz="6" w:space="1" w:color="000000"/>
              </w:pBdr>
              <w:bidi w:val="0"/>
              <w:spacing w:before="0" w:after="0"/>
              <w:jc w:val="left"/>
              <w:rPr/>
            </w:pPr>
            <w:r>
              <w:rPr/>
              <w:t> </w:t>
            </w:r>
          </w:p>
        </w:tc>
        <w:tc>
          <w:tcPr>
            <w:tcW w:w="16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pBdr>
                <w:top w:val="double" w:sz="6" w:space="1" w:color="000000"/>
              </w:pBdr>
              <w:bidi w:val="0"/>
              <w:spacing w:before="0" w:after="0"/>
              <w:jc w:val="left"/>
              <w:rPr/>
            </w:pPr>
            <w:r>
              <w:rPr/>
              <w:t> </w:t>
            </w:r>
          </w:p>
        </w:tc>
        <w:tc>
          <w:tcPr>
            <w:tcW w:w="120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double" w:sz="6" w:space="1" w:color="000000"/>
              </w:pBdr>
              <w:bidi w:val="0"/>
              <w:spacing w:before="0" w:after="0"/>
              <w:jc w:val="left"/>
              <w:rPr/>
            </w:pPr>
            <w:r>
              <w:rPr/>
              <w:t> </w:t>
            </w:r>
          </w:p>
        </w:tc>
        <w:tc>
          <w:tcPr>
            <w:tcW w:w="1163"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 basic and diluted</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w:t>
            </w:r>
          </w:p>
        </w:tc>
        <w:tc>
          <w:tcPr>
            <w:tcW w:w="1655" w:type="dxa"/>
            <w:tcBorders/>
            <w:vAlign w:val="center"/>
          </w:tcPr>
          <w:p>
            <w:pPr>
              <w:pStyle w:val="TableContents"/>
              <w:bidi w:val="0"/>
              <w:spacing w:before="0" w:after="283"/>
              <w:jc w:val="right"/>
              <w:rPr/>
            </w:pPr>
            <w:r>
              <w:rPr/>
              <w:t>(45,497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(3,910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1163" w:type="dxa"/>
            <w:tcBorders/>
            <w:vAlign w:val="center"/>
          </w:tcPr>
          <w:p>
            <w:pPr>
              <w:pStyle w:val="TableContents"/>
              <w:bidi w:val="0"/>
              <w:spacing w:before="0" w:after="283"/>
              <w:jc w:val="right"/>
              <w:rPr/>
            </w:pPr>
            <w:r>
              <w:rPr/>
              <w:t>(1,942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510" w:type="dxa"/>
            <w:tcBorders/>
            <w:vAlign w:val="center"/>
          </w:tcPr>
          <w:p>
            <w:pPr>
              <w:pStyle w:val="TableContents"/>
              <w:bidi w:val="0"/>
              <w:spacing w:before="0" w:after="283"/>
              <w:jc w:val="right"/>
              <w:rPr/>
            </w:pPr>
            <w:r>
              <w:rPr/>
              <w:t>BB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(51,349</w:t>
            </w:r>
          </w:p>
        </w:tc>
        <w:tc>
          <w:tcPr>
            <w:tcW w:w="170" w:type="dxa"/>
            <w:tcBorders/>
            <w:vAlign w:val="center"/>
          </w:tcPr>
          <w:p>
            <w:pPr>
              <w:pStyle w:val="TableContents"/>
              <w:bidi w:val="0"/>
              <w:spacing w:before="0" w:after="283"/>
              <w:jc w:val="left"/>
              <w:rPr/>
            </w:pPr>
            <w:r>
              <w:rPr/>
              <w:t>) </w:t>
            </w:r>
          </w:p>
        </w:tc>
      </w:tr>
      <w:tr>
        <w:trPr/>
        <w:tc>
          <w:tcPr>
            <w:tcW w:w="2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pBdr>
                <w:top w:val="single" w:sz="2" w:space="1" w:color="000000"/>
              </w:pBdr>
              <w:bidi w:val="0"/>
              <w:spacing w:before="0" w:after="0"/>
              <w:jc w:val="left"/>
              <w:rPr/>
            </w:pPr>
            <w:r>
              <w:rPr/>
              <w:t> </w:t>
            </w:r>
          </w:p>
        </w:tc>
        <w:tc>
          <w:tcPr>
            <w:tcW w:w="16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pBdr>
                <w:top w:val="single" w:sz="2" w:space="1" w:color="000000"/>
              </w:pBdr>
              <w:bidi w:val="0"/>
              <w:spacing w:before="0" w:after="0"/>
              <w:jc w:val="left"/>
              <w:rPr/>
            </w:pPr>
            <w:r>
              <w:rPr/>
              <w:t> </w:t>
            </w:r>
          </w:p>
        </w:tc>
        <w:tc>
          <w:tcPr>
            <w:tcW w:w="120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1163"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per share of common, basic and diluted</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655" w:type="dxa"/>
            <w:tcBorders/>
            <w:shd w:fill="CCEEFF" w:val="clear"/>
            <w:vAlign w:val="center"/>
          </w:tcPr>
          <w:p>
            <w:pPr>
              <w:pStyle w:val="TableContents"/>
              <w:bidi w:val="0"/>
              <w:spacing w:before="0" w:after="283"/>
              <w:jc w:val="right"/>
              <w:rPr/>
            </w:pPr>
            <w:r>
              <w:rPr/>
              <w:t>(2.30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(5.37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116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sz w:val="4"/>
                <w:szCs w:val="4"/>
              </w:rPr>
            </w:pPr>
            <w:r>
              <w:rPr>
                <w:sz w:val="4"/>
                <w:szCs w:val="4"/>
              </w:rPr>
            </w:r>
          </w:p>
        </w:tc>
        <w:tc>
          <w:tcPr>
            <w:tcW w:w="5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(0.84</w:t>
            </w:r>
          </w:p>
        </w:tc>
        <w:tc>
          <w:tcPr>
            <w:tcW w:w="170" w:type="dxa"/>
            <w:tcBorders/>
            <w:shd w:fill="CCEEFF" w:val="clear"/>
            <w:vAlign w:val="center"/>
          </w:tcPr>
          <w:p>
            <w:pPr>
              <w:pStyle w:val="TableContents"/>
              <w:bidi w:val="0"/>
              <w:spacing w:before="0" w:after="283"/>
              <w:jc w:val="left"/>
              <w:rPr/>
            </w:pPr>
            <w:r>
              <w:rPr/>
              <w:t>) </w:t>
            </w:r>
          </w:p>
        </w:tc>
      </w:tr>
      <w:tr>
        <w:trPr/>
        <w:tc>
          <w:tcPr>
            <w:tcW w:w="2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pBdr>
                <w:top w:val="single" w:sz="2" w:space="1" w:color="000000"/>
              </w:pBdr>
              <w:bidi w:val="0"/>
              <w:spacing w:before="0" w:after="0"/>
              <w:jc w:val="left"/>
              <w:rPr/>
            </w:pPr>
            <w:r>
              <w:rPr/>
              <w:t> </w:t>
            </w:r>
          </w:p>
        </w:tc>
        <w:tc>
          <w:tcPr>
            <w:tcW w:w="16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pBdr>
                <w:top w:val="single" w:sz="2" w:space="1" w:color="000000"/>
              </w:pBdr>
              <w:bidi w:val="0"/>
              <w:spacing w:before="0" w:after="0"/>
              <w:jc w:val="left"/>
              <w:rPr/>
            </w:pPr>
            <w:r>
              <w:rPr/>
              <w:t> </w:t>
            </w:r>
          </w:p>
        </w:tc>
        <w:tc>
          <w:tcPr>
            <w:tcW w:w="120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shares of common stock outstanding, basic and diluted</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right"/>
              <w:rPr/>
            </w:pPr>
            <w:r>
              <w:rPr/>
              <w:t>19,751,933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727,681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40,956,303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510" w:type="dxa"/>
            <w:tcBorders/>
            <w:vAlign w:val="center"/>
          </w:tcPr>
          <w:p>
            <w:pPr>
              <w:pStyle w:val="TableContents"/>
              <w:bidi w:val="0"/>
              <w:spacing w:before="0" w:after="283"/>
              <w:jc w:val="right"/>
              <w:rPr/>
            </w:pPr>
            <w:r>
              <w:rPr/>
              <w:t>CC</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61,435,917</w:t>
            </w:r>
          </w:p>
        </w:tc>
        <w:tc>
          <w:tcPr>
            <w:tcW w:w="170" w:type="dxa"/>
            <w:tcBorders/>
            <w:vAlign w:val="center"/>
          </w:tcPr>
          <w:p>
            <w:pPr>
              <w:pStyle w:val="TableContents"/>
              <w:bidi w:val="0"/>
              <w:spacing w:before="0" w:after="283"/>
              <w:jc w:val="left"/>
              <w:rPr/>
            </w:pPr>
            <w:r>
              <w:rPr/>
              <w:t> </w:t>
            </w:r>
          </w:p>
        </w:tc>
      </w:tr>
      <w:tr>
        <w:trPr/>
        <w:tc>
          <w:tcPr>
            <w:tcW w:w="2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pBdr>
                <w:top w:val="single" w:sz="2" w:space="1" w:color="000000"/>
              </w:pBdr>
              <w:bidi w:val="0"/>
              <w:spacing w:before="0" w:after="0"/>
              <w:jc w:val="left"/>
              <w:rPr/>
            </w:pPr>
            <w:r>
              <w:rPr/>
              <w:t> </w:t>
            </w:r>
          </w:p>
        </w:tc>
        <w:tc>
          <w:tcPr>
            <w:tcW w:w="16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pBdr>
                <w:top w:val="single" w:sz="2" w:space="1" w:color="000000"/>
              </w:pBdr>
              <w:bidi w:val="0"/>
              <w:spacing w:before="0" w:after="0"/>
              <w:jc w:val="left"/>
              <w:rPr/>
            </w:pPr>
            <w:r>
              <w:rPr/>
              <w:t> </w:t>
            </w:r>
          </w:p>
        </w:tc>
        <w:tc>
          <w:tcPr>
            <w:tcW w:w="120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1163"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attributable to Series B redeemable convertible preferred stockholders, basic and diluted</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16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(1,942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1163" w:type="dxa"/>
            <w:tcBorders/>
            <w:shd w:fill="CCEEFF" w:val="clear"/>
            <w:vAlign w:val="center"/>
          </w:tcPr>
          <w:p>
            <w:pPr>
              <w:pStyle w:val="TableContents"/>
              <w:bidi w:val="0"/>
              <w:spacing w:before="0" w:after="283"/>
              <w:jc w:val="right"/>
              <w:rPr/>
            </w:pPr>
            <w:r>
              <w:rPr/>
              <w:t>1,942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t>DD</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pBdr>
                <w:top w:val="double" w:sz="6" w:space="1" w:color="000000"/>
              </w:pBdr>
              <w:bidi w:val="0"/>
              <w:spacing w:before="0" w:after="0"/>
              <w:jc w:val="left"/>
              <w:rPr/>
            </w:pPr>
            <w:r>
              <w:rPr/>
              <w:t> </w:t>
            </w:r>
          </w:p>
        </w:tc>
        <w:tc>
          <w:tcPr>
            <w:tcW w:w="120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double" w:sz="6" w:space="1" w:color="000000"/>
              </w:pBdr>
              <w:bidi w:val="0"/>
              <w:spacing w:before="0" w:after="0"/>
              <w:jc w:val="left"/>
              <w:rPr/>
            </w:pPr>
            <w:r>
              <w:rPr/>
              <w:t> </w:t>
            </w:r>
          </w:p>
        </w:tc>
        <w:tc>
          <w:tcPr>
            <w:tcW w:w="1163"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 per share of Series B redeemable convertible preferred stock, basic and diluted</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283"/>
              <w:jc w:val="right"/>
              <w:rPr/>
            </w:pPr>
            <w:r>
              <w:rPr/>
              <w:t>(16.30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1163" w:type="dxa"/>
            <w:tcBorders/>
            <w:vAlign w:val="center"/>
          </w:tcPr>
          <w:p>
            <w:pPr>
              <w:pStyle w:val="TableContents"/>
              <w:bidi w:val="0"/>
              <w:spacing w:before="0" w:after="283"/>
              <w:jc w:val="right"/>
              <w:rPr/>
            </w:pPr>
            <w:r>
              <w:rPr/>
              <w:t>16.30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510" w:type="dxa"/>
            <w:tcBorders/>
            <w:vAlign w:val="center"/>
          </w:tcPr>
          <w:p>
            <w:pPr>
              <w:pStyle w:val="TableContents"/>
              <w:bidi w:val="0"/>
              <w:spacing w:before="0" w:after="283"/>
              <w:jc w:val="right"/>
              <w:rPr/>
            </w:pPr>
            <w:r>
              <w:rPr/>
              <w:t>DD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pBdr>
                <w:top w:val="double" w:sz="6" w:space="1" w:color="000000"/>
              </w:pBdr>
              <w:bidi w:val="0"/>
              <w:spacing w:before="0" w:after="0"/>
              <w:jc w:val="left"/>
              <w:rPr/>
            </w:pPr>
            <w:r>
              <w:rPr/>
              <w:t> </w:t>
            </w:r>
          </w:p>
        </w:tc>
        <w:tc>
          <w:tcPr>
            <w:tcW w:w="120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double" w:sz="6" w:space="1" w:color="000000"/>
              </w:pBdr>
              <w:bidi w:val="0"/>
              <w:spacing w:before="0" w:after="0"/>
              <w:jc w:val="left"/>
              <w:rPr/>
            </w:pPr>
            <w:r>
              <w:rPr/>
              <w:t> </w:t>
            </w:r>
          </w:p>
        </w:tc>
        <w:tc>
          <w:tcPr>
            <w:tcW w:w="1163"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shares of Series B redeemable convertible preferred stock outstanding, basic and diluted</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16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119,122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(119,122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t>DD</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pBdr>
                <w:top w:val="double" w:sz="6" w:space="1" w:color="000000"/>
              </w:pBdr>
              <w:bidi w:val="0"/>
              <w:spacing w:before="0" w:after="0"/>
              <w:jc w:val="left"/>
              <w:rPr/>
            </w:pPr>
            <w:r>
              <w:rPr/>
              <w:t> </w:t>
            </w:r>
          </w:p>
        </w:tc>
        <w:tc>
          <w:tcPr>
            <w:tcW w:w="120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double" w:sz="6" w:space="1" w:color="000000"/>
              </w:pBdr>
              <w:bidi w:val="0"/>
              <w:spacing w:before="0" w:after="0"/>
              <w:jc w:val="left"/>
              <w:rPr/>
            </w:pPr>
            <w:r>
              <w:rPr/>
              <w:t> </w:t>
            </w:r>
          </w:p>
        </w:tc>
        <w:tc>
          <w:tcPr>
            <w:tcW w:w="1163"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See accompanying notes to the unaudited pro forma condensed combined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2025 </w:t>
      </w:r>
    </w:p>
    <w:p>
      <w:pPr>
        <w:pStyle w:val="TextBody"/>
        <w:bidi w:val="0"/>
        <w:spacing w:before="120" w:after="0"/>
        <w:jc w:val="center"/>
        <w:rPr>
          <w:rFonts w:ascii="Times New Roman" w:hAnsi="Times New Roman"/>
          <w:i/>
          <w:sz w:val="20"/>
        </w:rPr>
      </w:pPr>
      <w:r>
        <w:rPr>
          <w:rFonts w:ascii="Times New Roman" w:hAnsi="Times New Roman"/>
          <w:i/>
          <w:sz w:val="20"/>
        </w:rPr>
        <w:t xml:space="preserve">(in thousands, except share and per share data)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70"/>
        <w:gridCol w:w="120"/>
        <w:gridCol w:w="210"/>
        <w:gridCol w:w="1655"/>
        <w:gridCol w:w="155"/>
        <w:gridCol w:w="60"/>
        <w:gridCol w:w="210"/>
        <w:gridCol w:w="1205"/>
        <w:gridCol w:w="155"/>
        <w:gridCol w:w="60"/>
        <w:gridCol w:w="147"/>
        <w:gridCol w:w="1163"/>
        <w:gridCol w:w="155"/>
        <w:gridCol w:w="60"/>
        <w:gridCol w:w="80"/>
        <w:gridCol w:w="510"/>
        <w:gridCol w:w="60"/>
        <w:gridCol w:w="120"/>
        <w:gridCol w:w="140"/>
        <w:gridCol w:w="1100"/>
        <w:gridCol w:w="170"/>
      </w:tblGrid>
      <w:tr>
        <w:trPr/>
        <w:tc>
          <w:tcPr>
            <w:tcW w:w="2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Obsidian</w:t>
              <w:br/>
              <w:t>Therapeutics, Inc.</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Galera</w:t>
              <w:br/>
              <w:t>Therapeutics,</w:t>
              <w:br/>
              <w:t>Inc.</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Transaction</w:t>
              <w:br/>
              <w:t>Adjustments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w:t>
              <w:br/>
              <w:t>Combined</w:t>
            </w:r>
          </w:p>
        </w:tc>
        <w:tc>
          <w:tcPr>
            <w:tcW w:w="170" w:type="dxa"/>
            <w:tcBorders/>
            <w:vAlign w:val="center"/>
          </w:tcPr>
          <w:p>
            <w:pPr>
              <w:pStyle w:val="TableContents"/>
              <w:bidi w:val="0"/>
              <w:spacing w:before="0" w:after="283"/>
              <w:jc w:val="left"/>
              <w:rPr/>
            </w:pPr>
            <w:r>
              <w:rPr/>
              <w:t> </w:t>
            </w:r>
          </w:p>
        </w:tc>
      </w:tr>
      <w:tr>
        <w:trPr/>
        <w:tc>
          <w:tcPr>
            <w:tcW w:w="2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16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120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116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sz w:val="4"/>
                <w:szCs w:val="4"/>
              </w:rPr>
            </w:pPr>
            <w:r>
              <w:rPr>
                <w:sz w:val="4"/>
                <w:szCs w:val="4"/>
              </w:rPr>
            </w:r>
          </w:p>
        </w:tc>
        <w:tc>
          <w:tcPr>
            <w:tcW w:w="5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w:t>
            </w:r>
          </w:p>
        </w:tc>
        <w:tc>
          <w:tcPr>
            <w:tcW w:w="1655" w:type="dxa"/>
            <w:tcBorders/>
            <w:vAlign w:val="center"/>
          </w:tcPr>
          <w:p>
            <w:pPr>
              <w:pStyle w:val="TableContents"/>
              <w:bidi w:val="0"/>
              <w:spacing w:before="0" w:after="283"/>
              <w:jc w:val="right"/>
              <w:rPr/>
            </w:pPr>
            <w:r>
              <w:rPr/>
              <w:t>86,113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283"/>
              <w:jc w:val="right"/>
              <w:rPr/>
            </w:pPr>
            <w:r>
              <w:rPr/>
              <w:t>349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116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86,462</w:t>
            </w:r>
          </w:p>
        </w:tc>
        <w:tc>
          <w:tcPr>
            <w:tcW w:w="170" w:type="dxa"/>
            <w:tcBorders/>
            <w:vAlign w:val="center"/>
          </w:tcPr>
          <w:p>
            <w:pPr>
              <w:pStyle w:val="TableContents"/>
              <w:bidi w:val="0"/>
              <w:spacing w:before="0" w:after="283"/>
              <w:jc w:val="left"/>
              <w:rPr/>
            </w:pPr>
            <w:r>
              <w:rPr/>
              <w:t> </w:t>
            </w:r>
          </w:p>
        </w:tc>
      </w:tr>
      <w:tr>
        <w:trPr/>
        <w:tc>
          <w:tcPr>
            <w:tcW w:w="2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right"/>
              <w:rPr/>
            </w:pPr>
            <w:r>
              <w:rPr/>
              <w:t>19,554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5,693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(69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t>AA</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25,178</w:t>
            </w:r>
          </w:p>
        </w:tc>
        <w:tc>
          <w:tcPr>
            <w:tcW w:w="170" w:type="dxa"/>
            <w:tcBorders/>
            <w:shd w:fill="CCEEFF" w:val="clear"/>
            <w:vAlign w:val="center"/>
          </w:tcPr>
          <w:p>
            <w:pPr>
              <w:pStyle w:val="TableContents"/>
              <w:bidi w:val="0"/>
              <w:spacing w:before="0" w:after="283"/>
              <w:jc w:val="left"/>
              <w:rPr/>
            </w:pPr>
            <w:r>
              <w:rPr/>
              <w:t> </w:t>
            </w:r>
          </w:p>
        </w:tc>
      </w:tr>
      <w:tr>
        <w:trPr/>
        <w:tc>
          <w:tcPr>
            <w:tcW w:w="2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Gain on sale of dismutase mimetics assets</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(3,500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(3,500</w:t>
            </w:r>
          </w:p>
        </w:tc>
        <w:tc>
          <w:tcPr>
            <w:tcW w:w="170" w:type="dxa"/>
            <w:tcBorders/>
            <w:vAlign w:val="center"/>
          </w:tcPr>
          <w:p>
            <w:pPr>
              <w:pStyle w:val="TableContents"/>
              <w:bidi w:val="0"/>
              <w:spacing w:before="0" w:after="283"/>
              <w:jc w:val="left"/>
              <w:rPr/>
            </w:pPr>
            <w:r>
              <w:rPr/>
              <w:t>) </w:t>
            </w:r>
          </w:p>
        </w:tc>
      </w:tr>
      <w:tr>
        <w:trPr/>
        <w:tc>
          <w:tcPr>
            <w:tcW w:w="2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pBdr>
                <w:top w:val="single" w:sz="2" w:space="1" w:color="000000"/>
              </w:pBdr>
              <w:bidi w:val="0"/>
              <w:spacing w:before="0" w:after="0"/>
              <w:jc w:val="left"/>
              <w:rPr/>
            </w:pPr>
            <w:r>
              <w:rPr/>
              <w:t> </w:t>
            </w:r>
          </w:p>
        </w:tc>
        <w:tc>
          <w:tcPr>
            <w:tcW w:w="16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pBdr>
                <w:top w:val="single" w:sz="2" w:space="1" w:color="000000"/>
              </w:pBdr>
              <w:bidi w:val="0"/>
              <w:spacing w:before="0" w:after="0"/>
              <w:jc w:val="left"/>
              <w:rPr/>
            </w:pPr>
            <w:r>
              <w:rPr/>
              <w:t> </w:t>
            </w:r>
          </w:p>
        </w:tc>
        <w:tc>
          <w:tcPr>
            <w:tcW w:w="120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1163"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right"/>
              <w:rPr/>
            </w:pPr>
            <w:r>
              <w:rPr/>
              <w:t>105,667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2,542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(69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sz w:val="4"/>
                <w:szCs w:val="4"/>
              </w:rPr>
            </w:pPr>
            <w:r>
              <w:rPr>
                <w:sz w:val="4"/>
                <w:szCs w:val="4"/>
              </w:rPr>
            </w:r>
          </w:p>
        </w:tc>
        <w:tc>
          <w:tcPr>
            <w:tcW w:w="5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108,140</w:t>
            </w:r>
          </w:p>
        </w:tc>
        <w:tc>
          <w:tcPr>
            <w:tcW w:w="170" w:type="dxa"/>
            <w:tcBorders/>
            <w:shd w:fill="CCEEFF" w:val="clear"/>
            <w:vAlign w:val="center"/>
          </w:tcPr>
          <w:p>
            <w:pPr>
              <w:pStyle w:val="TableContents"/>
              <w:bidi w:val="0"/>
              <w:spacing w:before="0" w:after="283"/>
              <w:jc w:val="left"/>
              <w:rPr/>
            </w:pPr>
            <w:r>
              <w:rPr/>
              <w:t> </w:t>
            </w:r>
          </w:p>
        </w:tc>
      </w:tr>
      <w:tr>
        <w:trPr/>
        <w:tc>
          <w:tcPr>
            <w:tcW w:w="2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pBdr>
                <w:top w:val="single" w:sz="2" w:space="1" w:color="000000"/>
              </w:pBdr>
              <w:bidi w:val="0"/>
              <w:spacing w:before="0" w:after="0"/>
              <w:jc w:val="left"/>
              <w:rPr/>
            </w:pPr>
            <w:r>
              <w:rPr/>
              <w:t> </w:t>
            </w:r>
          </w:p>
        </w:tc>
        <w:tc>
          <w:tcPr>
            <w:tcW w:w="16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pBdr>
                <w:top w:val="single" w:sz="2" w:space="1" w:color="000000"/>
              </w:pBdr>
              <w:bidi w:val="0"/>
              <w:spacing w:before="0" w:after="0"/>
              <w:jc w:val="left"/>
              <w:rPr/>
            </w:pPr>
            <w:r>
              <w:rPr/>
              <w:t> </w:t>
            </w:r>
          </w:p>
        </w:tc>
        <w:tc>
          <w:tcPr>
            <w:tcW w:w="120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1163"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right"/>
              <w:rPr/>
            </w:pPr>
            <w:r>
              <w:rPr/>
              <w:t>(105,667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(2,542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69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(108,140</w:t>
            </w:r>
          </w:p>
        </w:tc>
        <w:tc>
          <w:tcPr>
            <w:tcW w:w="170" w:type="dxa"/>
            <w:tcBorders/>
            <w:vAlign w:val="center"/>
          </w:tcPr>
          <w:p>
            <w:pPr>
              <w:pStyle w:val="TableContents"/>
              <w:bidi w:val="0"/>
              <w:spacing w:before="0" w:after="283"/>
              <w:jc w:val="left"/>
              <w:rPr/>
            </w:pPr>
            <w:r>
              <w:rPr/>
              <w:t>) </w:t>
            </w:r>
          </w:p>
        </w:tc>
      </w:tr>
      <w:tr>
        <w:trPr/>
        <w:tc>
          <w:tcPr>
            <w:tcW w:w="2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16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120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116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sz w:val="4"/>
                <w:szCs w:val="4"/>
              </w:rPr>
            </w:pPr>
            <w:r>
              <w:rPr>
                <w:sz w:val="4"/>
                <w:szCs w:val="4"/>
              </w:rPr>
            </w:r>
          </w:p>
        </w:tc>
        <w:tc>
          <w:tcPr>
            <w:tcW w:w="5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and other income</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right"/>
              <w:rPr/>
            </w:pPr>
            <w:r>
              <w:rPr/>
              <w:t>5,060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5,308</w:t>
            </w:r>
          </w:p>
        </w:tc>
        <w:tc>
          <w:tcPr>
            <w:tcW w:w="170" w:type="dxa"/>
            <w:tcBorders/>
            <w:vAlign w:val="center"/>
          </w:tcPr>
          <w:p>
            <w:pPr>
              <w:pStyle w:val="TableContents"/>
              <w:bidi w:val="0"/>
              <w:spacing w:before="0" w:after="283"/>
              <w:jc w:val="left"/>
              <w:rPr/>
            </w:pPr>
            <w:r>
              <w:rPr/>
              <w:t> </w:t>
            </w:r>
          </w:p>
        </w:tc>
      </w:tr>
      <w:tr>
        <w:trPr/>
        <w:tc>
          <w:tcPr>
            <w:tcW w:w="2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Gain on extinguishment of debt</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151,049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sz w:val="4"/>
                <w:szCs w:val="4"/>
              </w:rPr>
            </w:pPr>
            <w:r>
              <w:rPr>
                <w:sz w:val="4"/>
                <w:szCs w:val="4"/>
              </w:rPr>
            </w:r>
          </w:p>
        </w:tc>
        <w:tc>
          <w:tcPr>
            <w:tcW w:w="5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151,049</w:t>
            </w:r>
          </w:p>
        </w:tc>
        <w:tc>
          <w:tcPr>
            <w:tcW w:w="170" w:type="dxa"/>
            <w:tcBorders/>
            <w:shd w:fill="CCEEFF" w:val="clear"/>
            <w:vAlign w:val="center"/>
          </w:tcPr>
          <w:p>
            <w:pPr>
              <w:pStyle w:val="TableContents"/>
              <w:bidi w:val="0"/>
              <w:spacing w:before="0" w:after="283"/>
              <w:jc w:val="left"/>
              <w:rPr/>
            </w:pPr>
            <w:r>
              <w:rPr/>
              <w:t> </w:t>
            </w:r>
          </w:p>
        </w:tc>
      </w:tr>
      <w:tr>
        <w:trPr/>
        <w:tc>
          <w:tcPr>
            <w:tcW w:w="2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liability</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294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294</w:t>
            </w:r>
          </w:p>
        </w:tc>
        <w:tc>
          <w:tcPr>
            <w:tcW w:w="170" w:type="dxa"/>
            <w:tcBorders/>
            <w:vAlign w:val="center"/>
          </w:tcPr>
          <w:p>
            <w:pPr>
              <w:pStyle w:val="TableContents"/>
              <w:bidi w:val="0"/>
              <w:spacing w:before="0" w:after="283"/>
              <w:jc w:val="left"/>
              <w:rPr/>
            </w:pPr>
            <w:r>
              <w:rPr/>
              <w:t> </w:t>
            </w:r>
          </w:p>
        </w:tc>
      </w:tr>
      <w:tr>
        <w:trPr/>
        <w:tc>
          <w:tcPr>
            <w:tcW w:w="2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pBdr>
                <w:top w:val="single" w:sz="2" w:space="1" w:color="000000"/>
              </w:pBdr>
              <w:bidi w:val="0"/>
              <w:spacing w:before="0" w:after="0"/>
              <w:jc w:val="left"/>
              <w:rPr/>
            </w:pPr>
            <w:r>
              <w:rPr/>
              <w:t> </w:t>
            </w:r>
          </w:p>
        </w:tc>
        <w:tc>
          <w:tcPr>
            <w:tcW w:w="16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pBdr>
                <w:top w:val="single" w:sz="2" w:space="1" w:color="000000"/>
              </w:pBdr>
              <w:bidi w:val="0"/>
              <w:spacing w:before="0" w:after="0"/>
              <w:jc w:val="left"/>
              <w:rPr/>
            </w:pPr>
            <w:r>
              <w:rPr/>
              <w:t> </w:t>
            </w:r>
          </w:p>
        </w:tc>
        <w:tc>
          <w:tcPr>
            <w:tcW w:w="120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1163"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other income</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right"/>
              <w:rPr/>
            </w:pPr>
            <w:r>
              <w:rPr/>
              <w:t>5,060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151,591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sz w:val="4"/>
                <w:szCs w:val="4"/>
              </w:rPr>
            </w:pPr>
            <w:r>
              <w:rPr>
                <w:sz w:val="4"/>
                <w:szCs w:val="4"/>
              </w:rPr>
            </w:r>
          </w:p>
        </w:tc>
        <w:tc>
          <w:tcPr>
            <w:tcW w:w="5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156,651</w:t>
            </w:r>
          </w:p>
        </w:tc>
        <w:tc>
          <w:tcPr>
            <w:tcW w:w="170" w:type="dxa"/>
            <w:tcBorders/>
            <w:shd w:fill="CCEEFF" w:val="clear"/>
            <w:vAlign w:val="center"/>
          </w:tcPr>
          <w:p>
            <w:pPr>
              <w:pStyle w:val="TableContents"/>
              <w:bidi w:val="0"/>
              <w:spacing w:before="0" w:after="283"/>
              <w:jc w:val="left"/>
              <w:rPr/>
            </w:pPr>
            <w:r>
              <w:rPr/>
              <w:t> </w:t>
            </w:r>
          </w:p>
        </w:tc>
      </w:tr>
      <w:tr>
        <w:trPr/>
        <w:tc>
          <w:tcPr>
            <w:tcW w:w="2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pBdr>
                <w:top w:val="single" w:sz="2" w:space="1" w:color="000000"/>
              </w:pBdr>
              <w:bidi w:val="0"/>
              <w:spacing w:before="0" w:after="0"/>
              <w:jc w:val="left"/>
              <w:rPr/>
            </w:pPr>
            <w:r>
              <w:rPr/>
              <w:t> </w:t>
            </w:r>
          </w:p>
        </w:tc>
        <w:tc>
          <w:tcPr>
            <w:tcW w:w="16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pBdr>
                <w:top w:val="single" w:sz="2" w:space="1" w:color="000000"/>
              </w:pBdr>
              <w:bidi w:val="0"/>
              <w:spacing w:before="0" w:after="0"/>
              <w:jc w:val="left"/>
              <w:rPr/>
            </w:pPr>
            <w:r>
              <w:rPr/>
              <w:t> </w:t>
            </w:r>
          </w:p>
        </w:tc>
        <w:tc>
          <w:tcPr>
            <w:tcW w:w="120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1163"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w:t>
            </w:r>
          </w:p>
        </w:tc>
        <w:tc>
          <w:tcPr>
            <w:tcW w:w="1655" w:type="dxa"/>
            <w:tcBorders/>
            <w:vAlign w:val="center"/>
          </w:tcPr>
          <w:p>
            <w:pPr>
              <w:pStyle w:val="TableContents"/>
              <w:bidi w:val="0"/>
              <w:spacing w:before="0" w:after="283"/>
              <w:jc w:val="right"/>
              <w:rPr/>
            </w:pPr>
            <w:r>
              <w:rPr/>
              <w:t>(100,607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283"/>
              <w:jc w:val="right"/>
              <w:rPr/>
            </w:pPr>
            <w:r>
              <w:rPr/>
              <w:t>149,049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1163" w:type="dxa"/>
            <w:tcBorders/>
            <w:vAlign w:val="center"/>
          </w:tcPr>
          <w:p>
            <w:pPr>
              <w:pStyle w:val="TableContents"/>
              <w:bidi w:val="0"/>
              <w:spacing w:before="0" w:after="283"/>
              <w:jc w:val="right"/>
              <w:rPr/>
            </w:pPr>
            <w:r>
              <w:rPr/>
              <w:t>69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48,511</w:t>
            </w:r>
          </w:p>
        </w:tc>
        <w:tc>
          <w:tcPr>
            <w:tcW w:w="170" w:type="dxa"/>
            <w:tcBorders/>
            <w:vAlign w:val="center"/>
          </w:tcPr>
          <w:p>
            <w:pPr>
              <w:pStyle w:val="TableContents"/>
              <w:bidi w:val="0"/>
              <w:spacing w:before="0" w:after="283"/>
              <w:jc w:val="left"/>
              <w:rPr/>
            </w:pPr>
            <w:r>
              <w:rPr/>
              <w:t> </w:t>
            </w:r>
          </w:p>
        </w:tc>
      </w:tr>
      <w:tr>
        <w:trPr/>
        <w:tc>
          <w:tcPr>
            <w:tcW w:w="2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pBdr>
                <w:top w:val="double" w:sz="6" w:space="1" w:color="000000"/>
              </w:pBdr>
              <w:bidi w:val="0"/>
              <w:spacing w:before="0" w:after="0"/>
              <w:jc w:val="left"/>
              <w:rPr/>
            </w:pPr>
            <w:r>
              <w:rPr/>
              <w:t> </w:t>
            </w:r>
          </w:p>
        </w:tc>
        <w:tc>
          <w:tcPr>
            <w:tcW w:w="16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pBdr>
                <w:top w:val="double" w:sz="6" w:space="1" w:color="000000"/>
              </w:pBdr>
              <w:bidi w:val="0"/>
              <w:spacing w:before="0" w:after="0"/>
              <w:jc w:val="left"/>
              <w:rPr/>
            </w:pPr>
            <w:r>
              <w:rPr/>
              <w:t> </w:t>
            </w:r>
          </w:p>
        </w:tc>
        <w:tc>
          <w:tcPr>
            <w:tcW w:w="120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double" w:sz="6" w:space="1" w:color="000000"/>
              </w:pBdr>
              <w:bidi w:val="0"/>
              <w:spacing w:before="0" w:after="0"/>
              <w:jc w:val="left"/>
              <w:rPr/>
            </w:pPr>
            <w:r>
              <w:rPr/>
              <w:t> </w:t>
            </w:r>
          </w:p>
        </w:tc>
        <w:tc>
          <w:tcPr>
            <w:tcW w:w="1163"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common stockholders, basic and diluted</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655" w:type="dxa"/>
            <w:tcBorders/>
            <w:shd w:fill="CCEEFF" w:val="clear"/>
            <w:vAlign w:val="center"/>
          </w:tcPr>
          <w:p>
            <w:pPr>
              <w:pStyle w:val="TableContents"/>
              <w:bidi w:val="0"/>
              <w:spacing w:before="0" w:after="283"/>
              <w:jc w:val="right"/>
              <w:rPr/>
            </w:pPr>
            <w:r>
              <w:rPr/>
              <w:t>(100,607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63,524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1163" w:type="dxa"/>
            <w:tcBorders/>
            <w:shd w:fill="CCEEFF" w:val="clear"/>
            <w:vAlign w:val="center"/>
          </w:tcPr>
          <w:p>
            <w:pPr>
              <w:pStyle w:val="TableContents"/>
              <w:bidi w:val="0"/>
              <w:spacing w:before="0" w:after="283"/>
              <w:jc w:val="right"/>
              <w:rPr/>
            </w:pPr>
            <w:r>
              <w:rPr/>
              <w:t>76,948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t>BB</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39,865</w:t>
            </w:r>
          </w:p>
        </w:tc>
        <w:tc>
          <w:tcPr>
            <w:tcW w:w="170" w:type="dxa"/>
            <w:tcBorders/>
            <w:shd w:fill="CCEEFF" w:val="clear"/>
            <w:vAlign w:val="center"/>
          </w:tcPr>
          <w:p>
            <w:pPr>
              <w:pStyle w:val="TableContents"/>
              <w:bidi w:val="0"/>
              <w:spacing w:before="0" w:after="283"/>
              <w:jc w:val="left"/>
              <w:rPr/>
            </w:pPr>
            <w:r>
              <w:rPr/>
              <w:t> </w:t>
            </w:r>
          </w:p>
        </w:tc>
      </w:tr>
      <w:tr>
        <w:trPr/>
        <w:tc>
          <w:tcPr>
            <w:tcW w:w="2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pBdr>
                <w:top w:val="single" w:sz="2" w:space="1" w:color="000000"/>
              </w:pBdr>
              <w:bidi w:val="0"/>
              <w:spacing w:before="0" w:after="0"/>
              <w:jc w:val="left"/>
              <w:rPr/>
            </w:pPr>
            <w:r>
              <w:rPr/>
              <w:t> </w:t>
            </w:r>
          </w:p>
        </w:tc>
        <w:tc>
          <w:tcPr>
            <w:tcW w:w="16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pBdr>
                <w:top w:val="single" w:sz="2" w:space="1" w:color="000000"/>
              </w:pBdr>
              <w:bidi w:val="0"/>
              <w:spacing w:before="0" w:after="0"/>
              <w:jc w:val="left"/>
              <w:rPr/>
            </w:pPr>
            <w:r>
              <w:rPr/>
              <w:t> </w:t>
            </w:r>
          </w:p>
        </w:tc>
        <w:tc>
          <w:tcPr>
            <w:tcW w:w="120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1163"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 per share of common, basic and diluted</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w:t>
            </w:r>
          </w:p>
        </w:tc>
        <w:tc>
          <w:tcPr>
            <w:tcW w:w="1655" w:type="dxa"/>
            <w:tcBorders/>
            <w:vAlign w:val="center"/>
          </w:tcPr>
          <w:p>
            <w:pPr>
              <w:pStyle w:val="TableContents"/>
              <w:bidi w:val="0"/>
              <w:spacing w:before="0" w:after="283"/>
              <w:jc w:val="right"/>
              <w:rPr/>
            </w:pPr>
            <w:r>
              <w:rPr/>
              <w:t>(7.22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283"/>
              <w:jc w:val="right"/>
              <w:rPr/>
            </w:pPr>
            <w:r>
              <w:rPr/>
              <w:t>128.98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0.65</w:t>
            </w:r>
          </w:p>
        </w:tc>
        <w:tc>
          <w:tcPr>
            <w:tcW w:w="170" w:type="dxa"/>
            <w:tcBorders/>
            <w:vAlign w:val="center"/>
          </w:tcPr>
          <w:p>
            <w:pPr>
              <w:pStyle w:val="TableContents"/>
              <w:bidi w:val="0"/>
              <w:spacing w:before="0" w:after="283"/>
              <w:jc w:val="left"/>
              <w:rPr/>
            </w:pPr>
            <w:r>
              <w:rPr/>
              <w:t> </w:t>
            </w:r>
          </w:p>
        </w:tc>
      </w:tr>
      <w:tr>
        <w:trPr/>
        <w:tc>
          <w:tcPr>
            <w:tcW w:w="2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pBdr>
                <w:top w:val="single" w:sz="2" w:space="1" w:color="000000"/>
              </w:pBdr>
              <w:bidi w:val="0"/>
              <w:spacing w:before="0" w:after="0"/>
              <w:jc w:val="left"/>
              <w:rPr/>
            </w:pPr>
            <w:r>
              <w:rPr/>
              <w:t> </w:t>
            </w:r>
          </w:p>
        </w:tc>
        <w:tc>
          <w:tcPr>
            <w:tcW w:w="16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pBdr>
                <w:top w:val="single" w:sz="2" w:space="1" w:color="000000"/>
              </w:pBdr>
              <w:bidi w:val="0"/>
              <w:spacing w:before="0" w:after="0"/>
              <w:jc w:val="left"/>
              <w:rPr/>
            </w:pPr>
            <w:r>
              <w:rPr/>
              <w:t> </w:t>
            </w:r>
          </w:p>
        </w:tc>
        <w:tc>
          <w:tcPr>
            <w:tcW w:w="120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1163"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shares of common stock outstanding, basic and diluted</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right"/>
              <w:rPr/>
            </w:pPr>
            <w:r>
              <w:rPr/>
              <w:t>13,935,769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492,517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47,180,062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t>CC</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61,608,348</w:t>
            </w:r>
          </w:p>
        </w:tc>
        <w:tc>
          <w:tcPr>
            <w:tcW w:w="170" w:type="dxa"/>
            <w:tcBorders/>
            <w:shd w:fill="CCEEFF" w:val="clear"/>
            <w:vAlign w:val="center"/>
          </w:tcPr>
          <w:p>
            <w:pPr>
              <w:pStyle w:val="TableContents"/>
              <w:bidi w:val="0"/>
              <w:spacing w:before="0" w:after="283"/>
              <w:jc w:val="left"/>
              <w:rPr/>
            </w:pPr>
            <w:r>
              <w:rPr/>
              <w:t> </w:t>
            </w:r>
          </w:p>
        </w:tc>
      </w:tr>
      <w:tr>
        <w:trPr/>
        <w:tc>
          <w:tcPr>
            <w:tcW w:w="2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pBdr>
                <w:top w:val="single" w:sz="2" w:space="1" w:color="000000"/>
              </w:pBdr>
              <w:bidi w:val="0"/>
              <w:spacing w:before="0" w:after="0"/>
              <w:jc w:val="left"/>
              <w:rPr/>
            </w:pPr>
            <w:r>
              <w:rPr/>
              <w:t> </w:t>
            </w:r>
          </w:p>
        </w:tc>
        <w:tc>
          <w:tcPr>
            <w:tcW w:w="16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pBdr>
                <w:top w:val="single" w:sz="2" w:space="1" w:color="000000"/>
              </w:pBdr>
              <w:bidi w:val="0"/>
              <w:spacing w:before="0" w:after="0"/>
              <w:jc w:val="left"/>
              <w:rPr/>
            </w:pPr>
            <w:r>
              <w:rPr/>
              <w:t> </w:t>
            </w:r>
          </w:p>
        </w:tc>
        <w:tc>
          <w:tcPr>
            <w:tcW w:w="120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1163"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 attributable to Series B redeemable convertible preferred stockholders, basic and diluted</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283"/>
              <w:jc w:val="right"/>
              <w:rPr/>
            </w:pPr>
            <w:r>
              <w:rPr/>
              <w:t>76,948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1163" w:type="dxa"/>
            <w:tcBorders/>
            <w:vAlign w:val="center"/>
          </w:tcPr>
          <w:p>
            <w:pPr>
              <w:pStyle w:val="TableContents"/>
              <w:bidi w:val="0"/>
              <w:spacing w:before="0" w:after="283"/>
              <w:jc w:val="right"/>
              <w:rPr/>
            </w:pPr>
            <w:r>
              <w:rPr/>
              <w:t>(76,948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510" w:type="dxa"/>
            <w:tcBorders/>
            <w:vAlign w:val="center"/>
          </w:tcPr>
          <w:p>
            <w:pPr>
              <w:pStyle w:val="TableContents"/>
              <w:bidi w:val="0"/>
              <w:spacing w:before="0" w:after="283"/>
              <w:jc w:val="right"/>
              <w:rPr/>
            </w:pPr>
            <w:r>
              <w:rPr/>
              <w:t>DD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pBdr>
                <w:top w:val="double" w:sz="6" w:space="1" w:color="000000"/>
              </w:pBdr>
              <w:bidi w:val="0"/>
              <w:spacing w:before="0" w:after="0"/>
              <w:jc w:val="left"/>
              <w:rPr/>
            </w:pPr>
            <w:r>
              <w:rPr/>
              <w:t> </w:t>
            </w:r>
          </w:p>
        </w:tc>
        <w:tc>
          <w:tcPr>
            <w:tcW w:w="120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double" w:sz="6" w:space="1" w:color="000000"/>
              </w:pBdr>
              <w:bidi w:val="0"/>
              <w:spacing w:before="0" w:after="0"/>
              <w:jc w:val="left"/>
              <w:rPr/>
            </w:pPr>
            <w:r>
              <w:rPr/>
              <w:t> </w:t>
            </w:r>
          </w:p>
        </w:tc>
        <w:tc>
          <w:tcPr>
            <w:tcW w:w="1163"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per share of Series B redeemable convertible preferred stock, basic and diluted</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16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644.89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1163" w:type="dxa"/>
            <w:tcBorders/>
            <w:shd w:fill="CCEEFF" w:val="clear"/>
            <w:vAlign w:val="center"/>
          </w:tcPr>
          <w:p>
            <w:pPr>
              <w:pStyle w:val="TableContents"/>
              <w:bidi w:val="0"/>
              <w:spacing w:before="0" w:after="283"/>
              <w:jc w:val="right"/>
              <w:rPr/>
            </w:pPr>
            <w:r>
              <w:rPr/>
              <w:t>(644.89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t>DD</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pBdr>
                <w:top w:val="double" w:sz="6" w:space="1" w:color="000000"/>
              </w:pBdr>
              <w:bidi w:val="0"/>
              <w:spacing w:before="0" w:after="0"/>
              <w:jc w:val="left"/>
              <w:rPr/>
            </w:pPr>
            <w:r>
              <w:rPr/>
              <w:t> </w:t>
            </w:r>
          </w:p>
        </w:tc>
        <w:tc>
          <w:tcPr>
            <w:tcW w:w="120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double" w:sz="6" w:space="1" w:color="000000"/>
              </w:pBdr>
              <w:bidi w:val="0"/>
              <w:spacing w:before="0" w:after="0"/>
              <w:jc w:val="left"/>
              <w:rPr/>
            </w:pPr>
            <w:r>
              <w:rPr/>
              <w:t> </w:t>
            </w:r>
          </w:p>
        </w:tc>
        <w:tc>
          <w:tcPr>
            <w:tcW w:w="1163"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shares of Series B redeemable convertible preferred stock outstanding, basic and diluted</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119,318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(119,318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510" w:type="dxa"/>
            <w:tcBorders/>
            <w:vAlign w:val="center"/>
          </w:tcPr>
          <w:p>
            <w:pPr>
              <w:pStyle w:val="TableContents"/>
              <w:bidi w:val="0"/>
              <w:spacing w:before="0" w:after="283"/>
              <w:jc w:val="right"/>
              <w:rPr/>
            </w:pPr>
            <w:r>
              <w:rPr/>
              <w:t>DD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pBdr>
                <w:top w:val="double" w:sz="6" w:space="1" w:color="000000"/>
              </w:pBdr>
              <w:bidi w:val="0"/>
              <w:spacing w:before="0" w:after="0"/>
              <w:jc w:val="left"/>
              <w:rPr/>
            </w:pPr>
            <w:r>
              <w:rPr/>
              <w:t> </w:t>
            </w:r>
          </w:p>
        </w:tc>
        <w:tc>
          <w:tcPr>
            <w:tcW w:w="120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double" w:sz="6" w:space="1" w:color="000000"/>
              </w:pBdr>
              <w:bidi w:val="0"/>
              <w:spacing w:before="0" w:after="0"/>
              <w:jc w:val="left"/>
              <w:rPr/>
            </w:pPr>
            <w:r>
              <w:rPr/>
              <w:t> </w:t>
            </w:r>
          </w:p>
        </w:tc>
        <w:tc>
          <w:tcPr>
            <w:tcW w:w="1163"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See accompanying notes to the unaudited pro forma condensed combined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UNAUDITED PRO FORMA CONDENSED COMBINED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Note 1—Description of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On April 14, 2026, Legacy Galera, Legacy Obsidian, Obsidian Merger Sub, Galera Merger Sub, and Parent entered into the merger agreement, pursuant to which (i) Obsidian Merger Sub merged with and into Legacy Obsidian, with Legacy Obsidian surviving as a wholly-owned subsidiary of Parent and (ii) immediately thereafter, Galera Merger Sub merged with and into Legacy Galera, with Legacy Galera surviving as a wholly owned subsidiary of Parent. Legacy Obsidian and Legacy Galera have historical operating businesses, and Parent was incorporated to serve as the parent company for the combined businesses following the closing of the Mergers. </w:t>
      </w:r>
    </w:p>
    <w:p>
      <w:pPr>
        <w:pStyle w:val="TextBody"/>
        <w:bidi w:val="0"/>
        <w:spacing w:before="240" w:after="0"/>
        <w:jc w:val="left"/>
        <w:rPr>
          <w:rFonts w:ascii="Times New Roman" w:hAnsi="Times New Roman"/>
          <w:sz w:val="20"/>
        </w:rPr>
      </w:pPr>
      <w:r>
        <w:rPr>
          <w:rFonts w:ascii="Times New Roman" w:hAnsi="Times New Roman"/>
          <w:sz w:val="20"/>
        </w:rPr>
        <w:t>While Parent is the legal acquirer, Legacy Obsidian is deemed to be the accounting acquirer of Legacy Galera. The acquisition of Legacy Galera is accounted for as an asset acquisition as Legacy Galera does not meet the definition of business as defined within Accounting Standard Codification Topic 805, Business Combinations, or ASC 805, as Legacy Galera had inputs and no substantive processes or outputs at the time of acquisition. The Legacy Galera assets acquired are measured based on the estimated fair value of the consideration paid, inclusive of direct transactions costs. The Legacy Galera IPR&amp;D acquired was determined to have no alternative future use and was immediately expensed.</w:t>
      </w:r>
    </w:p>
    <w:p>
      <w:pPr>
        <w:pStyle w:val="TextBody"/>
        <w:bidi w:val="0"/>
        <w:spacing w:before="360" w:after="0"/>
        <w:jc w:val="left"/>
        <w:rPr>
          <w:rFonts w:ascii="Times New Roman" w:hAnsi="Times New Roman"/>
          <w:b/>
          <w:sz w:val="20"/>
        </w:rPr>
      </w:pPr>
      <w:r>
        <w:rPr>
          <w:rFonts w:ascii="Times New Roman" w:hAnsi="Times New Roman"/>
          <w:b/>
          <w:sz w:val="20"/>
        </w:rPr>
        <w:t xml:space="preserve">Galera Reverse Stock Split </w:t>
      </w:r>
    </w:p>
    <w:p>
      <w:pPr>
        <w:pStyle w:val="TextBody"/>
        <w:bidi w:val="0"/>
        <w:spacing w:before="120" w:after="0"/>
        <w:jc w:val="left"/>
        <w:rPr>
          <w:rFonts w:ascii="Times New Roman" w:hAnsi="Times New Roman"/>
          <w:sz w:val="20"/>
        </w:rPr>
      </w:pPr>
      <w:r>
        <w:rPr>
          <w:rFonts w:ascii="Times New Roman" w:hAnsi="Times New Roman"/>
          <w:sz w:val="20"/>
        </w:rPr>
        <w:t>On July 12, 2026, Legacy Galera effected a one-for-two hundred (1:200) reverse stock split, or the Galera Reverse Stock Split, of Legacy Galera’s common stock, which has been retroactively applied to the unaudited pro forma condensed combined financial statements for all periods presented.</w:t>
      </w:r>
    </w:p>
    <w:p>
      <w:pPr>
        <w:pStyle w:val="TextBody"/>
        <w:bidi w:val="0"/>
        <w:spacing w:before="360" w:after="0"/>
        <w:jc w:val="left"/>
        <w:rPr>
          <w:rFonts w:ascii="Times New Roman" w:hAnsi="Times New Roman"/>
          <w:b/>
          <w:sz w:val="20"/>
        </w:rPr>
      </w:pPr>
      <w:r>
        <w:rPr>
          <w:rFonts w:ascii="Times New Roman" w:hAnsi="Times New Roman"/>
          <w:b/>
          <w:sz w:val="20"/>
        </w:rPr>
        <w:t xml:space="preserve">PIPE Financing </w:t>
      </w:r>
    </w:p>
    <w:p>
      <w:pPr>
        <w:pStyle w:val="TextBody"/>
        <w:bidi w:val="0"/>
        <w:spacing w:before="120" w:after="0"/>
        <w:jc w:val="left"/>
        <w:rPr>
          <w:rFonts w:ascii="Times New Roman" w:hAnsi="Times New Roman"/>
          <w:sz w:val="20"/>
        </w:rPr>
      </w:pPr>
      <w:r>
        <w:rPr>
          <w:rFonts w:ascii="Times New Roman" w:hAnsi="Times New Roman"/>
          <w:sz w:val="20"/>
        </w:rPr>
        <w:t>Concurrent with the execution and delivery of the Merger Agreement, Legacy Galera and certain investors executed the Securities Purchase Agreement, pursuant to which such investors agreed to purchase shares of Legacy Galera Series C preferred stock immediately prior to the closing of the Mergers, for aggregate gross cash proceeds of $350.0 million (less any proceeds received by Legacy Obsidian in connection with a Permitted Legacy Obsidian Bridge Financing (as defined in the Securities Purchase Agreement)) before commissions and estimated expenses. The PIPE Financing was completed on July 31, 2026.</w:t>
      </w:r>
    </w:p>
    <w:p>
      <w:pPr>
        <w:pStyle w:val="TextBody"/>
        <w:bidi w:val="0"/>
        <w:spacing w:before="360" w:after="0"/>
        <w:jc w:val="left"/>
        <w:rPr>
          <w:rFonts w:ascii="Times New Roman" w:hAnsi="Times New Roman"/>
          <w:b/>
          <w:sz w:val="20"/>
        </w:rPr>
      </w:pPr>
      <w:r>
        <w:rPr>
          <w:rFonts w:ascii="Times New Roman" w:hAnsi="Times New Roman"/>
          <w:b/>
          <w:sz w:val="20"/>
        </w:rPr>
        <w:t xml:space="preserve">Employment Arrangements </w:t>
      </w:r>
    </w:p>
    <w:p>
      <w:pPr>
        <w:pStyle w:val="TextBody"/>
        <w:bidi w:val="0"/>
        <w:spacing w:before="120" w:after="0"/>
        <w:jc w:val="left"/>
        <w:rPr>
          <w:rFonts w:ascii="Times New Roman" w:hAnsi="Times New Roman"/>
          <w:sz w:val="20"/>
        </w:rPr>
      </w:pPr>
      <w:r>
        <w:rPr>
          <w:rFonts w:ascii="Times New Roman" w:hAnsi="Times New Roman"/>
          <w:sz w:val="20"/>
        </w:rPr>
        <w:t xml:space="preserve">The employment agreements for Legacy Galera employees included entitlement to change in control payments for certain executives and severance for certain non-executives, that were treated as pre-merger compensation expense of Legacy Galera and reflected as a reduction in cash of Legacy Galera. To the extent such severance costs and any other termination costs were not settled in cash by Legacy Galera prior to closing, they were assumed by the combined company at closing and adjusted through Legacy Galera’s valuation. </w:t>
      </w:r>
    </w:p>
    <w:p>
      <w:pPr>
        <w:pStyle w:val="TextBody"/>
        <w:bidi w:val="0"/>
        <w:spacing w:before="360" w:after="0"/>
        <w:jc w:val="left"/>
        <w:rPr>
          <w:rFonts w:ascii="Times New Roman" w:hAnsi="Times New Roman"/>
          <w:b/>
          <w:sz w:val="20"/>
        </w:rPr>
      </w:pPr>
      <w:r>
        <w:rPr>
          <w:rFonts w:ascii="Times New Roman" w:hAnsi="Times New Roman"/>
          <w:b/>
          <w:sz w:val="20"/>
        </w:rPr>
        <w:t xml:space="preserve">CVRs </w:t>
      </w:r>
    </w:p>
    <w:p>
      <w:pPr>
        <w:pStyle w:val="TextBody"/>
        <w:bidi w:val="0"/>
        <w:spacing w:before="120" w:after="0"/>
        <w:jc w:val="left"/>
        <w:rPr>
          <w:rFonts w:ascii="Times New Roman" w:hAnsi="Times New Roman"/>
          <w:sz w:val="20"/>
        </w:rPr>
      </w:pPr>
      <w:r>
        <w:rPr>
          <w:rFonts w:ascii="Times New Roman" w:hAnsi="Times New Roman"/>
          <w:sz w:val="20"/>
        </w:rPr>
        <w:t xml:space="preserve">Immediately prior to completing the Mergers, Parent and Legacy Obsidian entered into the CVR Agreement with Equiniti Trust Company, LLC as rights agent, pursuant to which Legacy Galera stockholders of record as of the close of business on the last business day prior to the effective time of the Galera Merger (but, for clarity, after the conversion of all Legacy Galera Series B preferred stock into Legacy Galera common stock and before the issuance of any Legacy Galera Series C preferred stock) received CVRs representing the right to receive contingent cash payments upon the occurrence of certain events. There are two types of CVRs: (i) one CVR with respect to the Legacy Product Agreement (as defined in the CVR Agreement) and (ii) one CVR with respect to the Supportive-Care Product Agreement (as defined in the CVR Agreement), for each such share of Legacy Galera common stock. The CVRs with respect to the Legacy Product Agreement relate to tilarginine, Legacy Galera’s legacy product candidate, and entitle holders to receive a pro rata portion of 80% of the net proceeds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received by Parent or its affiliates under any Legacy Product Agreement during the applicable CVR period, with such period expiring on the fifth anniversary of the closing of the Mergers. The CVRs with respect to the Supportive-Care Product Agreement relate to GC4419, GC4711 and related compounds, and entitle holders to receive a pro rata portion of 95% of the CVR Proceeds (as defined in the CVR Agreement) received by Parent or its affiliates under the Supportive-Care Product Agreement during the applicable CVR period, with such period expiring on the tenth anniversary of the closing of the Mergers. In each case, each holder will be entitled to receive its pro rata portion of the applicable percentage of CVR Proceeds, calculated by multiplying such percentage by a fraction equal to the total number of CVRs of the applicable type held by such holder divided by the total number of CVRs of the applicable type held by all holders, less applicable tax withholding. </w:t>
      </w:r>
    </w:p>
    <w:p>
      <w:pPr>
        <w:pStyle w:val="TextBody"/>
        <w:bidi w:val="0"/>
        <w:spacing w:before="240" w:after="0"/>
        <w:jc w:val="left"/>
        <w:rPr>
          <w:rFonts w:ascii="Times New Roman" w:hAnsi="Times New Roman"/>
          <w:sz w:val="20"/>
        </w:rPr>
      </w:pPr>
      <w:r>
        <w:rPr>
          <w:rFonts w:ascii="Times New Roman" w:hAnsi="Times New Roman"/>
          <w:sz w:val="20"/>
        </w:rPr>
        <w:t xml:space="preserve">Legacy Obsidian concluded that the CVRs represent contingent consideration in connection with an asset acquisition. Due to the contingent nature and uncertainties associated with future payments to holders of the CVRs, Parent will account for CVRs when such future payments become probable and are payable to the CVR holders. The unaudited pro forma condensed combined financial statements assume CVR payments were not probable and not payable following the closing of the Mergers to which no pro forma adjustments have been presented. </w:t>
      </w:r>
    </w:p>
    <w:p>
      <w:pPr>
        <w:pStyle w:val="TextBody"/>
        <w:bidi w:val="0"/>
        <w:spacing w:before="360" w:after="0"/>
        <w:jc w:val="left"/>
        <w:rPr>
          <w:rFonts w:ascii="Times New Roman" w:hAnsi="Times New Roman"/>
          <w:b/>
          <w:sz w:val="20"/>
        </w:rPr>
      </w:pPr>
      <w:r>
        <w:rPr>
          <w:rFonts w:ascii="Times New Roman" w:hAnsi="Times New Roman"/>
          <w:b/>
          <w:sz w:val="20"/>
        </w:rPr>
        <w:t xml:space="preserve">Gain on Extinguishment </w:t>
      </w:r>
    </w:p>
    <w:p>
      <w:pPr>
        <w:pStyle w:val="TextBody"/>
        <w:bidi w:val="0"/>
        <w:spacing w:before="120" w:after="0"/>
        <w:jc w:val="left"/>
        <w:rPr>
          <w:rFonts w:ascii="Times New Roman" w:hAnsi="Times New Roman"/>
          <w:sz w:val="20"/>
        </w:rPr>
      </w:pPr>
      <w:r>
        <w:rPr>
          <w:rFonts w:ascii="Times New Roman" w:hAnsi="Times New Roman"/>
          <w:sz w:val="20"/>
        </w:rPr>
        <w:t xml:space="preserve">In October 2025, Legacy Galera entered into an asset purchase agreement with Biossil pursuant to which Legacy Galera sold its dismutase mimetics assets and assigned its royalty purchase agreement with Blackstone Life Sciences, or Blackstone, to Biossil. In connection with this transaction, Biossil assumed all rights and obligations under the royalty purchase agreement, and Blackstone executed a notice of assignment releasing Legacy Galera from further obligations. As a result, Legacy Galera extinguished the royalty purchase liability of approximately $151.0 million and recorded a gain on extinguishment of debt during the year ended December 31, 2025. The unaudited pro forma condensed combined financial statements do not include any adjustments to reflect this non-recurring gain which is not anticipated to provide a benefit to the continuing company. </w:t>
      </w:r>
    </w:p>
    <w:p>
      <w:pPr>
        <w:pStyle w:val="TextBody"/>
        <w:bidi w:val="0"/>
        <w:spacing w:before="360" w:after="0"/>
        <w:jc w:val="left"/>
        <w:rPr>
          <w:rFonts w:ascii="Times New Roman" w:hAnsi="Times New Roman"/>
          <w:b/>
          <w:sz w:val="20"/>
        </w:rPr>
      </w:pPr>
      <w:r>
        <w:rPr>
          <w:rFonts w:ascii="Times New Roman" w:hAnsi="Times New Roman"/>
          <w:b/>
          <w:sz w:val="20"/>
        </w:rPr>
        <w:t xml:space="preserve">Note 2—Basis of Pro Forma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has been prepared in accordance with Article 11 of Regulation S-X and depicts the Legacy Galera Reverse Stock Split and accounting for the Mergers and the PIPE Financing. The unaudited pro forma condensed combined balance sheet as of June 30, 2026 assumes that the Legacy Galera Reverse Stock Split, Mergers and the PIPE Financing had been approved or consummated on June 30, 2026 and combines the historical June 30, 2026 balance sheets of Legacy Galera and Legacy Obsidian. The unaudited pro forma condensed combined statement of operations for the six months ended June 30, 2026 and the year ended December 31, 2025 assumes that the Legacy Galera Reverse Stock Split, the Mergers and the PIPE Financing took place as of January 1, 2025, and combines the historical results of Legacy Galera and Legacy Obsidian for the six months ended June 30, 2026 and the year ended December 31, 2025,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is based on the assumptions and adjustments that are described in the accompanying notes. The pro forma adjustments are subject to further revision as additional information becomes available and additional analyses are performed, including but not limited to changes in Legacy Galera’s assets and liabilities, additional financing, additional direct and incremental offering costs and the Legacy Galera Reverse Stock Split. Adjustments have been made solely for the purpose of providing unaudited pro forma condensed combined financial information. There may be differences between the pro forma adjustments and the final accounting for the Mergers, which has not yet been completed, and such differences could be material. </w:t>
      </w:r>
    </w:p>
    <w:p>
      <w:pPr>
        <w:pStyle w:val="TextBody"/>
        <w:bidi w:val="0"/>
        <w:spacing w:before="240" w:after="0"/>
        <w:jc w:val="left"/>
        <w:rPr>
          <w:rFonts w:ascii="Times New Roman" w:hAnsi="Times New Roman"/>
          <w:sz w:val="20"/>
        </w:rPr>
      </w:pPr>
      <w:r>
        <w:rPr>
          <w:rFonts w:ascii="Times New Roman" w:hAnsi="Times New Roman"/>
          <w:sz w:val="20"/>
        </w:rPr>
        <w:t xml:space="preserve">The acquisition of Legacy Galera was accounted for as an asset acquisition as Legacy Galera did not meet the definition of business because Legacy Obsidian only acquired inputs from Legacy Galera and no substantive processes or outputs at the time of acquisition. The Legacy Galera assets acquired were measured based 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estimated fair value of the consideration paid, inclusive of direct transactions costs. The Legacy Galera IPR&amp;D had no alternative future use to the continuing company and was immediately expensed upon completion of the Mergers. </w:t>
      </w:r>
    </w:p>
    <w:p>
      <w:pPr>
        <w:pStyle w:val="TextBody"/>
        <w:bidi w:val="0"/>
        <w:spacing w:before="240" w:after="0"/>
        <w:jc w:val="left"/>
        <w:rPr>
          <w:rFonts w:ascii="Times New Roman" w:hAnsi="Times New Roman"/>
          <w:sz w:val="20"/>
        </w:rPr>
      </w:pPr>
      <w:r>
        <w:rPr>
          <w:rFonts w:ascii="Times New Roman" w:hAnsi="Times New Roman"/>
          <w:sz w:val="20"/>
        </w:rPr>
        <w:t xml:space="preserve">Legacy Obsidian was determined to be the accounting acquirer in the Mergers primarily based on the following considerations: </w:t>
      </w:r>
    </w:p>
    <w:p>
      <w:pPr>
        <w:pStyle w:val="TextBody"/>
        <w:bidi w:val="0"/>
        <w:spacing w:before="0" w:after="0"/>
        <w:jc w:val="left"/>
        <w:rPr/>
      </w:pPr>
      <w:r>
        <w:rPr/>
        <w:t> </w:t>
      </w:r>
    </w:p>
    <w:tbl>
      <w:tblPr>
        <w:tblW w:w="8050" w:type="dxa"/>
        <w:jc w:val="left"/>
        <w:tblInd w:w="0" w:type="dxa"/>
        <w:tblLayout w:type="fixed"/>
        <w:tblCellMar>
          <w:top w:w="0" w:type="dxa"/>
          <w:left w:w="0" w:type="dxa"/>
          <w:bottom w:w="0" w:type="dxa"/>
          <w:right w:w="0" w:type="dxa"/>
        </w:tblCellMar>
      </w:tblPr>
      <w:tblGrid>
        <w:gridCol w:w="75"/>
        <w:gridCol w:w="110"/>
        <w:gridCol w:w="60"/>
        <w:gridCol w:w="78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Legacy Obsidian stockholders owned a majority of the voting rights of the combined company. </w:t>
            </w:r>
          </w:p>
        </w:tc>
      </w:tr>
    </w:tbl>
    <w:p>
      <w:pPr>
        <w:pStyle w:val="TextBody"/>
        <w:bidi w:val="0"/>
        <w:spacing w:before="0" w:after="0"/>
        <w:jc w:val="left"/>
        <w:rPr/>
      </w:pPr>
      <w:r>
        <w:rPr/>
        <w:t> </w:t>
      </w:r>
    </w:p>
    <w:tbl>
      <w:tblPr>
        <w:tblW w:w="8380" w:type="dxa"/>
        <w:jc w:val="left"/>
        <w:tblInd w:w="0" w:type="dxa"/>
        <w:tblLayout w:type="fixed"/>
        <w:tblCellMar>
          <w:top w:w="0" w:type="dxa"/>
          <w:left w:w="0" w:type="dxa"/>
          <w:bottom w:w="0" w:type="dxa"/>
          <w:right w:w="0" w:type="dxa"/>
        </w:tblCellMar>
      </w:tblPr>
      <w:tblGrid>
        <w:gridCol w:w="75"/>
        <w:gridCol w:w="110"/>
        <w:gridCol w:w="60"/>
        <w:gridCol w:w="81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Legacy Obsidian designated all initial members of the board of directors of the combined company. </w:t>
            </w:r>
          </w:p>
        </w:tc>
      </w:tr>
    </w:tbl>
    <w:p>
      <w:pPr>
        <w:pStyle w:val="TextBody"/>
        <w:bidi w:val="0"/>
        <w:spacing w:before="0" w:after="0"/>
        <w:jc w:val="left"/>
        <w:rPr/>
      </w:pPr>
      <w:r>
        <w:rPr/>
        <w:t> </w:t>
      </w:r>
    </w:p>
    <w:tbl>
      <w:tblPr>
        <w:tblW w:w="9715" w:type="dxa"/>
        <w:jc w:val="left"/>
        <w:tblInd w:w="0" w:type="dxa"/>
        <w:tblLayout w:type="fixed"/>
        <w:tblCellMar>
          <w:top w:w="0" w:type="dxa"/>
          <w:left w:w="0" w:type="dxa"/>
          <w:bottom w:w="0" w:type="dxa"/>
          <w:right w:w="0" w:type="dxa"/>
        </w:tblCellMar>
      </w:tblPr>
      <w:tblGrid>
        <w:gridCol w:w="75"/>
        <w:gridCol w:w="110"/>
        <w:gridCol w:w="60"/>
        <w:gridCol w:w="94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Legacy Obsidian’s executive management team became the executive management team of the combined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Following the closing of the Mergers, Parent was renamed Obsidian Therapeutics, Inc. and its headquarters are Legacy Obsidian’s current headquarters, in Cambridge, Massachusetts.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the Mergers were accounted for as an asset acquisition, Legacy Obsidian’s assets and liabilities were carried into the books of Parent at their pre-combination carrying amounts. Legacy Obsidian’s historical equity carrying values became the equity of the combined company, with the number of shares outstanding and the common stock aggregate par value. For periods prior to the closing of the Mergers, the historical financial statements of Legacy Obsidian became the historical financial statements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The assets and liabilities of Legacy Galera were adjusted upon completion of the Mergers to their fair values, which approximate their carrying values. No goodwill was recognized. </w:t>
      </w:r>
    </w:p>
    <w:p>
      <w:pPr>
        <w:pStyle w:val="TextBody"/>
        <w:bidi w:val="0"/>
        <w:spacing w:before="360" w:after="0"/>
        <w:jc w:val="left"/>
        <w:rPr>
          <w:rFonts w:ascii="Times New Roman" w:hAnsi="Times New Roman"/>
          <w:b/>
          <w:sz w:val="20"/>
        </w:rPr>
      </w:pPr>
      <w:r>
        <w:rPr>
          <w:rFonts w:ascii="Times New Roman" w:hAnsi="Times New Roman"/>
          <w:b/>
          <w:sz w:val="20"/>
        </w:rPr>
        <w:t xml:space="preserve">Note 3—Estimated Consideration and Preliminary Purchase Price Allocation </w:t>
      </w:r>
    </w:p>
    <w:p>
      <w:pPr>
        <w:pStyle w:val="TextBody"/>
        <w:bidi w:val="0"/>
        <w:spacing w:before="120" w:after="0"/>
        <w:jc w:val="left"/>
        <w:rPr>
          <w:rFonts w:ascii="Times New Roman" w:hAnsi="Times New Roman"/>
          <w:sz w:val="20"/>
        </w:rPr>
      </w:pPr>
      <w:r>
        <w:rPr>
          <w:rFonts w:ascii="Times New Roman" w:hAnsi="Times New Roman"/>
          <w:sz w:val="20"/>
        </w:rPr>
        <w:t xml:space="preserve">The preliminary fair value of the consideration totaled approximately $22.0 million, inclusive of the estimated Legacy Obsidian transaction costs to be incurred after June 30, 2026 in connection with the asset acquisition, and is summarized as follows (in thousands): </w:t>
      </w:r>
    </w:p>
    <w:p>
      <w:pPr>
        <w:pStyle w:val="TextBody"/>
        <w:bidi w:val="0"/>
        <w:spacing w:before="0" w:after="0"/>
        <w:jc w:val="left"/>
        <w:rPr/>
      </w:pPr>
      <w:r>
        <w:rPr/>
        <w:t> </w:t>
      </w:r>
    </w:p>
    <w:tbl>
      <w:tblPr>
        <w:tblW w:w="5845" w:type="dxa"/>
        <w:jc w:val="left"/>
        <w:tblInd w:w="0" w:type="dxa"/>
        <w:tblLayout w:type="fixed"/>
        <w:tblCellMar>
          <w:top w:w="0" w:type="dxa"/>
          <w:left w:w="0" w:type="dxa"/>
          <w:bottom w:w="0" w:type="dxa"/>
          <w:right w:w="0" w:type="dxa"/>
        </w:tblCellMar>
      </w:tblPr>
      <w:tblGrid>
        <w:gridCol w:w="4910"/>
        <w:gridCol w:w="120"/>
        <w:gridCol w:w="60"/>
        <w:gridCol w:w="680"/>
        <w:gridCol w:w="75"/>
      </w:tblGrid>
      <w:tr>
        <w:trPr/>
        <w:tc>
          <w:tcPr>
            <w:tcW w:w="4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Parent Common Stock issued to Legacy Galera stockholders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14,760</w:t>
            </w:r>
          </w:p>
        </w:tc>
        <w:tc>
          <w:tcPr>
            <w:tcW w:w="75" w:type="dxa"/>
            <w:tcBorders/>
            <w:shd w:fill="CCEEFF" w:val="clear"/>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Legacy Galera warrants allocated to consideration paid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Legacy Obsidian transaction costs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7,199</w:t>
            </w:r>
          </w:p>
        </w:tc>
        <w:tc>
          <w:tcPr>
            <w:tcW w:w="75" w:type="dxa"/>
            <w:tcBorders/>
            <w:shd w:fill="CCEEFF" w:val="clear"/>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consideration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21,962</w:t>
            </w:r>
          </w:p>
        </w:tc>
        <w:tc>
          <w:tcPr>
            <w:tcW w:w="75"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pro forma purposes, the preliminary fair value of the consideration transferred was calculated based on the closing stock price of Parent Common Stock on August 3, 2026 of $18.99 per share. </w:t>
      </w:r>
    </w:p>
    <w:p>
      <w:pPr>
        <w:pStyle w:val="TextBody"/>
        <w:bidi w:val="0"/>
        <w:spacing w:before="240" w:after="0"/>
        <w:jc w:val="left"/>
        <w:rPr>
          <w:rFonts w:ascii="Times New Roman" w:hAnsi="Times New Roman"/>
          <w:sz w:val="20"/>
        </w:rPr>
      </w:pPr>
      <w:r>
        <w:rPr>
          <w:rFonts w:ascii="Times New Roman" w:hAnsi="Times New Roman"/>
          <w:sz w:val="20"/>
        </w:rPr>
        <w:t xml:space="preserve">Allocation of the preliminary consideration transferred to the net assets acquired and based upon the net assets of Legacy Galera as of June 30, 2026, was as follows (in thousands): </w:t>
      </w:r>
    </w:p>
    <w:p>
      <w:pPr>
        <w:pStyle w:val="TextBody"/>
        <w:bidi w:val="0"/>
        <w:spacing w:before="0" w:after="0"/>
        <w:jc w:val="left"/>
        <w:rPr/>
      </w:pPr>
      <w:r>
        <w:rPr/>
        <w:t> </w:t>
      </w:r>
    </w:p>
    <w:tbl>
      <w:tblPr>
        <w:tblW w:w="3645" w:type="dxa"/>
        <w:jc w:val="left"/>
        <w:tblInd w:w="0" w:type="dxa"/>
        <w:tblLayout w:type="fixed"/>
        <w:tblCellMar>
          <w:top w:w="0" w:type="dxa"/>
          <w:left w:w="0" w:type="dxa"/>
          <w:bottom w:w="0" w:type="dxa"/>
          <w:right w:w="0" w:type="dxa"/>
        </w:tblCellMar>
      </w:tblPr>
      <w:tblGrid>
        <w:gridCol w:w="2750"/>
        <w:gridCol w:w="120"/>
        <w:gridCol w:w="140"/>
        <w:gridCol w:w="560"/>
        <w:gridCol w:w="75"/>
      </w:tblGrid>
      <w:tr>
        <w:trPr/>
        <w:tc>
          <w:tcPr>
            <w:tcW w:w="2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Assets acquired: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3,458</w:t>
            </w:r>
          </w:p>
        </w:tc>
        <w:tc>
          <w:tcPr>
            <w:tcW w:w="75"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Prepaid expenses and other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566</w:t>
            </w:r>
          </w:p>
        </w:tc>
        <w:tc>
          <w:tcPr>
            <w:tcW w:w="75" w:type="dxa"/>
            <w:tcBorders/>
            <w:shd w:fill="CCEEFF" w:val="clear"/>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assets acquired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4,024</w:t>
            </w:r>
          </w:p>
        </w:tc>
        <w:tc>
          <w:tcPr>
            <w:tcW w:w="75"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500" w:type="dxa"/>
        <w:jc w:val="left"/>
        <w:tblInd w:w="0" w:type="dxa"/>
        <w:tblLayout w:type="fixed"/>
        <w:tblCellMar>
          <w:top w:w="0" w:type="dxa"/>
          <w:left w:w="0" w:type="dxa"/>
          <w:bottom w:w="0" w:type="dxa"/>
          <w:right w:w="0" w:type="dxa"/>
        </w:tblCellMar>
      </w:tblPr>
      <w:tblGrid>
        <w:gridCol w:w="3005"/>
        <w:gridCol w:w="120"/>
        <w:gridCol w:w="140"/>
        <w:gridCol w:w="1160"/>
        <w:gridCol w:w="75"/>
      </w:tblGrid>
      <w:tr>
        <w:trPr/>
        <w:tc>
          <w:tcPr>
            <w:tcW w:w="3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Liabilities assumed: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283"/>
              <w:jc w:val="right"/>
              <w:rPr/>
            </w:pPr>
            <w:r>
              <w:rPr/>
              <w:t>2,149</w:t>
            </w:r>
          </w:p>
        </w:tc>
        <w:tc>
          <w:tcPr>
            <w:tcW w:w="7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1,027</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6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 assumed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3,176</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6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assets acquired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848</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6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 process research and development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283"/>
              <w:jc w:val="right"/>
              <w:rPr/>
            </w:pPr>
            <w:r>
              <w:rPr/>
              <w:t>21,114</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6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consideration paid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  </w:t>
            </w:r>
            <w:r>
              <w:rPr/>
              <w:t>21,962</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6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above allocation of the purchase price is based upon certain preliminary valuations and other analyses that have not been completed as of the date of this filing. Any changes in the estimated fair values of the net assets recorded for this asset acquisition upon the finalization of more detailed analyses of the facts and circumstances that existed at the date of the Mergers will change the allocation of the purchase price. As such, the purchase price allocations for the acquisition are preliminary estimates, which are subject to change. In addition, it was determined that the estimated fair value of any acquired rights from Legacy Galera to future regulatory or sales milestones payments were immaterial at the time of acquisition due to the significant uncertainty in achieving the regulatory milestones and the subsequent commercial success required to achieve the commercial milestones. </w:t>
      </w:r>
    </w:p>
    <w:p>
      <w:pPr>
        <w:pStyle w:val="TextBody"/>
        <w:bidi w:val="0"/>
        <w:spacing w:before="360" w:after="0"/>
        <w:jc w:val="left"/>
        <w:rPr>
          <w:rFonts w:ascii="Times New Roman" w:hAnsi="Times New Roman"/>
          <w:b/>
          <w:sz w:val="20"/>
        </w:rPr>
      </w:pPr>
      <w:r>
        <w:rPr>
          <w:rFonts w:ascii="Times New Roman" w:hAnsi="Times New Roman"/>
          <w:b/>
          <w:sz w:val="20"/>
        </w:rPr>
        <w:t xml:space="preserve">Note 4—Pro Forma Adjustments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has been prepared to illustrate the effect of the Mergers based on preliminary estimates that could change materially as additional information is obtained. Adjustments to the historical consolidated financial statements of Legacy Galera to conform to the accounting policies of Legacy Obsidian are not expected to be significant.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 Forma Adjustments to Unaudited Pro Forma Condensed Combined Balance Sheet </w:t>
      </w:r>
    </w:p>
    <w:p>
      <w:pPr>
        <w:pStyle w:val="TextBody"/>
        <w:bidi w:val="0"/>
        <w:spacing w:before="120" w:after="0"/>
        <w:jc w:val="left"/>
        <w:rPr>
          <w:rFonts w:ascii="Times New Roman" w:hAnsi="Times New Roman"/>
          <w:sz w:val="20"/>
        </w:rPr>
      </w:pPr>
      <w:r>
        <w:rPr>
          <w:rFonts w:ascii="Times New Roman" w:hAnsi="Times New Roman"/>
          <w:sz w:val="20"/>
        </w:rPr>
        <w:t xml:space="preserve">The adjustments included in the unaudited pro forma condensed combined balance sheet as of June 30, 2026, were as follows: </w:t>
      </w:r>
    </w:p>
    <w:p>
      <w:pPr>
        <w:pStyle w:val="TextBody"/>
        <w:bidi w:val="0"/>
        <w:spacing w:before="0" w:after="0"/>
        <w:jc w:val="left"/>
        <w:rPr/>
      </w:pPr>
      <w:r>
        <w:rPr/>
        <w:t> </w:t>
      </w:r>
    </w:p>
    <w:tbl>
      <w:tblPr>
        <w:tblW w:w="9745" w:type="dxa"/>
        <w:jc w:val="left"/>
        <w:tblInd w:w="0" w:type="dxa"/>
        <w:tblLayout w:type="fixed"/>
        <w:tblCellMar>
          <w:top w:w="0" w:type="dxa"/>
          <w:left w:w="0" w:type="dxa"/>
          <w:bottom w:w="0" w:type="dxa"/>
          <w:right w:w="0" w:type="dxa"/>
        </w:tblCellMar>
      </w:tblPr>
      <w:tblGrid>
        <w:gridCol w:w="365"/>
        <w:gridCol w:w="9380"/>
      </w:tblGrid>
      <w:tr>
        <w:trPr/>
        <w:tc>
          <w:tcPr>
            <w:tcW w:w="365" w:type="dxa"/>
            <w:tcBorders/>
            <w:vAlign w:val="center"/>
          </w:tcPr>
          <w:p>
            <w:pPr>
              <w:pStyle w:val="TableContents"/>
              <w:bidi w:val="0"/>
              <w:spacing w:before="0" w:after="283"/>
              <w:jc w:val="left"/>
              <w:rPr/>
            </w:pPr>
            <w:r>
              <w:rPr/>
              <w:t>(A)</w:t>
            </w:r>
          </w:p>
        </w:tc>
        <w:tc>
          <w:tcPr>
            <w:tcW w:w="9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net proceeds from the Pipe Financing less transaction costs paid at the time of closing of the Mergers. </w:t>
            </w:r>
          </w:p>
        </w:tc>
      </w:tr>
    </w:tbl>
    <w:p>
      <w:pPr>
        <w:pStyle w:val="TextBody"/>
        <w:bidi w:val="0"/>
        <w:spacing w:before="0" w:after="0"/>
        <w:jc w:val="left"/>
        <w:rPr/>
      </w:pPr>
      <w:r>
        <w:rPr/>
        <w:t> </w:t>
      </w:r>
    </w:p>
    <w:tbl>
      <w:tblPr>
        <w:tblW w:w="7105" w:type="dxa"/>
        <w:jc w:val="left"/>
        <w:tblInd w:w="0" w:type="dxa"/>
        <w:tblLayout w:type="fixed"/>
        <w:tblCellMar>
          <w:top w:w="0" w:type="dxa"/>
          <w:left w:w="0" w:type="dxa"/>
          <w:bottom w:w="0" w:type="dxa"/>
          <w:right w:w="0" w:type="dxa"/>
        </w:tblCellMar>
      </w:tblPr>
      <w:tblGrid>
        <w:gridCol w:w="350"/>
        <w:gridCol w:w="6755"/>
      </w:tblGrid>
      <w:tr>
        <w:trPr/>
        <w:tc>
          <w:tcPr>
            <w:tcW w:w="350" w:type="dxa"/>
            <w:tcBorders/>
            <w:vAlign w:val="center"/>
          </w:tcPr>
          <w:p>
            <w:pPr>
              <w:pStyle w:val="TableContents"/>
              <w:bidi w:val="0"/>
              <w:spacing w:before="0" w:after="283"/>
              <w:jc w:val="left"/>
              <w:rPr/>
            </w:pPr>
            <w:r>
              <w:rPr/>
              <w:t>(B)</w:t>
            </w:r>
          </w:p>
        </w:tc>
        <w:tc>
          <w:tcPr>
            <w:tcW w:w="6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Legacy Galera severance payments at the time of closing of the Mergers.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27"/>
        <w:gridCol w:w="9878"/>
      </w:tblGrid>
      <w:tr>
        <w:trPr/>
        <w:tc>
          <w:tcPr>
            <w:tcW w:w="327" w:type="dxa"/>
            <w:tcBorders/>
            <w:vAlign w:val="center"/>
          </w:tcPr>
          <w:p>
            <w:pPr>
              <w:pStyle w:val="TableContents"/>
              <w:bidi w:val="0"/>
              <w:spacing w:before="0" w:after="283"/>
              <w:jc w:val="left"/>
              <w:rPr/>
            </w:pPr>
            <w:r>
              <w:rPr/>
              <w:t>(C)</w:t>
            </w:r>
          </w:p>
        </w:tc>
        <w:tc>
          <w:tcPr>
            <w:tcW w:w="987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payment of transaction costs for Legacy Obsidian and Legacy Galera of $8.3 million and $4.2 million, respectively, at the time of closing of the Mergers.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9"/>
        <w:gridCol w:w="9846"/>
      </w:tblGrid>
      <w:tr>
        <w:trPr/>
        <w:tc>
          <w:tcPr>
            <w:tcW w:w="359" w:type="dxa"/>
            <w:tcBorders/>
            <w:vAlign w:val="center"/>
          </w:tcPr>
          <w:p>
            <w:pPr>
              <w:pStyle w:val="TableContents"/>
              <w:bidi w:val="0"/>
              <w:spacing w:before="0" w:after="283"/>
              <w:jc w:val="left"/>
              <w:rPr/>
            </w:pPr>
            <w:r>
              <w:rPr/>
              <w:t>(D)</w:t>
            </w:r>
          </w:p>
        </w:tc>
        <w:tc>
          <w:tcPr>
            <w:tcW w:w="98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reclassification of Legacy Obsidian deferred costs to additional paid-in capital at the time of closing of the Mergers.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283"/>
              <w:jc w:val="left"/>
              <w:rPr/>
            </w:pPr>
            <w:r>
              <w:rPr/>
              <w:t>(E)</w:t>
            </w:r>
          </w:p>
        </w:tc>
        <w:tc>
          <w:tcPr>
            <w:tcW w:w="988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payment of transaction costs within accounts payable at June 30, 2026 for Legacy Galera of $1.8 million at the time of closing of the Mergers.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(F)</w:t>
            </w:r>
          </w:p>
        </w:tc>
        <w:tc>
          <w:tcPr>
            <w:tcW w:w="99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payment of transaction costs within accrued expenses at June 30, 2026 for Legacy Obsidian and Legacy Galera of $6.8 million and $0.8 million, respectively, at the time of closing of the Mergers.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41"/>
        <w:gridCol w:w="9864"/>
      </w:tblGrid>
      <w:tr>
        <w:trPr/>
        <w:tc>
          <w:tcPr>
            <w:tcW w:w="341" w:type="dxa"/>
            <w:tcBorders/>
            <w:vAlign w:val="center"/>
          </w:tcPr>
          <w:p>
            <w:pPr>
              <w:pStyle w:val="TableContents"/>
              <w:bidi w:val="0"/>
              <w:spacing w:before="0" w:after="283"/>
              <w:jc w:val="left"/>
              <w:rPr/>
            </w:pPr>
            <w:r>
              <w:rPr/>
              <w:t>(G)</w:t>
            </w:r>
          </w:p>
        </w:tc>
        <w:tc>
          <w:tcPr>
            <w:tcW w:w="98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reclassification of Legacy Obsidian’s liability classified warrants to equity upon conversion into Parent Common Stock at the time of closing of the Mergers.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5"/>
        <w:gridCol w:w="9850"/>
      </w:tblGrid>
      <w:tr>
        <w:trPr/>
        <w:tc>
          <w:tcPr>
            <w:tcW w:w="355" w:type="dxa"/>
            <w:tcBorders/>
            <w:vAlign w:val="center"/>
          </w:tcPr>
          <w:p>
            <w:pPr>
              <w:pStyle w:val="TableContents"/>
              <w:bidi w:val="0"/>
              <w:spacing w:before="0" w:after="283"/>
              <w:jc w:val="left"/>
              <w:rPr/>
            </w:pPr>
            <w:r>
              <w:rPr/>
              <w:t>(H)</w:t>
            </w:r>
          </w:p>
        </w:tc>
        <w:tc>
          <w:tcPr>
            <w:tcW w:w="9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conversion of Legacy Obsidian’s preferred stock into shares of Parent Common Stock at the time of closing of the Mergers.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pPr>
            <w:r>
              <w:rPr/>
              <w:t>(I)</w:t>
            </w:r>
          </w:p>
        </w:tc>
        <w:tc>
          <w:tcPr>
            <w:tcW w:w="9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(i) the elimination of Legacy Galera’s historical equity balances at June 30, 2026 and (ii) an increase to additional paid-in capital of $0.8 million to reflect the net assets acquired from Legacy Galera at the time of closing of the Mergers.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880" w:type="dxa"/>
        <w:jc w:val="left"/>
        <w:tblInd w:w="0" w:type="dxa"/>
        <w:tblLayout w:type="fixed"/>
        <w:tblCellMar>
          <w:top w:w="0" w:type="dxa"/>
          <w:left w:w="0" w:type="dxa"/>
          <w:bottom w:w="0" w:type="dxa"/>
          <w:right w:w="0" w:type="dxa"/>
        </w:tblCellMar>
      </w:tblPr>
      <w:tblGrid>
        <w:gridCol w:w="275"/>
        <w:gridCol w:w="9605"/>
      </w:tblGrid>
      <w:tr>
        <w:trPr/>
        <w:tc>
          <w:tcPr>
            <w:tcW w:w="275" w:type="dxa"/>
            <w:tcBorders/>
            <w:vAlign w:val="center"/>
          </w:tcPr>
          <w:p>
            <w:pPr>
              <w:pStyle w:val="TableContents"/>
              <w:bidi w:val="0"/>
              <w:spacing w:before="0" w:after="283"/>
              <w:jc w:val="left"/>
              <w:rPr/>
            </w:pPr>
            <w:r>
              <w:rPr/>
              <w:t>(J)</w:t>
            </w:r>
          </w:p>
        </w:tc>
        <w:tc>
          <w:tcPr>
            <w:tcW w:w="96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adjustment of Legacy Obsidian’s par value to Parent’s stated par value at time of closing of the Mergers.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22"/>
        <w:gridCol w:w="9883"/>
      </w:tblGrid>
      <w:tr>
        <w:trPr/>
        <w:tc>
          <w:tcPr>
            <w:tcW w:w="322" w:type="dxa"/>
            <w:tcBorders/>
            <w:vAlign w:val="center"/>
          </w:tcPr>
          <w:p>
            <w:pPr>
              <w:pStyle w:val="TableContents"/>
              <w:bidi w:val="0"/>
              <w:spacing w:before="0" w:after="283"/>
              <w:jc w:val="left"/>
              <w:rPr/>
            </w:pPr>
            <w:r>
              <w:rPr/>
              <w:t>(K)</w:t>
            </w:r>
          </w:p>
        </w:tc>
        <w:tc>
          <w:tcPr>
            <w:tcW w:w="988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equity issued by Parent to Legacy Galera stockholders in connection with the Mergers, inclusive of the immediate expense recognition of the acquired Legacy Galera IPR&amp;D asset, which had no alternative future use at the time of closing of the Mergers.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Pro Forma Adjustments to Unaudited Pro Forma Condensed Combined Statement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adjustments included in the unaudited pro forma condensed combined statement for the six months ended June 30, 2026 and the year ended December 31, 2025, were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15"/>
        <w:gridCol w:w="9690"/>
      </w:tblGrid>
      <w:tr>
        <w:trPr/>
        <w:tc>
          <w:tcPr>
            <w:tcW w:w="515" w:type="dxa"/>
            <w:tcBorders/>
            <w:vAlign w:val="center"/>
          </w:tcPr>
          <w:p>
            <w:pPr>
              <w:pStyle w:val="TableContents"/>
              <w:bidi w:val="0"/>
              <w:spacing w:before="0" w:after="283"/>
              <w:jc w:val="left"/>
              <w:rPr/>
            </w:pPr>
            <w:r>
              <w:rPr/>
              <w:t>(AA)</w:t>
            </w:r>
          </w:p>
        </w:tc>
        <w:tc>
          <w:tcPr>
            <w:tcW w:w="9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elimination of the non-recurring Legacy Obsidian transaction costs incurred during the year ended December 31, 2025 in connection with the Mergers at the time of closing.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84"/>
        <w:gridCol w:w="9721"/>
      </w:tblGrid>
      <w:tr>
        <w:trPr/>
        <w:tc>
          <w:tcPr>
            <w:tcW w:w="484" w:type="dxa"/>
            <w:tcBorders/>
            <w:vAlign w:val="center"/>
          </w:tcPr>
          <w:p>
            <w:pPr>
              <w:pStyle w:val="TableContents"/>
              <w:bidi w:val="0"/>
              <w:spacing w:before="0" w:after="283"/>
              <w:jc w:val="left"/>
              <w:rPr/>
            </w:pPr>
            <w:r>
              <w:rPr/>
              <w:t>(BB)</w:t>
            </w:r>
          </w:p>
        </w:tc>
        <w:tc>
          <w:tcPr>
            <w:tcW w:w="97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eliminate the allocation of net income attributable to Legacy Galera Series B redeemable convertible preferred stock upon conversion into common stock at the time of closing of the Mergers.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50"/>
        <w:gridCol w:w="9755"/>
      </w:tblGrid>
      <w:tr>
        <w:trPr/>
        <w:tc>
          <w:tcPr>
            <w:tcW w:w="450" w:type="dxa"/>
            <w:tcBorders/>
            <w:vAlign w:val="center"/>
          </w:tcPr>
          <w:p>
            <w:pPr>
              <w:pStyle w:val="TableContents"/>
              <w:bidi w:val="0"/>
              <w:spacing w:before="0" w:after="283"/>
              <w:jc w:val="left"/>
              <w:rPr/>
            </w:pPr>
            <w:r>
              <w:rPr/>
              <w:t>(CC)</w:t>
            </w:r>
          </w:p>
        </w:tc>
        <w:tc>
          <w:tcPr>
            <w:tcW w:w="9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 forma basic and diluted net loss per common share have been adjusted to reflect the pro forma net loss for the six months ended June 30, 2026 and the year ended December 31, 2025. In addition, the number of shares used to calculate the pro forma basic and diluted net loss per common share has been adjusted to reflect the estimated total number of shares of Parent Common Stock that would be outstanding as of the date of the closing, as if they have been outstanding for the entirety of the period presented. For the six months ended June 30, 2026 and the year ended December 31, 2025, the pro forma weighted average common shares outstanding and pro forma net loss per common share, basic and diluted, were based on the following adjustments: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315"/>
        <w:gridCol w:w="120"/>
        <w:gridCol w:w="92"/>
        <w:gridCol w:w="1818"/>
        <w:gridCol w:w="155"/>
        <w:gridCol w:w="120"/>
        <w:gridCol w:w="68"/>
        <w:gridCol w:w="1347"/>
        <w:gridCol w:w="170"/>
      </w:tblGrid>
      <w:tr>
        <w:trPr/>
        <w:tc>
          <w:tcPr>
            <w:tcW w:w="6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3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10" w:type="dxa"/>
            <w:gridSpan w:val="2"/>
            <w:tcBorders>
              <w:bottom w:val="single" w:sz="8" w:space="0" w:color="000000"/>
            </w:tcBorders>
            <w:tcMar>
              <w:bottom w:w="28" w:type="dxa"/>
            </w:tcMar>
            <w:vAlign w:val="center"/>
          </w:tcPr>
          <w:p>
            <w:pPr>
              <w:pStyle w:val="TableContents"/>
              <w:bidi w:val="0"/>
              <w:spacing w:before="0" w:after="283"/>
              <w:jc w:val="center"/>
              <w:rPr/>
            </w:pPr>
            <w:r>
              <w:rPr>
                <w:b/>
              </w:rPr>
              <w:t>Six Months Ended</w:t>
            </w:r>
            <w:r>
              <w:rPr/>
              <w:br/>
            </w:r>
            <w:r>
              <w:rPr>
                <w:b/>
              </w:rPr>
              <w:t>June 30, 2026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br/>
              <w:t>2025</w:t>
            </w:r>
          </w:p>
        </w:tc>
        <w:tc>
          <w:tcPr>
            <w:tcW w:w="170" w:type="dxa"/>
            <w:tcBorders/>
            <w:vAlign w:val="center"/>
          </w:tcPr>
          <w:p>
            <w:pPr>
              <w:pStyle w:val="TableContents"/>
              <w:bidi w:val="0"/>
              <w:spacing w:before="0" w:after="283"/>
              <w:jc w:val="left"/>
              <w:rPr/>
            </w:pPr>
            <w:r>
              <w:rPr/>
              <w:t> </w:t>
            </w:r>
          </w:p>
        </w:tc>
      </w:tr>
      <w:tr>
        <w:trPr/>
        <w:tc>
          <w:tcPr>
            <w:tcW w:w="63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Elimination of Legacy Galera historical weighted average shares outstanding</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818" w:type="dxa"/>
            <w:tcBorders/>
            <w:shd w:fill="CCEEFF" w:val="clear"/>
            <w:vAlign w:val="center"/>
          </w:tcPr>
          <w:p>
            <w:pPr>
              <w:pStyle w:val="TableContents"/>
              <w:bidi w:val="0"/>
              <w:spacing w:before="0" w:after="283"/>
              <w:jc w:val="right"/>
              <w:rPr/>
            </w:pPr>
            <w:r>
              <w:rPr/>
              <w:t>(727,681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(492,517</w:t>
            </w:r>
          </w:p>
        </w:tc>
        <w:tc>
          <w:tcPr>
            <w:tcW w:w="170" w:type="dxa"/>
            <w:tcBorders/>
            <w:shd w:fill="CCEEFF" w:val="clear"/>
            <w:vAlign w:val="center"/>
          </w:tcPr>
          <w:p>
            <w:pPr>
              <w:pStyle w:val="TableContents"/>
              <w:bidi w:val="0"/>
              <w:spacing w:before="0" w:after="283"/>
              <w:jc w:val="left"/>
              <w:rPr/>
            </w:pPr>
            <w:r>
              <w:rPr/>
              <w:t>) </w:t>
            </w:r>
          </w:p>
        </w:tc>
      </w:tr>
      <w:tr>
        <w:trPr/>
        <w:tc>
          <w:tcPr>
            <w:tcW w:w="6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Adjustment to Legacy Obsidian weighted average shares outstanding for Legacy Obsidian exchange ratio</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818" w:type="dxa"/>
            <w:tcBorders/>
            <w:vAlign w:val="center"/>
          </w:tcPr>
          <w:p>
            <w:pPr>
              <w:pStyle w:val="TableContents"/>
              <w:bidi w:val="0"/>
              <w:spacing w:before="0" w:after="283"/>
              <w:jc w:val="right"/>
              <w:rPr/>
            </w:pPr>
            <w:r>
              <w:rPr/>
              <w:t>(17,020,241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(12,008,451</w:t>
            </w:r>
          </w:p>
        </w:tc>
        <w:tc>
          <w:tcPr>
            <w:tcW w:w="170" w:type="dxa"/>
            <w:tcBorders/>
            <w:vAlign w:val="center"/>
          </w:tcPr>
          <w:p>
            <w:pPr>
              <w:pStyle w:val="TableContents"/>
              <w:bidi w:val="0"/>
              <w:spacing w:before="0" w:after="283"/>
              <w:jc w:val="left"/>
              <w:rPr/>
            </w:pPr>
            <w:r>
              <w:rPr/>
              <w:t>) </w:t>
            </w:r>
          </w:p>
        </w:tc>
      </w:tr>
      <w:tr>
        <w:trPr/>
        <w:tc>
          <w:tcPr>
            <w:tcW w:w="63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Parent Common Stock issued to Legacy Galera securityholders</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818" w:type="dxa"/>
            <w:tcBorders/>
            <w:shd w:fill="CCEEFF" w:val="clear"/>
            <w:vAlign w:val="center"/>
          </w:tcPr>
          <w:p>
            <w:pPr>
              <w:pStyle w:val="TableContents"/>
              <w:bidi w:val="0"/>
              <w:spacing w:before="0" w:after="283"/>
              <w:jc w:val="right"/>
              <w:rPr/>
            </w:pPr>
            <w:r>
              <w:rPr/>
              <w:t>777,236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777,236</w:t>
            </w:r>
          </w:p>
        </w:tc>
        <w:tc>
          <w:tcPr>
            <w:tcW w:w="170" w:type="dxa"/>
            <w:tcBorders/>
            <w:shd w:fill="CCEEFF" w:val="clear"/>
            <w:vAlign w:val="center"/>
          </w:tcPr>
          <w:p>
            <w:pPr>
              <w:pStyle w:val="TableContents"/>
              <w:bidi w:val="0"/>
              <w:spacing w:before="0" w:after="283"/>
              <w:jc w:val="left"/>
              <w:rPr/>
            </w:pPr>
            <w:r>
              <w:rPr/>
              <w:t> </w:t>
            </w:r>
          </w:p>
        </w:tc>
      </w:tr>
      <w:tr>
        <w:trPr/>
        <w:tc>
          <w:tcPr>
            <w:tcW w:w="6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Conversion of Legacy Obsidian preferred stock into Parent Common Stock</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818" w:type="dxa"/>
            <w:tcBorders/>
            <w:vAlign w:val="center"/>
          </w:tcPr>
          <w:p>
            <w:pPr>
              <w:pStyle w:val="TableContents"/>
              <w:bidi w:val="0"/>
              <w:spacing w:before="0" w:after="283"/>
              <w:jc w:val="right"/>
              <w:rPr/>
            </w:pPr>
            <w:r>
              <w:rPr/>
              <w:t>28,762,944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29,739,749</w:t>
            </w:r>
          </w:p>
        </w:tc>
        <w:tc>
          <w:tcPr>
            <w:tcW w:w="170" w:type="dxa"/>
            <w:tcBorders/>
            <w:vAlign w:val="center"/>
          </w:tcPr>
          <w:p>
            <w:pPr>
              <w:pStyle w:val="TableContents"/>
              <w:bidi w:val="0"/>
              <w:spacing w:before="0" w:after="283"/>
              <w:jc w:val="left"/>
              <w:rPr/>
            </w:pPr>
            <w:r>
              <w:rPr/>
              <w:t> </w:t>
            </w:r>
          </w:p>
        </w:tc>
      </w:tr>
      <w:tr>
        <w:trPr/>
        <w:tc>
          <w:tcPr>
            <w:tcW w:w="6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pBdr>
                <w:top w:val="single" w:sz="2" w:space="1" w:color="000000"/>
              </w:pBdr>
              <w:bidi w:val="0"/>
              <w:spacing w:before="0" w:after="0"/>
              <w:jc w:val="left"/>
              <w:rPr/>
            </w:pPr>
            <w:r>
              <w:rPr/>
              <w:t> </w:t>
            </w:r>
          </w:p>
        </w:tc>
        <w:tc>
          <w:tcPr>
            <w:tcW w:w="181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pBdr>
                <w:top w:val="single" w:sz="2" w:space="1" w:color="000000"/>
              </w:pBdr>
              <w:bidi w:val="0"/>
              <w:spacing w:before="0" w:after="0"/>
              <w:jc w:val="left"/>
              <w:rPr/>
            </w:pPr>
            <w:r>
              <w:rPr/>
              <w:t> </w:t>
            </w:r>
          </w:p>
        </w:tc>
        <w:tc>
          <w:tcPr>
            <w:tcW w:w="1347"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3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Parent Common Stock issued in connection with the PIPE Financing</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818" w:type="dxa"/>
            <w:tcBorders/>
            <w:shd w:fill="CCEEFF" w:val="clear"/>
            <w:vAlign w:val="center"/>
          </w:tcPr>
          <w:p>
            <w:pPr>
              <w:pStyle w:val="TableContents"/>
              <w:bidi w:val="0"/>
              <w:spacing w:before="0" w:after="283"/>
              <w:jc w:val="right"/>
              <w:rPr/>
            </w:pPr>
            <w:r>
              <w:rPr/>
              <w:t>29,164,045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29,164,045</w:t>
            </w:r>
          </w:p>
        </w:tc>
        <w:tc>
          <w:tcPr>
            <w:tcW w:w="170" w:type="dxa"/>
            <w:tcBorders/>
            <w:shd w:fill="CCEEFF" w:val="clear"/>
            <w:vAlign w:val="center"/>
          </w:tcPr>
          <w:p>
            <w:pPr>
              <w:pStyle w:val="TableContents"/>
              <w:bidi w:val="0"/>
              <w:spacing w:before="0" w:after="283"/>
              <w:jc w:val="left"/>
              <w:rPr/>
            </w:pPr>
            <w:r>
              <w:rPr/>
              <w:t> </w:t>
            </w:r>
          </w:p>
        </w:tc>
      </w:tr>
      <w:tr>
        <w:trPr/>
        <w:tc>
          <w:tcPr>
            <w:tcW w:w="6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pBdr>
                <w:top w:val="single" w:sz="2" w:space="1" w:color="000000"/>
              </w:pBdr>
              <w:bidi w:val="0"/>
              <w:spacing w:before="0" w:after="0"/>
              <w:jc w:val="left"/>
              <w:rPr/>
            </w:pPr>
            <w:r>
              <w:rPr/>
              <w:t> </w:t>
            </w:r>
          </w:p>
        </w:tc>
        <w:tc>
          <w:tcPr>
            <w:tcW w:w="181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pBdr>
                <w:top w:val="single" w:sz="2" w:space="1" w:color="000000"/>
              </w:pBdr>
              <w:bidi w:val="0"/>
              <w:spacing w:before="0" w:after="0"/>
              <w:jc w:val="left"/>
              <w:rPr/>
            </w:pPr>
            <w:r>
              <w:rPr/>
              <w:t> </w:t>
            </w:r>
          </w:p>
        </w:tc>
        <w:tc>
          <w:tcPr>
            <w:tcW w:w="1347"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 forma adjustment</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818" w:type="dxa"/>
            <w:tcBorders/>
            <w:vAlign w:val="center"/>
          </w:tcPr>
          <w:p>
            <w:pPr>
              <w:pStyle w:val="TableContents"/>
              <w:bidi w:val="0"/>
              <w:spacing w:before="0" w:after="283"/>
              <w:jc w:val="right"/>
              <w:rPr/>
            </w:pPr>
            <w:r>
              <w:rPr/>
              <w:t>40,956,303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47,180,062</w:t>
            </w:r>
          </w:p>
        </w:tc>
        <w:tc>
          <w:tcPr>
            <w:tcW w:w="170" w:type="dxa"/>
            <w:tcBorders/>
            <w:vAlign w:val="center"/>
          </w:tcPr>
          <w:p>
            <w:pPr>
              <w:pStyle w:val="TableContents"/>
              <w:bidi w:val="0"/>
              <w:spacing w:before="0" w:after="283"/>
              <w:jc w:val="left"/>
              <w:rPr/>
            </w:pPr>
            <w:r>
              <w:rPr/>
              <w:t> </w:t>
            </w:r>
          </w:p>
        </w:tc>
      </w:tr>
      <w:tr>
        <w:trPr/>
        <w:tc>
          <w:tcPr>
            <w:tcW w:w="6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pBdr>
                <w:top w:val="double" w:sz="6" w:space="1" w:color="000000"/>
              </w:pBdr>
              <w:bidi w:val="0"/>
              <w:spacing w:before="0" w:after="0"/>
              <w:jc w:val="left"/>
              <w:rPr/>
            </w:pPr>
            <w:r>
              <w:rPr/>
              <w:t> </w:t>
            </w:r>
          </w:p>
        </w:tc>
        <w:tc>
          <w:tcPr>
            <w:tcW w:w="1818"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pBdr>
                <w:top w:val="double" w:sz="6" w:space="1" w:color="000000"/>
              </w:pBdr>
              <w:bidi w:val="0"/>
              <w:spacing w:before="0" w:after="0"/>
              <w:jc w:val="left"/>
              <w:rPr/>
            </w:pPr>
            <w:r>
              <w:rPr/>
              <w:t> </w:t>
            </w:r>
          </w:p>
        </w:tc>
        <w:tc>
          <w:tcPr>
            <w:tcW w:w="1347"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pPr>
            <w:r>
              <w:rPr/>
              <w:t>(DD)</w:t>
            </w:r>
          </w:p>
        </w:tc>
        <w:tc>
          <w:tcPr>
            <w:tcW w:w="9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eliminate the historical net loss per share attributable to the Legacy Galera Series B redeemable convertible preferred stockholders upon conversion of all outstanding Legacy Galera Series B redeemable convertible preferred stock at the time of the closing of the Mergers.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127696_12"/>
      <w:bookmarkEnd w:id="13"/>
      <w:r>
        <w:rPr>
          <w:rFonts w:ascii="Times New Roman" w:hAnsi="Times New Roman"/>
          <w:b/>
          <w:sz w:val="20"/>
        </w:rPr>
        <w:t xml:space="preserve">MANAGEMENT’S DISCUSSION AND ANALYSIS OF FINANCIAL CONDITION AND RESULTS OF OPERATIONS </w:t>
      </w:r>
    </w:p>
    <w:p>
      <w:pPr>
        <w:pStyle w:val="TextBody"/>
        <w:bidi w:val="0"/>
        <w:spacing w:before="240" w:after="0"/>
        <w:jc w:val="left"/>
        <w:rPr>
          <w:rFonts w:ascii="Times New Roman" w:hAnsi="Times New Roman"/>
          <w:sz w:val="20"/>
        </w:rPr>
      </w:pPr>
      <w:r>
        <w:rPr>
          <w:rFonts w:ascii="Times New Roman" w:hAnsi="Times New Roman"/>
          <w:i/>
          <w:sz w:val="20"/>
        </w:rPr>
        <w:t>Unless the context otherwise requires, references in this section to “we,” “us,”</w:t>
      </w:r>
      <w:r>
        <w:rPr>
          <w:rFonts w:ascii="Times New Roman" w:hAnsi="Times New Roman"/>
          <w:sz w:val="20"/>
        </w:rPr>
        <w:t> “</w:t>
      </w:r>
      <w:r>
        <w:rPr>
          <w:rFonts w:ascii="Times New Roman" w:hAnsi="Times New Roman"/>
          <w:i/>
          <w:sz w:val="20"/>
        </w:rPr>
        <w:t>our” and the “Company” refer to (i) Legacy Obsidian prior to the closing of the Mergers and (ii) Obsidian Therapeutics, Inc. and its consolidated subsidiaries following the closing of the Mergers</w:t>
      </w:r>
      <w:r>
        <w:rPr>
          <w:rFonts w:ascii="Times New Roman" w:hAnsi="Times New Roman"/>
          <w:sz w:val="20"/>
        </w:rPr>
        <w:t xml:space="preserve">. </w:t>
      </w:r>
      <w:r>
        <w:rPr>
          <w:rFonts w:ascii="Times New Roman" w:hAnsi="Times New Roman"/>
          <w:i/>
          <w:sz w:val="20"/>
        </w:rPr>
        <w:t>References to “Parent” refer to Gazelle Parent, Inc., which was renamed Obsidian Therapeutics, Inc. following the closing of the Mergers. Capitalized terms used but not otherwise defined in this section have the meanings ascribed to them elsewhere in this prospectus.</w:t>
      </w:r>
    </w:p>
    <w:p>
      <w:pPr>
        <w:pStyle w:val="TextBody"/>
        <w:bidi w:val="0"/>
        <w:spacing w:before="240" w:after="0"/>
        <w:jc w:val="left"/>
        <w:rPr>
          <w:rFonts w:ascii="Times New Roman" w:hAnsi="Times New Roman"/>
          <w:sz w:val="20"/>
        </w:rPr>
      </w:pPr>
      <w:r>
        <w:rPr>
          <w:rFonts w:ascii="Times New Roman" w:hAnsi="Times New Roman"/>
          <w:i/>
          <w:sz w:val="20"/>
        </w:rPr>
        <w:t>You should read the following discussion and analysis of our financial condition and results of operations in conjunction with our audited consolidated financial statements for the years ended December</w:t>
      </w:r>
      <w:r>
        <w:rPr>
          <w:rFonts w:ascii="Times New Roman" w:hAnsi="Times New Roman"/>
          <w:sz w:val="20"/>
        </w:rPr>
        <w:t> </w:t>
      </w:r>
      <w:r>
        <w:rPr>
          <w:rFonts w:ascii="Times New Roman" w:hAnsi="Times New Roman"/>
          <w:i/>
          <w:sz w:val="20"/>
        </w:rPr>
        <w:t>31, 2025 and 2024, unaudited condensed consolidated financial statements as of June</w:t>
      </w:r>
      <w:r>
        <w:rPr>
          <w:rFonts w:ascii="Times New Roman" w:hAnsi="Times New Roman"/>
          <w:sz w:val="20"/>
        </w:rPr>
        <w:t> </w:t>
      </w:r>
      <w:r>
        <w:rPr>
          <w:rFonts w:ascii="Times New Roman" w:hAnsi="Times New Roman"/>
          <w:i/>
          <w:sz w:val="20"/>
        </w:rPr>
        <w:t>30, 2026 and 2025</w:t>
      </w:r>
      <w:r>
        <w:rPr>
          <w:rFonts w:ascii="Times New Roman" w:hAnsi="Times New Roman"/>
          <w:sz w:val="20"/>
        </w:rPr>
        <w:t xml:space="preserve"> </w:t>
      </w:r>
      <w:r>
        <w:rPr>
          <w:rFonts w:ascii="Times New Roman" w:hAnsi="Times New Roman"/>
          <w:i/>
          <w:sz w:val="20"/>
        </w:rPr>
        <w:t>and for the three and six months ended June</w:t>
      </w:r>
      <w:r>
        <w:rPr>
          <w:rFonts w:ascii="Times New Roman" w:hAnsi="Times New Roman"/>
          <w:sz w:val="20"/>
        </w:rPr>
        <w:t> </w:t>
      </w:r>
      <w:r>
        <w:rPr>
          <w:rFonts w:ascii="Times New Roman" w:hAnsi="Times New Roman"/>
          <w:i/>
          <w:sz w:val="20"/>
        </w:rPr>
        <w:t>30, 2026 and 2025, and the related notes and other financial information included elsewhere in this prospectus. This discussion and analysis and other parts of this prospectus contain forward-looking statements based upon our current plans and expectations that involve risks, uncertainties and assumptions, such as statements regarding our plans, strategies, objectives, expectations, intentions and beliefs. Our actual results and the timing of events could differ materially from those anticipated in these forward-looking statements as a result of various factors, including those set forth under “Risk Factors” and elsewhere in this prospectus. You should carefully read the “Risk Factors” section of this prospectus to gain an understanding of the important factors that could cause actual results to differ materially from our forward-looking statements. Please also see “Special Note Regarding Forward-Looking Statements.”</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clinical-stage biopharmaceutical company harnessing novel protein-regulation technology to develop engineered tumor infiltrating lymphocytes, or TIL, cell therapies for the treatment of patients with solid tumors. Our proprietary cytoDRiVE™ platform is highly versatile and allows us to leverage drug responsive domains to control protein function, with our initial focus on TIL cell therapies developed from this platform, or cytoTILs™. Our lead product candidate, amsoki-cel, is a novel, genetically engineered, autologous TIL cell therapy currently in a Phase 2 clinical trial for the treatment of advanced melanoma and a Phase 1 clinical trial for the treatment of non-small cell lung cancer, or NSCLC. Our proprietary cytoDRiVE platform has enabled amsoki-cel to have the potential to drive superior tumor-killing activity with a significantly more tolerable safety profile. In contrast to other TIL approaches, amsoki-cel is designed with regulatable membrane-bound IL15, or mbIL15, which drives TIL persistence, eliminates the need to dose toxic interleukin-2 and enables outpatient administration of low-dose lymphodepletion. Furthermore, amsoki-cel can be manufactured using tumor tissue procurement from an outpatient, minimally invasive core needle biopsy. Across a cohort of fifteen patients with treatment-resistant or refractory melanoma in our Phase 1/2 clinical trial, amsoki-cel administration at the recommended Phase 2 dose demonstrated a 67% confirmed objective response rate, or ORR, and significant tumor burden reduction, including two confirmed complete responses. This response rate, to our knowledge, is the highest current ORR shown in this setting across modalities. We believe that, if approved, the more favorable product profile will support rapid market adoption of amsoki-cel relative to currently available TIL cell therapies. Amsoki-cel has been granted Fast Track and Regenerative Medicine Advanced Therapy designations from the U.S. Food and Drug Administration, or the FDA, for the treatment of patients with unresectable or metastatic melanoma that is resistant to immune checkpoint inhibitor, or ICI, therapy. In our Phase 1 clinical trial in NSCLC, early clinical results show robust tumor shrinkage and include multiple confirmed partial responses, or PRs. We expect to present updated melanoma RP2D data in the fourth quarter of 2026, followed by additional NSCLC Phase 1 clinical data in the first half of 2027 and topline data from our melanoma registration-enabling cohort by year-end 2027. We believe our product candidates are distinct from current cell therapies and have the potential to significantly impact the treatment of solid tumors and clinical outcomes of patients with cancer. </w:t>
      </w:r>
    </w:p>
    <w:p>
      <w:pPr>
        <w:pStyle w:val="TextBody"/>
        <w:bidi w:val="0"/>
        <w:spacing w:before="240" w:after="0"/>
        <w:jc w:val="left"/>
        <w:rPr>
          <w:rFonts w:ascii="Times New Roman" w:hAnsi="Times New Roman"/>
          <w:sz w:val="20"/>
        </w:rPr>
      </w:pPr>
      <w:r>
        <w:rPr>
          <w:rFonts w:ascii="Times New Roman" w:hAnsi="Times New Roman"/>
          <w:sz w:val="20"/>
        </w:rPr>
        <w:t xml:space="preserve">To date, we have not generated any revenue from product sales. Our historical revenue has been derived solely from certain collaboration and license agreements, all of which have since expired or concluded. As a result, we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currently do not have any active revenue-generating arrangements, and we do not expect revenue in the near term unless and until we enter into new collaboration agreements or successfully commercialize one of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Since inception, we have incurred significant operating losses and negative cash flows from operations, reflecting our primary focus on advancing our research and development programs, building our platform, and supporting early-stage clinical and preclinical activities. We expect operating losses and negative cash flows to continue for the foreseeable future as we further develop our product candidates, expand our organization, and incur additional costs associated with operating as a public company. Our net losses were $25.9 million and $26.9 million for three months ended June 30, 2026 and 2025, respectively, and $45.5 million and $51.9 million for the six months ended June 30, 2026 and 2025, respectively. As of June 30, 2026, we had an accumulated deficit of $341.4 million. </w:t>
      </w:r>
    </w:p>
    <w:p>
      <w:pPr>
        <w:pStyle w:val="TextBody"/>
        <w:bidi w:val="0"/>
        <w:spacing w:before="240" w:after="0"/>
        <w:jc w:val="left"/>
        <w:rPr>
          <w:rFonts w:ascii="Times New Roman" w:hAnsi="Times New Roman"/>
          <w:sz w:val="20"/>
        </w:rPr>
      </w:pPr>
      <w:r>
        <w:rPr>
          <w:rFonts w:ascii="Times New Roman" w:hAnsi="Times New Roman"/>
          <w:sz w:val="20"/>
        </w:rPr>
        <w:t xml:space="preserve">We expect our expenses and operating losses will increase substantially as we: </w:t>
      </w:r>
    </w:p>
    <w:p>
      <w:pPr>
        <w:pStyle w:val="TextBody"/>
        <w:bidi w:val="0"/>
        <w:spacing w:before="0" w:after="0"/>
        <w:jc w:val="left"/>
        <w:rPr/>
      </w:pPr>
      <w:r>
        <w:rPr/>
        <w:t> </w:t>
      </w:r>
    </w:p>
    <w:tbl>
      <w:tblPr>
        <w:tblW w:w="8005" w:type="dxa"/>
        <w:jc w:val="left"/>
        <w:tblInd w:w="0" w:type="dxa"/>
        <w:tblLayout w:type="fixed"/>
        <w:tblCellMar>
          <w:top w:w="0" w:type="dxa"/>
          <w:left w:w="0" w:type="dxa"/>
          <w:bottom w:w="0" w:type="dxa"/>
          <w:right w:w="0" w:type="dxa"/>
        </w:tblCellMar>
      </w:tblPr>
      <w:tblGrid>
        <w:gridCol w:w="75"/>
        <w:gridCol w:w="110"/>
        <w:gridCol w:w="60"/>
        <w:gridCol w:w="77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conduct our ongoing preclinical studies and ongoing and planned clinical trials of amsoki-cel;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utilize third parties to manufacture amsoki-cel and any future product candidates and related raw materials or, should we decide to do so, build and maintain a commercial-scale current Good Manufacturing Practices, or cGMP, manufacturing facility; </w:t>
            </w:r>
          </w:p>
        </w:tc>
      </w:tr>
    </w:tbl>
    <w:p>
      <w:pPr>
        <w:pStyle w:val="TextBody"/>
        <w:bidi w:val="0"/>
        <w:spacing w:before="0" w:after="0"/>
        <w:jc w:val="left"/>
        <w:rPr/>
      </w:pPr>
      <w:r>
        <w:rPr/>
        <w:t> </w:t>
      </w:r>
    </w:p>
    <w:tbl>
      <w:tblPr>
        <w:tblW w:w="4825" w:type="dxa"/>
        <w:jc w:val="left"/>
        <w:tblInd w:w="0" w:type="dxa"/>
        <w:tblLayout w:type="fixed"/>
        <w:tblCellMar>
          <w:top w:w="0" w:type="dxa"/>
          <w:left w:w="0" w:type="dxa"/>
          <w:bottom w:w="0" w:type="dxa"/>
          <w:right w:w="0" w:type="dxa"/>
        </w:tblCellMar>
      </w:tblPr>
      <w:tblGrid>
        <w:gridCol w:w="75"/>
        <w:gridCol w:w="110"/>
        <w:gridCol w:w="60"/>
        <w:gridCol w:w="45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continue our early research and development activities; </w:t>
            </w:r>
          </w:p>
        </w:tc>
      </w:tr>
    </w:tbl>
    <w:p>
      <w:pPr>
        <w:pStyle w:val="TextBody"/>
        <w:bidi w:val="0"/>
        <w:spacing w:before="0" w:after="0"/>
        <w:jc w:val="left"/>
        <w:rPr/>
      </w:pPr>
      <w:r>
        <w:rPr/>
        <w:t> </w:t>
      </w:r>
    </w:p>
    <w:tbl>
      <w:tblPr>
        <w:tblW w:w="7900" w:type="dxa"/>
        <w:jc w:val="left"/>
        <w:tblInd w:w="0" w:type="dxa"/>
        <w:tblLayout w:type="fixed"/>
        <w:tblCellMar>
          <w:top w:w="0" w:type="dxa"/>
          <w:left w:w="0" w:type="dxa"/>
          <w:bottom w:w="0" w:type="dxa"/>
          <w:right w:w="0" w:type="dxa"/>
        </w:tblCellMar>
      </w:tblPr>
      <w:tblGrid>
        <w:gridCol w:w="75"/>
        <w:gridCol w:w="110"/>
        <w:gridCol w:w="60"/>
        <w:gridCol w:w="76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seek to identify additional research programs and program candidates to expand our pipeline; </w:t>
            </w:r>
          </w:p>
        </w:tc>
      </w:tr>
    </w:tbl>
    <w:p>
      <w:pPr>
        <w:pStyle w:val="TextBody"/>
        <w:bidi w:val="0"/>
        <w:spacing w:before="0" w:after="0"/>
        <w:jc w:val="left"/>
        <w:rPr/>
      </w:pPr>
      <w:r>
        <w:rPr/>
        <w:t> </w:t>
      </w:r>
    </w:p>
    <w:tbl>
      <w:tblPr>
        <w:tblW w:w="7690" w:type="dxa"/>
        <w:jc w:val="left"/>
        <w:tblInd w:w="0" w:type="dxa"/>
        <w:tblLayout w:type="fixed"/>
        <w:tblCellMar>
          <w:top w:w="0" w:type="dxa"/>
          <w:left w:w="0" w:type="dxa"/>
          <w:bottom w:w="0" w:type="dxa"/>
          <w:right w:w="0" w:type="dxa"/>
        </w:tblCellMar>
      </w:tblPr>
      <w:tblGrid>
        <w:gridCol w:w="75"/>
        <w:gridCol w:w="110"/>
        <w:gridCol w:w="60"/>
        <w:gridCol w:w="7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hire additional research and development, clinical, commercial, and operational personnel;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 expand, enforce, defend and protect our intellectual property portfolio and provide reimbursement of third-party expenses related to our patent portfolio;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seek regulatory approvals for amsoki-cel and any of our future product candidates for which we successfully complete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ultimately establish a sales, marketing and distribution infrastructure to commercialize any therapies for which we may obtain marketing approval;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incur additional costs associated with being a public company, including audit, legal, regulatory, and tax-related services associated with maintaining compliance with an exchange listing and Securities and Exchange Commission, or SEC, requirements, director and officer insurance premiums and investor relations costs. </w:t>
            </w:r>
          </w:p>
        </w:tc>
      </w:tr>
    </w:tbl>
    <w:p>
      <w:pPr>
        <w:pStyle w:val="TextBody"/>
        <w:bidi w:val="0"/>
        <w:spacing w:before="240" w:after="0"/>
        <w:jc w:val="left"/>
        <w:rPr>
          <w:rFonts w:ascii="Times New Roman" w:hAnsi="Times New Roman"/>
          <w:sz w:val="20"/>
        </w:rPr>
      </w:pPr>
      <w:r>
        <w:rPr>
          <w:rFonts w:ascii="Times New Roman" w:hAnsi="Times New Roman"/>
          <w:sz w:val="20"/>
        </w:rPr>
        <w:t>In addition, we have clinical development, regulatory, and commercial milestone payment obligations under our licensing arrangement with the University of Texas M.D. Anderson Cancer Center, or M.D. Anderson, as described below. Our net losses may fluctuate significantly from quarter-to-quarter and year-to-year, depending on the timing of our preclinical studies and our ongoing and planned clinical trials and our expenditures on other research and development activities.</w:t>
      </w:r>
    </w:p>
    <w:p>
      <w:pPr>
        <w:pStyle w:val="TextBody"/>
        <w:bidi w:val="0"/>
        <w:spacing w:before="240" w:after="0"/>
        <w:jc w:val="left"/>
        <w:rPr>
          <w:rFonts w:ascii="Times New Roman" w:hAnsi="Times New Roman"/>
          <w:sz w:val="20"/>
        </w:rPr>
      </w:pPr>
      <w:r>
        <w:rPr>
          <w:rFonts w:ascii="Times New Roman" w:hAnsi="Times New Roman"/>
          <w:sz w:val="20"/>
        </w:rPr>
        <w:t>We do not expect to generate any revenue from product sales unless and until we successfully complete development and obtain regulatory approval for amsoki-cel or any future product candidates, which will not be for at least the next several years, if ever. If we obtain regulatory approval for any of amsoki-cel or future product candidates, we expect to incur significant commercialization expenses related to product sales, marketing, manufacturing and distribution. Accordingly, until such time as we can generate significant revenue from sales of amsoki-cel or any future product candidates, if ever, we expect to finance our cash needs through equity offerings, debt financings or other capital sources, including potential collaborations, licenses and other similar arrangements.</w:t>
      </w:r>
    </w:p>
    <w:p>
      <w:pPr>
        <w:pStyle w:val="TextBody"/>
        <w:bidi w:val="0"/>
        <w:spacing w:before="240" w:after="0"/>
        <w:jc w:val="left"/>
        <w:rPr>
          <w:rFonts w:ascii="Times New Roman" w:hAnsi="Times New Roman"/>
          <w:sz w:val="20"/>
        </w:rPr>
      </w:pPr>
      <w:r>
        <w:rPr>
          <w:rFonts w:ascii="Times New Roman" w:hAnsi="Times New Roman"/>
          <w:sz w:val="20"/>
        </w:rPr>
        <w:t xml:space="preserve">On April 14, 2026, Legacy Obsidian entered into the Merger Agreement with Legacy Galera and the other parties thereto, pursuant to which Legacy Obsidian and Legacy Galera would become wholly owned subsidiaries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Parent upon completion of the Mergers. On July 31, 2026, the PIPE Financing closed and generated gross proceeds of approximately $350.0 million. On August 3, 2026, the Mergers were completed, and Legacy Obsidian and Legacy Galera became wholly owned subsidiaries of Parent. </w:t>
      </w:r>
    </w:p>
    <w:p>
      <w:pPr>
        <w:pStyle w:val="TextBody"/>
        <w:bidi w:val="0"/>
        <w:spacing w:before="240" w:after="0"/>
        <w:jc w:val="left"/>
        <w:rPr>
          <w:rFonts w:ascii="Times New Roman" w:hAnsi="Times New Roman"/>
          <w:sz w:val="20"/>
        </w:rPr>
      </w:pPr>
      <w:r>
        <w:rPr>
          <w:rFonts w:ascii="Times New Roman" w:hAnsi="Times New Roman"/>
          <w:sz w:val="20"/>
        </w:rPr>
        <w:t xml:space="preserve">The proceeds from the PIPE Financing significantly enhanced our liquidity position and are expected to fund our planned operations for at least the next twelve months from the issuance date of our unaudited condensed consolidated financial statements as of and for the six months ended June 30, 2026. Because the PIPE Financing was completed prior to the issuance of such financial statements, management considered the financing in its evaluation of our ability to continue as a going concern. </w:t>
      </w:r>
    </w:p>
    <w:p>
      <w:pPr>
        <w:pStyle w:val="TextBody"/>
        <w:bidi w:val="0"/>
        <w:spacing w:before="240" w:after="0"/>
        <w:jc w:val="left"/>
        <w:rPr>
          <w:rFonts w:ascii="Times New Roman" w:hAnsi="Times New Roman"/>
          <w:sz w:val="20"/>
        </w:rPr>
      </w:pPr>
      <w:r>
        <w:rPr>
          <w:rFonts w:ascii="Times New Roman" w:hAnsi="Times New Roman"/>
          <w:sz w:val="20"/>
        </w:rPr>
        <w:t>Based on the completion of the PIPE Financing, management concluded that the conditions and events that previously raised substantial doubt about our ability to continue as a going concern were alleviated as of the issuance date of our unaudited condensed consolidated financial statements as of and for the six months ended June 30, 2026. See “—</w:t>
      </w:r>
      <w:r>
        <w:rPr>
          <w:rFonts w:ascii="Times New Roman" w:hAnsi="Times New Roman"/>
          <w:i/>
          <w:sz w:val="20"/>
        </w:rPr>
        <w:t>Liquidity and Capital Resources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we had cash and cash equivalents and marketable securities of $34.4 million. Based upon our current operating plans, we believe that the net proceeds from the PIPE Financing, together with our existing cash and cash equivalents and short-term investments in marketable securities, will be sufficient to fund our operations into the second half of 2028. </w:t>
      </w:r>
    </w:p>
    <w:p>
      <w:pPr>
        <w:pStyle w:val="TextBody"/>
        <w:bidi w:val="0"/>
        <w:spacing w:before="360" w:after="0"/>
        <w:jc w:val="left"/>
        <w:rPr>
          <w:rFonts w:ascii="Times New Roman" w:hAnsi="Times New Roman"/>
          <w:b/>
          <w:sz w:val="20"/>
        </w:rPr>
      </w:pPr>
      <w:r>
        <w:rPr>
          <w:rFonts w:ascii="Times New Roman" w:hAnsi="Times New Roman"/>
          <w:b/>
          <w:sz w:val="20"/>
        </w:rPr>
        <w:t>Components of Results of Operations</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To date, we have not recognized any revenues from product sales. We do not expect to generate any revenue from the sale of products in the foreseeable future. If our development efforts for amsoki-cel or any future product candidates are successful and result in regulatory approval, or license agreements with third parties, we may generate revenue in the future from product sales. However, there can be no assurance as to when we will generate such revenue, if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Research and development expenses consist primarily of personnel-related costs, including salaries, bonuses, benefits, and stock-based compensation charges for those individuals in research and development functions, other internal and external costs associated with our research and development activities, our discovery and research efforts, and the preclinical and clinical development of amsoki-cel and any future product candidates. Our research and development expenses include:</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personnel-related costs, including salaries, bonuses, benefits, and stock-based compensation for employees engaged in research and development functions; </w:t>
            </w:r>
          </w:p>
        </w:tc>
      </w:tr>
    </w:tbl>
    <w:p>
      <w:pPr>
        <w:pStyle w:val="TextBody"/>
        <w:bidi w:val="0"/>
        <w:spacing w:before="0" w:after="0"/>
        <w:jc w:val="left"/>
        <w:rPr/>
      </w:pPr>
      <w:r>
        <w:rPr/>
        <w:t> </w:t>
      </w:r>
    </w:p>
    <w:tbl>
      <w:tblPr>
        <w:tblW w:w="4975" w:type="dxa"/>
        <w:jc w:val="left"/>
        <w:tblInd w:w="0" w:type="dxa"/>
        <w:tblLayout w:type="fixed"/>
        <w:tblCellMar>
          <w:top w:w="0" w:type="dxa"/>
          <w:left w:w="0" w:type="dxa"/>
          <w:bottom w:w="0" w:type="dxa"/>
          <w:right w:w="0" w:type="dxa"/>
        </w:tblCellMar>
      </w:tblPr>
      <w:tblGrid>
        <w:gridCol w:w="75"/>
        <w:gridCol w:w="110"/>
        <w:gridCol w:w="60"/>
        <w:gridCol w:w="47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costs related to compliance with regulatory requirements;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external expenses, including expenses incurred under arrangements with third parties, such as sponsored research agreements, contract research organizations, contract development and manufacturing organizations, consultants and our scientific advisors;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 of developing and validating our manufacturing process for use in our preclinical studies and ongoing and future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 to obtain licenses to intellectual property and related future payments should certain development and regulatory milestones be achieved; </w:t>
            </w:r>
          </w:p>
        </w:tc>
      </w:tr>
    </w:tbl>
    <w:p>
      <w:pPr>
        <w:pStyle w:val="TextBody"/>
        <w:bidi w:val="0"/>
        <w:spacing w:before="0" w:after="0"/>
        <w:jc w:val="left"/>
        <w:rPr/>
      </w:pPr>
      <w:r>
        <w:rPr/>
        <w:t> </w:t>
      </w:r>
    </w:p>
    <w:tbl>
      <w:tblPr>
        <w:tblW w:w="5605" w:type="dxa"/>
        <w:jc w:val="left"/>
        <w:tblInd w:w="0" w:type="dxa"/>
        <w:tblLayout w:type="fixed"/>
        <w:tblCellMar>
          <w:top w:w="0" w:type="dxa"/>
          <w:left w:w="0" w:type="dxa"/>
          <w:bottom w:w="0" w:type="dxa"/>
          <w:right w:w="0" w:type="dxa"/>
        </w:tblCellMar>
      </w:tblPr>
      <w:tblGrid>
        <w:gridCol w:w="75"/>
        <w:gridCol w:w="110"/>
        <w:gridCol w:w="60"/>
        <w:gridCol w:w="5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costs for laboratory supplies, research materials and reagents; and </w:t>
            </w:r>
          </w:p>
        </w:tc>
      </w:tr>
    </w:tbl>
    <w:p>
      <w:pPr>
        <w:pStyle w:val="TextBody"/>
        <w:bidi w:val="0"/>
        <w:spacing w:before="0" w:after="0"/>
        <w:jc w:val="left"/>
        <w:rPr/>
      </w:pPr>
      <w:r>
        <w:rPr/>
        <w:t> </w:t>
      </w:r>
    </w:p>
    <w:tbl>
      <w:tblPr>
        <w:tblW w:w="7825" w:type="dxa"/>
        <w:jc w:val="left"/>
        <w:tblInd w:w="0" w:type="dxa"/>
        <w:tblLayout w:type="fixed"/>
        <w:tblCellMar>
          <w:top w:w="0" w:type="dxa"/>
          <w:left w:w="0" w:type="dxa"/>
          <w:bottom w:w="0" w:type="dxa"/>
          <w:right w:w="0" w:type="dxa"/>
        </w:tblCellMar>
      </w:tblPr>
      <w:tblGrid>
        <w:gridCol w:w="75"/>
        <w:gridCol w:w="110"/>
        <w:gridCol w:w="60"/>
        <w:gridCol w:w="75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facility costs, depreciation, and other expenses, which include direct and allocated expenses.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expense all research and development costs in the periods in which they are incurred. Advance payments that we make for goods or services to be received in the future for use in research and development activities are recorded as prepaid expenses. Such amounts are recognized as expenses as the goods are delivered or the related services are performed, or until it is no longer expected that such goods will be delivered, or such services will be rendered. Most of our research and development expenses have been related to identifying and developing our product candidates. We have not reported program costs because we have not historically tracked or recorded our research and development expenses on a program-by-program basis. In the future, external research and development costs for any individual product candidate will be tracked commencing upon product candidate nomination. We do not allocate employee costs, costs associated with our discovery efforts, laboratory supplies, and facilities expenses, including depreciation or other indirect costs, to specific product development programs because these costs are deployed across multiple programs and our technology platform and, as such, are not separately classified. </w:t>
      </w:r>
    </w:p>
    <w:p>
      <w:pPr>
        <w:pStyle w:val="TextBody"/>
        <w:bidi w:val="0"/>
        <w:spacing w:before="240" w:after="0"/>
        <w:jc w:val="left"/>
        <w:rPr>
          <w:rFonts w:ascii="Times New Roman" w:hAnsi="Times New Roman"/>
          <w:sz w:val="20"/>
        </w:rPr>
      </w:pPr>
      <w:r>
        <w:rPr>
          <w:rFonts w:ascii="Times New Roman" w:hAnsi="Times New Roman"/>
          <w:sz w:val="20"/>
        </w:rPr>
        <w:t>We plan to substantially increase our research and development expenses for the foreseeable future as we continue to conduct our ongoing research and development activities, advance our preclinical research programs toward clinical development, and conduct our current and planned clinical trials.</w:t>
      </w:r>
    </w:p>
    <w:p>
      <w:pPr>
        <w:pStyle w:val="TextBody"/>
        <w:bidi w:val="0"/>
        <w:spacing w:before="240" w:after="0"/>
        <w:jc w:val="left"/>
        <w:rPr>
          <w:rFonts w:ascii="Times New Roman" w:hAnsi="Times New Roman"/>
          <w:sz w:val="20"/>
        </w:rPr>
      </w:pPr>
      <w:r>
        <w:rPr>
          <w:rFonts w:ascii="Times New Roman" w:hAnsi="Times New Roman"/>
          <w:sz w:val="20"/>
        </w:rPr>
        <w:t>The timelines and costs of research and development activities are uncertain and can vary significantly for amsoki-cel and any future product candidates or development programs due to the inherently unpredictable nature of preclinical and clinical development. We anticipate we will make determinations as to which programs to pursue and how much funding to direct to each program on an ongoing basis in response to preclinical and clinical results, regulatory developments, and ongoing assessments as to each program’s commercial potential.</w:t>
      </w:r>
    </w:p>
    <w:p>
      <w:pPr>
        <w:pStyle w:val="TextBody"/>
        <w:bidi w:val="0"/>
        <w:spacing w:before="240" w:after="0"/>
        <w:jc w:val="left"/>
        <w:rPr>
          <w:rFonts w:ascii="Times New Roman" w:hAnsi="Times New Roman"/>
          <w:sz w:val="20"/>
        </w:rPr>
      </w:pPr>
      <w:r>
        <w:rPr>
          <w:rFonts w:ascii="Times New Roman" w:hAnsi="Times New Roman"/>
          <w:sz w:val="20"/>
        </w:rPr>
        <w:t xml:space="preserve">Our future development costs may vary significantly based on various factors such as timely and successful completion of preclinical studies and ongoing and future clinical trials, positive results from our current and future clinical trials, receipt of marketing approvals from applicable regulatory authorities, establishment and maintenance of arrangements with third parties, intellectual property updates, the amount and timing of any milestone payment due under any existing or future license or collaboration agreement or asset acquisition, and continued acceptable safety, tolerability and efficacy profile of amsoki-cel and any future product candidates that we may develop following approval. </w:t>
      </w:r>
    </w:p>
    <w:p>
      <w:pPr>
        <w:pStyle w:val="TextBody"/>
        <w:bidi w:val="0"/>
        <w:spacing w:before="240" w:after="0"/>
        <w:jc w:val="left"/>
        <w:rPr>
          <w:rFonts w:ascii="Times New Roman" w:hAnsi="Times New Roman"/>
          <w:sz w:val="20"/>
        </w:rPr>
      </w:pPr>
      <w:r>
        <w:rPr>
          <w:rFonts w:ascii="Times New Roman" w:hAnsi="Times New Roman"/>
          <w:sz w:val="20"/>
        </w:rPr>
        <w:t xml:space="preserve">A change in the outcome of any of these variables with respect to the development of amsoki-cel or any future product candidate could mean a significant change in the costs and timing associated with the development of that product candidate. For example, if the FDA, the EMA, or another regulatory authority were to require us to conduct clinical trials beyond those that we anticipate would be required for the completion of clinical development of a product candidate, or if we experience significant delays in our clinical trials due to slower than expected patient enrollment or other reasons, we would be required to expend significant additional financial resources and time on the completion of clinical development.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consist primarily of personnel-related costs, including salaries, bonuses, benefits, and stock-based compensation charges for those individuals in executive, legal, finance, human resources, facility operations, and other administrative functions. Other significant costs include legal fees relating to intellectual property and corporate matters, professional fees for auditing, accounting, tax and consulting services, office and information technology costs, insurance costs, and facilities, depreciation and other general and administrative expenses, which include direct or allocated expenses for rent and maintenance of facilities and utilities. </w:t>
      </w:r>
    </w:p>
    <w:p>
      <w:pPr>
        <w:pStyle w:val="TextBody"/>
        <w:bidi w:val="0"/>
        <w:spacing w:before="240" w:after="0"/>
        <w:jc w:val="left"/>
        <w:rPr>
          <w:rFonts w:ascii="Times New Roman" w:hAnsi="Times New Roman"/>
          <w:sz w:val="20"/>
        </w:rPr>
      </w:pPr>
      <w:r>
        <w:rPr>
          <w:rFonts w:ascii="Times New Roman" w:hAnsi="Times New Roman"/>
          <w:sz w:val="20"/>
        </w:rPr>
        <w:t xml:space="preserve">We anticipate that our general and administrative expenses will increase in the foreseeable future to support our increased research and development activities. These increases will likely include increased costs related to the hiring of additional personnel and fees paid to outside consultants, among other expenses. We also anticipate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increased expenses related to audit, accounting, legal, regulatory, and tax-related services associated with maintaining compliance with Nasdaq and SEC requirements, director and officer insurance premiums, and investor relations costs associated with operating as a public company. </w:t>
      </w:r>
    </w:p>
    <w:p>
      <w:pPr>
        <w:pStyle w:val="TextBody"/>
        <w:bidi w:val="0"/>
        <w:spacing w:before="360" w:after="0"/>
        <w:jc w:val="left"/>
        <w:rPr>
          <w:rFonts w:ascii="Times New Roman" w:hAnsi="Times New Roman"/>
          <w:b/>
          <w:i/>
          <w:sz w:val="20"/>
        </w:rPr>
      </w:pPr>
      <w:r>
        <w:rPr>
          <w:rFonts w:ascii="Times New Roman" w:hAnsi="Times New Roman"/>
          <w:b/>
          <w:i/>
          <w:sz w:val="20"/>
        </w:rPr>
        <w:t>Other Income, net</w:t>
      </w:r>
    </w:p>
    <w:p>
      <w:pPr>
        <w:pStyle w:val="TextBody"/>
        <w:bidi w:val="0"/>
        <w:spacing w:before="120" w:after="0"/>
        <w:jc w:val="left"/>
        <w:rPr>
          <w:rFonts w:ascii="Times New Roman" w:hAnsi="Times New Roman"/>
          <w:sz w:val="20"/>
        </w:rPr>
      </w:pPr>
      <w:r>
        <w:rPr>
          <w:rFonts w:ascii="Times New Roman" w:hAnsi="Times New Roman"/>
          <w:sz w:val="20"/>
        </w:rPr>
        <w:t>Other income, net consists primarily of interest income earned on our cash, cash equivalents and marketable securities.</w:t>
      </w:r>
    </w:p>
    <w:p>
      <w:pPr>
        <w:pStyle w:val="TextBody"/>
        <w:bidi w:val="0"/>
        <w:spacing w:before="360" w:after="0"/>
        <w:jc w:val="left"/>
        <w:rPr>
          <w:rFonts w:ascii="Times New Roman" w:hAnsi="Times New Roman"/>
          <w:i/>
          <w:sz w:val="20"/>
        </w:rPr>
      </w:pPr>
      <w:r>
        <w:rPr>
          <w:rFonts w:ascii="Times New Roman" w:hAnsi="Times New Roman"/>
          <w:i/>
          <w:sz w:val="20"/>
        </w:rPr>
        <w:t xml:space="preserve">Income Tax Benefit (Expense) </w:t>
      </w:r>
    </w:p>
    <w:p>
      <w:pPr>
        <w:pStyle w:val="TextBody"/>
        <w:bidi w:val="0"/>
        <w:spacing w:before="120" w:after="0"/>
        <w:jc w:val="left"/>
        <w:rPr>
          <w:rFonts w:ascii="Times New Roman" w:hAnsi="Times New Roman"/>
          <w:sz w:val="20"/>
        </w:rPr>
      </w:pPr>
      <w:r>
        <w:rPr>
          <w:rFonts w:ascii="Times New Roman" w:hAnsi="Times New Roman"/>
          <w:sz w:val="20"/>
        </w:rPr>
        <w:t xml:space="preserve">We have historically not incurred significant income taxes. We continue to maintain a full valuation allowance against all of our deferred tax assets based on management’s evaluation of all available evidence, including our history of incurring significant losses from operations. As a result, we do not expect to incur material income taxes for the foreseeable future. </w:t>
      </w:r>
    </w:p>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Comparison of the three months ended June 30, 2026 and 2025</w:t>
      </w:r>
    </w:p>
    <w:p>
      <w:pPr>
        <w:pStyle w:val="TextBody"/>
        <w:bidi w:val="0"/>
        <w:spacing w:before="120" w:after="0"/>
        <w:jc w:val="left"/>
        <w:rPr>
          <w:rFonts w:ascii="Times New Roman" w:hAnsi="Times New Roman"/>
          <w:sz w:val="20"/>
        </w:rPr>
      </w:pPr>
      <w:r>
        <w:rPr>
          <w:rFonts w:ascii="Times New Roman" w:hAnsi="Times New Roman"/>
          <w:sz w:val="20"/>
        </w:rPr>
        <w:t>The following table summarizes our results of operations for the three months ended June 30, 2026 and 2025 (in thousands):</w:t>
      </w:r>
    </w:p>
    <w:p>
      <w:pPr>
        <w:pStyle w:val="TextBody"/>
        <w:bidi w:val="0"/>
        <w:spacing w:before="0" w:after="0"/>
        <w:jc w:val="left"/>
        <w:rPr/>
      </w:pPr>
      <w:r>
        <w:rPr/>
        <w:t> </w:t>
      </w:r>
    </w:p>
    <w:tbl>
      <w:tblPr>
        <w:tblW w:w="5778" w:type="dxa"/>
        <w:jc w:val="left"/>
        <w:tblInd w:w="0" w:type="dxa"/>
        <w:tblLayout w:type="fixed"/>
        <w:tblCellMar>
          <w:top w:w="0" w:type="dxa"/>
          <w:left w:w="0" w:type="dxa"/>
          <w:bottom w:w="0" w:type="dxa"/>
          <w:right w:w="0" w:type="dxa"/>
        </w:tblCellMar>
      </w:tblPr>
      <w:tblGrid>
        <w:gridCol w:w="2375"/>
        <w:gridCol w:w="120"/>
        <w:gridCol w:w="1061"/>
        <w:gridCol w:w="144"/>
        <w:gridCol w:w="973"/>
        <w:gridCol w:w="120"/>
        <w:gridCol w:w="147"/>
        <w:gridCol w:w="668"/>
        <w:gridCol w:w="170"/>
      </w:tblGrid>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3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78" w:type="dxa"/>
            <w:gridSpan w:val="3"/>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Three Months Ended June 30,</w:t>
            </w:r>
          </w:p>
        </w:tc>
        <w:tc>
          <w:tcPr>
            <w:tcW w:w="12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7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1"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2026</w:t>
            </w:r>
          </w:p>
        </w:tc>
        <w:tc>
          <w:tcPr>
            <w:tcW w:w="144" w:type="dxa"/>
            <w:tcBorders/>
            <w:vAlign w:val="center"/>
          </w:tcPr>
          <w:p>
            <w:pPr>
              <w:pStyle w:val="TableContents"/>
              <w:bidi w:val="0"/>
              <w:spacing w:before="0" w:after="283"/>
              <w:jc w:val="left"/>
              <w:rPr/>
            </w:pPr>
            <w:r>
              <w:rPr/>
              <w:t>  </w:t>
            </w:r>
          </w:p>
        </w:tc>
        <w:tc>
          <w:tcPr>
            <w:tcW w:w="973"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2025</w:t>
            </w:r>
          </w:p>
        </w:tc>
        <w:tc>
          <w:tcPr>
            <w:tcW w:w="12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70"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left"/>
              <w:rPr>
                <w:sz w:val="4"/>
                <w:szCs w:val="4"/>
              </w:rPr>
            </w:pPr>
            <w:r>
              <w:rPr>
                <w:sz w:val="4"/>
                <w:szCs w:val="4"/>
              </w:rPr>
            </w:r>
          </w:p>
        </w:tc>
        <w:tc>
          <w:tcPr>
            <w:tcW w:w="144"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668"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right"/>
              <w:rPr/>
            </w:pPr>
            <w:r>
              <w:rPr/>
              <w:t>$21,549</w:t>
            </w:r>
          </w:p>
        </w:tc>
        <w:tc>
          <w:tcPr>
            <w:tcW w:w="144"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283"/>
              <w:jc w:val="right"/>
              <w:rPr/>
            </w:pPr>
            <w:r>
              <w:rPr/>
              <w:t>$22,952</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668" w:type="dxa"/>
            <w:tcBorders/>
            <w:vAlign w:val="center"/>
          </w:tcPr>
          <w:p>
            <w:pPr>
              <w:pStyle w:val="TableContents"/>
              <w:bidi w:val="0"/>
              <w:spacing w:before="0" w:after="283"/>
              <w:jc w:val="right"/>
              <w:rPr/>
            </w:pPr>
            <w:r>
              <w:rPr/>
              <w:t>(1,403</w:t>
            </w:r>
          </w:p>
        </w:tc>
        <w:tc>
          <w:tcPr>
            <w:tcW w:w="170"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4,591</w:t>
            </w:r>
          </w:p>
        </w:tc>
        <w:tc>
          <w:tcPr>
            <w:tcW w:w="144"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5,307</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(716</w:t>
            </w:r>
          </w:p>
        </w:tc>
        <w:tc>
          <w:tcPr>
            <w:tcW w:w="170" w:type="dxa"/>
            <w:tcBorders/>
            <w:shd w:fill="CCEEFF" w:val="clear"/>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61" w:type="dxa"/>
            <w:tcBorders/>
            <w:vAlign w:val="center"/>
          </w:tcPr>
          <w:p>
            <w:pPr>
              <w:pStyle w:val="TableContents"/>
              <w:pBdr>
                <w:top w:val="single" w:sz="2" w:space="1" w:color="000000"/>
              </w:pBdr>
              <w:bidi w:val="0"/>
              <w:spacing w:before="0" w:after="0"/>
              <w:jc w:val="left"/>
              <w:rPr/>
            </w:pPr>
            <w:r>
              <w:rPr/>
              <w:t> </w:t>
            </w:r>
          </w:p>
        </w:tc>
        <w:tc>
          <w:tcPr>
            <w:tcW w:w="144" w:type="dxa"/>
            <w:tcBorders/>
            <w:vAlign w:val="center"/>
          </w:tcPr>
          <w:p>
            <w:pPr>
              <w:pStyle w:val="TableContents"/>
              <w:bidi w:val="0"/>
              <w:spacing w:before="0" w:after="283"/>
              <w:jc w:val="left"/>
              <w:rPr/>
            </w:pPr>
            <w:r>
              <w:rPr/>
              <w:t>  </w:t>
            </w:r>
          </w:p>
        </w:tc>
        <w:tc>
          <w:tcPr>
            <w:tcW w:w="973" w:type="dxa"/>
            <w:tcBorders/>
            <w:vAlign w:val="center"/>
          </w:tcPr>
          <w:p>
            <w:pPr>
              <w:pStyle w:val="TableContents"/>
              <w:pBdr>
                <w:top w:val="single" w:sz="2"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66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right"/>
              <w:rPr/>
            </w:pPr>
            <w:r>
              <w:rPr/>
              <w:t>26,140</w:t>
            </w:r>
          </w:p>
        </w:tc>
        <w:tc>
          <w:tcPr>
            <w:tcW w:w="144"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283"/>
              <w:jc w:val="right"/>
              <w:rPr/>
            </w:pPr>
            <w:r>
              <w:rPr/>
              <w:t>28,259</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(2,119</w:t>
            </w:r>
          </w:p>
        </w:tc>
        <w:tc>
          <w:tcPr>
            <w:tcW w:w="17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61" w:type="dxa"/>
            <w:tcBorders/>
            <w:vAlign w:val="center"/>
          </w:tcPr>
          <w:p>
            <w:pPr>
              <w:pStyle w:val="TableContents"/>
              <w:pBdr>
                <w:top w:val="single" w:sz="2" w:space="1" w:color="000000"/>
              </w:pBdr>
              <w:bidi w:val="0"/>
              <w:spacing w:before="0" w:after="0"/>
              <w:jc w:val="left"/>
              <w:rPr/>
            </w:pPr>
            <w:r>
              <w:rPr/>
              <w:t> </w:t>
            </w:r>
          </w:p>
        </w:tc>
        <w:tc>
          <w:tcPr>
            <w:tcW w:w="144" w:type="dxa"/>
            <w:tcBorders/>
            <w:vAlign w:val="center"/>
          </w:tcPr>
          <w:p>
            <w:pPr>
              <w:pStyle w:val="TableContents"/>
              <w:bidi w:val="0"/>
              <w:spacing w:before="0" w:after="283"/>
              <w:jc w:val="left"/>
              <w:rPr/>
            </w:pPr>
            <w:r>
              <w:rPr/>
              <w:t>  </w:t>
            </w:r>
          </w:p>
        </w:tc>
        <w:tc>
          <w:tcPr>
            <w:tcW w:w="973" w:type="dxa"/>
            <w:tcBorders/>
            <w:vAlign w:val="center"/>
          </w:tcPr>
          <w:p>
            <w:pPr>
              <w:pStyle w:val="TableContents"/>
              <w:pBdr>
                <w:top w:val="single" w:sz="2"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66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2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276</w:t>
            </w:r>
          </w:p>
        </w:tc>
        <w:tc>
          <w:tcPr>
            <w:tcW w:w="144"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1,363</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(1,087</w:t>
            </w:r>
          </w:p>
        </w:tc>
        <w:tc>
          <w:tcPr>
            <w:tcW w:w="170" w:type="dxa"/>
            <w:tcBorders/>
            <w:shd w:fill="CCEEFF" w:val="clear"/>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tax benefit (expense)</w:t>
            </w:r>
          </w:p>
        </w:tc>
        <w:tc>
          <w:tcPr>
            <w:tcW w:w="120"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right"/>
              <w:rPr/>
            </w:pPr>
            <w:r>
              <w:rPr/>
              <w:t>— </w:t>
            </w:r>
          </w:p>
        </w:tc>
        <w:tc>
          <w:tcPr>
            <w:tcW w:w="144"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283"/>
              <w:jc w:val="righ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61" w:type="dxa"/>
            <w:tcBorders/>
            <w:vAlign w:val="center"/>
          </w:tcPr>
          <w:p>
            <w:pPr>
              <w:pStyle w:val="TableContents"/>
              <w:pBdr>
                <w:top w:val="single" w:sz="2" w:space="1" w:color="000000"/>
              </w:pBdr>
              <w:bidi w:val="0"/>
              <w:spacing w:before="0" w:after="0"/>
              <w:jc w:val="left"/>
              <w:rPr/>
            </w:pPr>
            <w:r>
              <w:rPr/>
              <w:t> </w:t>
            </w:r>
          </w:p>
        </w:tc>
        <w:tc>
          <w:tcPr>
            <w:tcW w:w="144" w:type="dxa"/>
            <w:tcBorders/>
            <w:vAlign w:val="center"/>
          </w:tcPr>
          <w:p>
            <w:pPr>
              <w:pStyle w:val="TableContents"/>
              <w:bidi w:val="0"/>
              <w:spacing w:before="0" w:after="283"/>
              <w:jc w:val="left"/>
              <w:rPr/>
            </w:pPr>
            <w:r>
              <w:rPr/>
              <w:t>  </w:t>
            </w:r>
          </w:p>
        </w:tc>
        <w:tc>
          <w:tcPr>
            <w:tcW w:w="973" w:type="dxa"/>
            <w:tcBorders/>
            <w:vAlign w:val="center"/>
          </w:tcPr>
          <w:p>
            <w:pPr>
              <w:pStyle w:val="TableContents"/>
              <w:pBdr>
                <w:top w:val="single" w:sz="2"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66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$(25,864)</w:t>
            </w:r>
          </w:p>
        </w:tc>
        <w:tc>
          <w:tcPr>
            <w:tcW w:w="144"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(26,896)</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668" w:type="dxa"/>
            <w:tcBorders/>
            <w:shd w:fill="CCEEFF" w:val="clear"/>
            <w:vAlign w:val="center"/>
          </w:tcPr>
          <w:p>
            <w:pPr>
              <w:pStyle w:val="TableContents"/>
              <w:bidi w:val="0"/>
              <w:spacing w:before="0" w:after="283"/>
              <w:jc w:val="right"/>
              <w:rPr/>
            </w:pPr>
            <w:r>
              <w:rPr/>
              <w:t>1,032</w:t>
            </w:r>
          </w:p>
        </w:tc>
        <w:tc>
          <w:tcPr>
            <w:tcW w:w="170" w:type="dxa"/>
            <w:tcBorders/>
            <w:shd w:fill="CCEEFF" w:val="clear"/>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61" w:type="dxa"/>
            <w:tcBorders/>
            <w:vAlign w:val="center"/>
          </w:tcPr>
          <w:p>
            <w:pPr>
              <w:pStyle w:val="TableContents"/>
              <w:pBdr>
                <w:top w:val="double" w:sz="6" w:space="1" w:color="000000"/>
              </w:pBdr>
              <w:bidi w:val="0"/>
              <w:spacing w:before="0" w:after="0"/>
              <w:jc w:val="left"/>
              <w:rPr/>
            </w:pPr>
            <w:r>
              <w:rPr/>
              <w:t> </w:t>
            </w:r>
          </w:p>
        </w:tc>
        <w:tc>
          <w:tcPr>
            <w:tcW w:w="144" w:type="dxa"/>
            <w:tcBorders/>
            <w:vAlign w:val="center"/>
          </w:tcPr>
          <w:p>
            <w:pPr>
              <w:pStyle w:val="TableContents"/>
              <w:bidi w:val="0"/>
              <w:spacing w:before="0" w:after="283"/>
              <w:jc w:val="left"/>
              <w:rPr/>
            </w:pPr>
            <w:r>
              <w:rPr/>
              <w:t>  </w:t>
            </w:r>
          </w:p>
        </w:tc>
        <w:tc>
          <w:tcPr>
            <w:tcW w:w="973" w:type="dxa"/>
            <w:tcBorders/>
            <w:vAlign w:val="center"/>
          </w:tcPr>
          <w:p>
            <w:pPr>
              <w:pStyle w:val="TableContents"/>
              <w:pBdr>
                <w:top w:val="double" w:sz="6"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double" w:sz="6" w:space="1" w:color="000000"/>
              </w:pBdr>
              <w:bidi w:val="0"/>
              <w:spacing w:before="0" w:after="0"/>
              <w:jc w:val="left"/>
              <w:rPr/>
            </w:pPr>
            <w:r>
              <w:rPr/>
              <w:t> </w:t>
            </w:r>
          </w:p>
        </w:tc>
        <w:tc>
          <w:tcPr>
            <w:tcW w:w="668"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research and development costs for each of the periods presented (in thousands): </w:t>
      </w:r>
    </w:p>
    <w:p>
      <w:pPr>
        <w:pStyle w:val="TextBody"/>
        <w:bidi w:val="0"/>
        <w:spacing w:before="0" w:after="0"/>
        <w:jc w:val="left"/>
        <w:rPr/>
      </w:pPr>
      <w:r>
        <w:rPr/>
        <w:t> </w:t>
      </w:r>
    </w:p>
    <w:tbl>
      <w:tblPr>
        <w:tblW w:w="9498" w:type="dxa"/>
        <w:jc w:val="left"/>
        <w:tblInd w:w="0" w:type="dxa"/>
        <w:tblLayout w:type="fixed"/>
        <w:tblCellMar>
          <w:top w:w="0" w:type="dxa"/>
          <w:left w:w="0" w:type="dxa"/>
          <w:bottom w:w="0" w:type="dxa"/>
          <w:right w:w="0" w:type="dxa"/>
        </w:tblCellMar>
      </w:tblPr>
      <w:tblGrid>
        <w:gridCol w:w="6095"/>
        <w:gridCol w:w="120"/>
        <w:gridCol w:w="1013"/>
        <w:gridCol w:w="151"/>
        <w:gridCol w:w="1014"/>
        <w:gridCol w:w="120"/>
        <w:gridCol w:w="147"/>
        <w:gridCol w:w="668"/>
        <w:gridCol w:w="170"/>
      </w:tblGrid>
      <w:tr>
        <w:trPr/>
        <w:tc>
          <w:tcPr>
            <w:tcW w:w="6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0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78" w:type="dxa"/>
            <w:gridSpan w:val="3"/>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Three Months Ended June 30,</w:t>
            </w:r>
          </w:p>
        </w:tc>
        <w:tc>
          <w:tcPr>
            <w:tcW w:w="12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70" w:type="dxa"/>
            <w:tcBorders/>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3"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2026</w:t>
            </w:r>
          </w:p>
        </w:tc>
        <w:tc>
          <w:tcPr>
            <w:tcW w:w="151" w:type="dxa"/>
            <w:tcBorders/>
            <w:vAlign w:val="center"/>
          </w:tcPr>
          <w:p>
            <w:pPr>
              <w:pStyle w:val="TableContents"/>
              <w:bidi w:val="0"/>
              <w:spacing w:before="0" w:after="283"/>
              <w:jc w:val="left"/>
              <w:rPr/>
            </w:pPr>
            <w:r>
              <w:rPr/>
              <w:t>  </w:t>
            </w:r>
          </w:p>
        </w:tc>
        <w:tc>
          <w:tcPr>
            <w:tcW w:w="1014"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2025</w:t>
            </w:r>
          </w:p>
        </w:tc>
        <w:tc>
          <w:tcPr>
            <w:tcW w:w="12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70" w:type="dxa"/>
            <w:tcBorders/>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Clinical and manufacturing activities</w:t>
            </w:r>
          </w:p>
        </w:tc>
        <w:tc>
          <w:tcPr>
            <w:tcW w:w="120"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$12,637</w:t>
            </w:r>
          </w:p>
        </w:tc>
        <w:tc>
          <w:tcPr>
            <w:tcW w:w="151"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pPr>
            <w:r>
              <w:rPr/>
              <w:t>$12,428</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668" w:type="dxa"/>
            <w:tcBorders/>
            <w:shd w:fill="CCEEFF" w:val="clear"/>
            <w:vAlign w:val="center"/>
          </w:tcPr>
          <w:p>
            <w:pPr>
              <w:pStyle w:val="TableContents"/>
              <w:bidi w:val="0"/>
              <w:spacing w:before="0" w:after="283"/>
              <w:jc w:val="right"/>
              <w:rPr/>
            </w:pPr>
            <w:r>
              <w:rPr/>
              <w:t>209</w:t>
            </w:r>
          </w:p>
        </w:tc>
        <w:tc>
          <w:tcPr>
            <w:tcW w:w="170" w:type="dxa"/>
            <w:tcBorders/>
            <w:shd w:fill="CCEEFF" w:val="clear"/>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Compensation and related expenses (including stock-based compensation)</w:t>
            </w:r>
          </w:p>
        </w:tc>
        <w:tc>
          <w:tcPr>
            <w:tcW w:w="120"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6,174</w:t>
            </w:r>
          </w:p>
        </w:tc>
        <w:tc>
          <w:tcPr>
            <w:tcW w:w="151" w:type="dxa"/>
            <w:tcBorders/>
            <w:vAlign w:val="center"/>
          </w:tcPr>
          <w:p>
            <w:pPr>
              <w:pStyle w:val="TableContents"/>
              <w:bidi w:val="0"/>
              <w:spacing w:before="0" w:after="283"/>
              <w:jc w:val="left"/>
              <w:rPr/>
            </w:pPr>
            <w:r>
              <w:rPr/>
              <w:t>  </w:t>
            </w:r>
          </w:p>
        </w:tc>
        <w:tc>
          <w:tcPr>
            <w:tcW w:w="1014" w:type="dxa"/>
            <w:tcBorders/>
            <w:vAlign w:val="center"/>
          </w:tcPr>
          <w:p>
            <w:pPr>
              <w:pStyle w:val="TableContents"/>
              <w:bidi w:val="0"/>
              <w:spacing w:before="0" w:after="283"/>
              <w:jc w:val="right"/>
              <w:rPr/>
            </w:pPr>
            <w:r>
              <w:rPr/>
              <w:t>8,235</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(2,061</w:t>
            </w:r>
          </w:p>
        </w:tc>
        <w:tc>
          <w:tcPr>
            <w:tcW w:w="170" w:type="dxa"/>
            <w:tcBorders/>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Drug discovery and platform</w:t>
            </w:r>
          </w:p>
        </w:tc>
        <w:tc>
          <w:tcPr>
            <w:tcW w:w="120"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51</w:t>
            </w:r>
          </w:p>
        </w:tc>
        <w:tc>
          <w:tcPr>
            <w:tcW w:w="151"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pPr>
            <w:r>
              <w:rPr/>
              <w:t>417</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(366</w:t>
            </w:r>
          </w:p>
        </w:tc>
        <w:tc>
          <w:tcPr>
            <w:tcW w:w="170" w:type="dxa"/>
            <w:tcBorders/>
            <w:shd w:fill="CCEEFF" w:val="clear"/>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Occupancy and all other costs</w:t>
            </w:r>
          </w:p>
        </w:tc>
        <w:tc>
          <w:tcPr>
            <w:tcW w:w="120"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2,687</w:t>
            </w:r>
          </w:p>
        </w:tc>
        <w:tc>
          <w:tcPr>
            <w:tcW w:w="151" w:type="dxa"/>
            <w:tcBorders/>
            <w:vAlign w:val="center"/>
          </w:tcPr>
          <w:p>
            <w:pPr>
              <w:pStyle w:val="TableContents"/>
              <w:bidi w:val="0"/>
              <w:spacing w:before="0" w:after="283"/>
              <w:jc w:val="left"/>
              <w:rPr/>
            </w:pPr>
            <w:r>
              <w:rPr/>
              <w:t>  </w:t>
            </w:r>
          </w:p>
        </w:tc>
        <w:tc>
          <w:tcPr>
            <w:tcW w:w="1014" w:type="dxa"/>
            <w:tcBorders/>
            <w:vAlign w:val="center"/>
          </w:tcPr>
          <w:p>
            <w:pPr>
              <w:pStyle w:val="TableContents"/>
              <w:bidi w:val="0"/>
              <w:spacing w:before="0" w:after="283"/>
              <w:jc w:val="right"/>
              <w:rPr/>
            </w:pPr>
            <w:r>
              <w:rPr/>
              <w:t>1,872</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815</w:t>
            </w:r>
          </w:p>
        </w:tc>
        <w:tc>
          <w:tcPr>
            <w:tcW w:w="170" w:type="dxa"/>
            <w:tcBorders/>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13" w:type="dxa"/>
            <w:tcBorders/>
            <w:vAlign w:val="center"/>
          </w:tcPr>
          <w:p>
            <w:pPr>
              <w:pStyle w:val="TableContents"/>
              <w:pBdr>
                <w:top w:val="single" w:sz="2" w:space="1" w:color="000000"/>
              </w:pBdr>
              <w:bidi w:val="0"/>
              <w:spacing w:before="0" w:after="0"/>
              <w:jc w:val="left"/>
              <w:rPr/>
            </w:pPr>
            <w:r>
              <w:rPr/>
              <w:t> </w:t>
            </w:r>
          </w:p>
        </w:tc>
        <w:tc>
          <w:tcPr>
            <w:tcW w:w="151" w:type="dxa"/>
            <w:tcBorders/>
            <w:vAlign w:val="center"/>
          </w:tcPr>
          <w:p>
            <w:pPr>
              <w:pStyle w:val="TableContents"/>
              <w:bidi w:val="0"/>
              <w:spacing w:before="0" w:after="283"/>
              <w:jc w:val="left"/>
              <w:rPr/>
            </w:pPr>
            <w:r>
              <w:rPr/>
              <w:t>  </w:t>
            </w:r>
          </w:p>
        </w:tc>
        <w:tc>
          <w:tcPr>
            <w:tcW w:w="1014" w:type="dxa"/>
            <w:tcBorders/>
            <w:vAlign w:val="center"/>
          </w:tcPr>
          <w:p>
            <w:pPr>
              <w:pStyle w:val="TableContents"/>
              <w:pBdr>
                <w:top w:val="single" w:sz="2"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66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120"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$21,549</w:t>
            </w:r>
          </w:p>
        </w:tc>
        <w:tc>
          <w:tcPr>
            <w:tcW w:w="151"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pPr>
            <w:r>
              <w:rPr/>
              <w:t>$22,952</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668" w:type="dxa"/>
            <w:tcBorders/>
            <w:shd w:fill="CCEEFF" w:val="clear"/>
            <w:vAlign w:val="center"/>
          </w:tcPr>
          <w:p>
            <w:pPr>
              <w:pStyle w:val="TableContents"/>
              <w:bidi w:val="0"/>
              <w:spacing w:before="0" w:after="283"/>
              <w:jc w:val="right"/>
              <w:rPr/>
            </w:pPr>
            <w:r>
              <w:rPr/>
              <w:t>(1,403</w:t>
            </w:r>
          </w:p>
        </w:tc>
        <w:tc>
          <w:tcPr>
            <w:tcW w:w="170" w:type="dxa"/>
            <w:tcBorders/>
            <w:shd w:fill="CCEEFF" w:val="clear"/>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13" w:type="dxa"/>
            <w:tcBorders/>
            <w:vAlign w:val="center"/>
          </w:tcPr>
          <w:p>
            <w:pPr>
              <w:pStyle w:val="TableContents"/>
              <w:pBdr>
                <w:top w:val="double" w:sz="6" w:space="1" w:color="000000"/>
              </w:pBdr>
              <w:bidi w:val="0"/>
              <w:spacing w:before="0" w:after="0"/>
              <w:jc w:val="left"/>
              <w:rPr/>
            </w:pPr>
            <w:r>
              <w:rPr/>
              <w:t> </w:t>
            </w:r>
          </w:p>
        </w:tc>
        <w:tc>
          <w:tcPr>
            <w:tcW w:w="151" w:type="dxa"/>
            <w:tcBorders/>
            <w:vAlign w:val="center"/>
          </w:tcPr>
          <w:p>
            <w:pPr>
              <w:pStyle w:val="TableContents"/>
              <w:bidi w:val="0"/>
              <w:spacing w:before="0" w:after="283"/>
              <w:jc w:val="left"/>
              <w:rPr/>
            </w:pPr>
            <w:r>
              <w:rPr/>
              <w:t>  </w:t>
            </w:r>
          </w:p>
        </w:tc>
        <w:tc>
          <w:tcPr>
            <w:tcW w:w="1014" w:type="dxa"/>
            <w:tcBorders/>
            <w:vAlign w:val="center"/>
          </w:tcPr>
          <w:p>
            <w:pPr>
              <w:pStyle w:val="TableContents"/>
              <w:pBdr>
                <w:top w:val="double" w:sz="6"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double" w:sz="6" w:space="1" w:color="000000"/>
              </w:pBdr>
              <w:bidi w:val="0"/>
              <w:spacing w:before="0" w:after="0"/>
              <w:jc w:val="left"/>
              <w:rPr/>
            </w:pPr>
            <w:r>
              <w:rPr/>
              <w:t> </w:t>
            </w:r>
          </w:p>
        </w:tc>
        <w:tc>
          <w:tcPr>
            <w:tcW w:w="668"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expenses were $21.5 million for the three months ended June 30, 2026, compared to $23.0 million for the three months ended June 30, 2025. The decrease of $1.4 million was primarily due to lower personnel-related expenses resulting from organizational actions taken to streamline operations and align our cost structure with current business needs.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General and Administrative Expenses</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were $4.6 million for the three months ended June 30, 2026, compared to $5.3 million for the three months ended June 30, 2025. The decrease of $0.7 million was primarily due to a decrease in compensation and related activities. These decreases were primarily related to organizational actions taken to streamline operations and align our cost structure with current business needs. </w:t>
      </w:r>
    </w:p>
    <w:p>
      <w:pPr>
        <w:pStyle w:val="TextBody"/>
        <w:bidi w:val="0"/>
        <w:spacing w:before="360" w:after="0"/>
        <w:jc w:val="left"/>
        <w:rPr>
          <w:rFonts w:ascii="Times New Roman" w:hAnsi="Times New Roman"/>
          <w:i/>
          <w:sz w:val="20"/>
        </w:rPr>
      </w:pPr>
      <w:r>
        <w:rPr>
          <w:rFonts w:ascii="Times New Roman" w:hAnsi="Times New Roman"/>
          <w:i/>
          <w:sz w:val="20"/>
        </w:rPr>
        <w:t>Other Income, net</w:t>
      </w:r>
    </w:p>
    <w:p>
      <w:pPr>
        <w:pStyle w:val="TextBody"/>
        <w:bidi w:val="0"/>
        <w:spacing w:before="120" w:after="0"/>
        <w:jc w:val="left"/>
        <w:rPr>
          <w:rFonts w:ascii="Times New Roman" w:hAnsi="Times New Roman"/>
          <w:sz w:val="20"/>
        </w:rPr>
      </w:pPr>
      <w:r>
        <w:rPr>
          <w:rFonts w:ascii="Times New Roman" w:hAnsi="Times New Roman"/>
          <w:sz w:val="20"/>
        </w:rPr>
        <w:t xml:space="preserve">Other income, net was $0.3 million for the three months ended June 30, 2026, compared to $1.4 million for the three months ended June 30, 2025. The decrease of $1.1 million was due to decreased interest income based on a lower marketable securities balance in 2026 compared to 2025. </w:t>
      </w:r>
    </w:p>
    <w:p>
      <w:pPr>
        <w:pStyle w:val="TextBody"/>
        <w:bidi w:val="0"/>
        <w:spacing w:before="360" w:after="0"/>
        <w:jc w:val="left"/>
        <w:rPr>
          <w:rFonts w:ascii="Times New Roman" w:hAnsi="Times New Roman"/>
          <w:b/>
          <w:i/>
          <w:sz w:val="20"/>
        </w:rPr>
      </w:pPr>
      <w:r>
        <w:rPr>
          <w:rFonts w:ascii="Times New Roman" w:hAnsi="Times New Roman"/>
          <w:b/>
          <w:i/>
          <w:sz w:val="20"/>
        </w:rPr>
        <w:t>Comparison of the six months ended June 30, 2026 and 2025</w:t>
      </w:r>
    </w:p>
    <w:p>
      <w:pPr>
        <w:pStyle w:val="TextBody"/>
        <w:bidi w:val="0"/>
        <w:spacing w:before="120" w:after="0"/>
        <w:jc w:val="left"/>
        <w:rPr>
          <w:rFonts w:ascii="Times New Roman" w:hAnsi="Times New Roman"/>
          <w:sz w:val="20"/>
        </w:rPr>
      </w:pPr>
      <w:r>
        <w:rPr>
          <w:rFonts w:ascii="Times New Roman" w:hAnsi="Times New Roman"/>
          <w:sz w:val="20"/>
        </w:rPr>
        <w:t>The following table summarizes our results of operations for the six months ended June 30, 2026 and 2025 (in thousands):</w:t>
      </w:r>
    </w:p>
    <w:p>
      <w:pPr>
        <w:pStyle w:val="TextBody"/>
        <w:bidi w:val="0"/>
        <w:spacing w:before="0" w:after="0"/>
        <w:jc w:val="left"/>
        <w:rPr/>
      </w:pPr>
      <w:r>
        <w:rPr/>
        <w:t> </w:t>
      </w:r>
    </w:p>
    <w:tbl>
      <w:tblPr>
        <w:tblW w:w="5584" w:type="dxa"/>
        <w:jc w:val="left"/>
        <w:tblInd w:w="0" w:type="dxa"/>
        <w:tblLayout w:type="fixed"/>
        <w:tblCellMar>
          <w:top w:w="0" w:type="dxa"/>
          <w:left w:w="0" w:type="dxa"/>
          <w:bottom w:w="0" w:type="dxa"/>
          <w:right w:w="0" w:type="dxa"/>
        </w:tblCellMar>
      </w:tblPr>
      <w:tblGrid>
        <w:gridCol w:w="2375"/>
        <w:gridCol w:w="120"/>
        <w:gridCol w:w="992"/>
        <w:gridCol w:w="125"/>
        <w:gridCol w:w="867"/>
        <w:gridCol w:w="120"/>
        <w:gridCol w:w="147"/>
        <w:gridCol w:w="668"/>
        <w:gridCol w:w="170"/>
      </w:tblGrid>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3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84" w:type="dxa"/>
            <w:gridSpan w:val="3"/>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Six Months Ended June 30,</w:t>
            </w:r>
          </w:p>
        </w:tc>
        <w:tc>
          <w:tcPr>
            <w:tcW w:w="12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7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2026</w:t>
            </w:r>
          </w:p>
        </w:tc>
        <w:tc>
          <w:tcPr>
            <w:tcW w:w="125" w:type="dxa"/>
            <w:tcBorders/>
            <w:vAlign w:val="center"/>
          </w:tcPr>
          <w:p>
            <w:pPr>
              <w:pStyle w:val="TableContents"/>
              <w:bidi w:val="0"/>
              <w:spacing w:before="0" w:after="283"/>
              <w:jc w:val="left"/>
              <w:rPr/>
            </w:pPr>
            <w:r>
              <w:rPr/>
              <w:t>  </w:t>
            </w:r>
          </w:p>
        </w:tc>
        <w:tc>
          <w:tcPr>
            <w:tcW w:w="86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2025</w:t>
            </w:r>
          </w:p>
        </w:tc>
        <w:tc>
          <w:tcPr>
            <w:tcW w:w="12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70"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668"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pPr>
            <w:r>
              <w:rPr/>
              <w:t>$37,281</w:t>
            </w:r>
          </w:p>
        </w:tc>
        <w:tc>
          <w:tcPr>
            <w:tcW w:w="125"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right"/>
              <w:rPr/>
            </w:pPr>
            <w:r>
              <w:rPr/>
              <w:t>$44,078</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668" w:type="dxa"/>
            <w:tcBorders/>
            <w:vAlign w:val="center"/>
          </w:tcPr>
          <w:p>
            <w:pPr>
              <w:pStyle w:val="TableContents"/>
              <w:bidi w:val="0"/>
              <w:spacing w:before="0" w:after="283"/>
              <w:jc w:val="right"/>
              <w:rPr/>
            </w:pPr>
            <w:r>
              <w:rPr/>
              <w:t>(6,797</w:t>
            </w:r>
          </w:p>
        </w:tc>
        <w:tc>
          <w:tcPr>
            <w:tcW w:w="170"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9,139</w:t>
            </w:r>
          </w:p>
        </w:tc>
        <w:tc>
          <w:tcPr>
            <w:tcW w:w="125"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10,784</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(1,645</w:t>
            </w:r>
          </w:p>
        </w:tc>
        <w:tc>
          <w:tcPr>
            <w:tcW w:w="170" w:type="dxa"/>
            <w:tcBorders/>
            <w:shd w:fill="CCEEFF" w:val="clear"/>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92"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867" w:type="dxa"/>
            <w:tcBorders/>
            <w:vAlign w:val="center"/>
          </w:tcPr>
          <w:p>
            <w:pPr>
              <w:pStyle w:val="TableContents"/>
              <w:pBdr>
                <w:top w:val="single" w:sz="2"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66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pPr>
            <w:r>
              <w:rPr/>
              <w:t>46,420</w:t>
            </w:r>
          </w:p>
        </w:tc>
        <w:tc>
          <w:tcPr>
            <w:tcW w:w="125"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right"/>
              <w:rPr/>
            </w:pPr>
            <w:r>
              <w:rPr/>
              <w:t>54,862</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(8,442</w:t>
            </w:r>
          </w:p>
        </w:tc>
        <w:tc>
          <w:tcPr>
            <w:tcW w:w="17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92"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867" w:type="dxa"/>
            <w:tcBorders/>
            <w:vAlign w:val="center"/>
          </w:tcPr>
          <w:p>
            <w:pPr>
              <w:pStyle w:val="TableContents"/>
              <w:pBdr>
                <w:top w:val="single" w:sz="2"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66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20"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923</w:t>
            </w:r>
          </w:p>
        </w:tc>
        <w:tc>
          <w:tcPr>
            <w:tcW w:w="125"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2,980</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(2,057</w:t>
            </w:r>
          </w:p>
        </w:tc>
        <w:tc>
          <w:tcPr>
            <w:tcW w:w="170" w:type="dxa"/>
            <w:tcBorders/>
            <w:shd w:fill="CCEEFF" w:val="clear"/>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tax benefit (expense)</w:t>
            </w:r>
          </w:p>
        </w:tc>
        <w:tc>
          <w:tcPr>
            <w:tcW w:w="120"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righ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92"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867" w:type="dxa"/>
            <w:tcBorders/>
            <w:vAlign w:val="center"/>
          </w:tcPr>
          <w:p>
            <w:pPr>
              <w:pStyle w:val="TableContents"/>
              <w:pBdr>
                <w:top w:val="single" w:sz="2"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66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$(45,497)</w:t>
            </w:r>
          </w:p>
        </w:tc>
        <w:tc>
          <w:tcPr>
            <w:tcW w:w="125"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(51,882)</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668" w:type="dxa"/>
            <w:tcBorders/>
            <w:shd w:fill="CCEEFF" w:val="clear"/>
            <w:vAlign w:val="center"/>
          </w:tcPr>
          <w:p>
            <w:pPr>
              <w:pStyle w:val="TableContents"/>
              <w:bidi w:val="0"/>
              <w:spacing w:before="0" w:after="283"/>
              <w:jc w:val="right"/>
              <w:rPr/>
            </w:pPr>
            <w:r>
              <w:rPr/>
              <w:t>6,385</w:t>
            </w:r>
          </w:p>
        </w:tc>
        <w:tc>
          <w:tcPr>
            <w:tcW w:w="170" w:type="dxa"/>
            <w:tcBorders/>
            <w:shd w:fill="CCEEFF" w:val="clear"/>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92" w:type="dxa"/>
            <w:tcBorders/>
            <w:vAlign w:val="center"/>
          </w:tcPr>
          <w:p>
            <w:pPr>
              <w:pStyle w:val="TableContents"/>
              <w:pBdr>
                <w:top w:val="double" w:sz="6"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867" w:type="dxa"/>
            <w:tcBorders/>
            <w:vAlign w:val="center"/>
          </w:tcPr>
          <w:p>
            <w:pPr>
              <w:pStyle w:val="TableContents"/>
              <w:pBdr>
                <w:top w:val="double" w:sz="6"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double" w:sz="6" w:space="1" w:color="000000"/>
              </w:pBdr>
              <w:bidi w:val="0"/>
              <w:spacing w:before="0" w:after="0"/>
              <w:jc w:val="left"/>
              <w:rPr/>
            </w:pPr>
            <w:r>
              <w:rPr/>
              <w:t> </w:t>
            </w:r>
          </w:p>
        </w:tc>
        <w:tc>
          <w:tcPr>
            <w:tcW w:w="668"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research and development costs for each of the periods presented (in thousands): </w:t>
      </w:r>
    </w:p>
    <w:p>
      <w:pPr>
        <w:pStyle w:val="TextBody"/>
        <w:bidi w:val="0"/>
        <w:spacing w:before="0" w:after="0"/>
        <w:jc w:val="left"/>
        <w:rPr/>
      </w:pPr>
      <w:r>
        <w:rPr/>
        <w:t> </w:t>
      </w:r>
    </w:p>
    <w:tbl>
      <w:tblPr>
        <w:tblW w:w="9304" w:type="dxa"/>
        <w:jc w:val="left"/>
        <w:tblInd w:w="0" w:type="dxa"/>
        <w:tblLayout w:type="fixed"/>
        <w:tblCellMar>
          <w:top w:w="0" w:type="dxa"/>
          <w:left w:w="0" w:type="dxa"/>
          <w:bottom w:w="0" w:type="dxa"/>
          <w:right w:w="0" w:type="dxa"/>
        </w:tblCellMar>
      </w:tblPr>
      <w:tblGrid>
        <w:gridCol w:w="6095"/>
        <w:gridCol w:w="120"/>
        <w:gridCol w:w="923"/>
        <w:gridCol w:w="138"/>
        <w:gridCol w:w="923"/>
        <w:gridCol w:w="120"/>
        <w:gridCol w:w="147"/>
        <w:gridCol w:w="668"/>
        <w:gridCol w:w="170"/>
      </w:tblGrid>
      <w:tr>
        <w:trPr/>
        <w:tc>
          <w:tcPr>
            <w:tcW w:w="6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0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84" w:type="dxa"/>
            <w:gridSpan w:val="3"/>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Six Months Ended June 30,</w:t>
            </w:r>
          </w:p>
        </w:tc>
        <w:tc>
          <w:tcPr>
            <w:tcW w:w="12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70" w:type="dxa"/>
            <w:tcBorders/>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3"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2026</w:t>
            </w:r>
          </w:p>
        </w:tc>
        <w:tc>
          <w:tcPr>
            <w:tcW w:w="138" w:type="dxa"/>
            <w:tcBorders/>
            <w:vAlign w:val="center"/>
          </w:tcPr>
          <w:p>
            <w:pPr>
              <w:pStyle w:val="TableContents"/>
              <w:bidi w:val="0"/>
              <w:spacing w:before="0" w:after="283"/>
              <w:jc w:val="left"/>
              <w:rPr/>
            </w:pPr>
            <w:r>
              <w:rPr/>
              <w:t>  </w:t>
            </w:r>
          </w:p>
        </w:tc>
        <w:tc>
          <w:tcPr>
            <w:tcW w:w="923"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2025</w:t>
            </w:r>
          </w:p>
        </w:tc>
        <w:tc>
          <w:tcPr>
            <w:tcW w:w="12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70" w:type="dxa"/>
            <w:tcBorders/>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Clinical and manufacturing activities</w:t>
            </w:r>
          </w:p>
        </w:tc>
        <w:tc>
          <w:tcPr>
            <w:tcW w:w="120"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$20,448</w:t>
            </w:r>
          </w:p>
        </w:tc>
        <w:tc>
          <w:tcPr>
            <w:tcW w:w="138"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$24,447</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668" w:type="dxa"/>
            <w:tcBorders/>
            <w:shd w:fill="CCEEFF" w:val="clear"/>
            <w:vAlign w:val="center"/>
          </w:tcPr>
          <w:p>
            <w:pPr>
              <w:pStyle w:val="TableContents"/>
              <w:bidi w:val="0"/>
              <w:spacing w:before="0" w:after="283"/>
              <w:jc w:val="right"/>
              <w:rPr/>
            </w:pPr>
            <w:r>
              <w:rPr/>
              <w:t>(3,999</w:t>
            </w:r>
          </w:p>
        </w:tc>
        <w:tc>
          <w:tcPr>
            <w:tcW w:w="170" w:type="dxa"/>
            <w:tcBorders/>
            <w:shd w:fill="CCEEFF" w:val="clear"/>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Compensation and related expenses (including stock-based compensation)</w:t>
            </w:r>
          </w:p>
        </w:tc>
        <w:tc>
          <w:tcPr>
            <w:tcW w:w="120"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12,102</w:t>
            </w:r>
          </w:p>
        </w:tc>
        <w:tc>
          <w:tcPr>
            <w:tcW w:w="138"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15,149</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(3,047</w:t>
            </w:r>
          </w:p>
        </w:tc>
        <w:tc>
          <w:tcPr>
            <w:tcW w:w="170" w:type="dxa"/>
            <w:tcBorders/>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Drug discovery and platform</w:t>
            </w:r>
          </w:p>
        </w:tc>
        <w:tc>
          <w:tcPr>
            <w:tcW w:w="120"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249</w:t>
            </w:r>
          </w:p>
        </w:tc>
        <w:tc>
          <w:tcPr>
            <w:tcW w:w="138"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567</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(318</w:t>
            </w:r>
          </w:p>
        </w:tc>
        <w:tc>
          <w:tcPr>
            <w:tcW w:w="170" w:type="dxa"/>
            <w:tcBorders/>
            <w:shd w:fill="CCEEFF" w:val="clear"/>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Occupancy and all other costs</w:t>
            </w:r>
          </w:p>
        </w:tc>
        <w:tc>
          <w:tcPr>
            <w:tcW w:w="120"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4,482</w:t>
            </w:r>
          </w:p>
        </w:tc>
        <w:tc>
          <w:tcPr>
            <w:tcW w:w="138"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3,915</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567</w:t>
            </w:r>
          </w:p>
        </w:tc>
        <w:tc>
          <w:tcPr>
            <w:tcW w:w="170" w:type="dxa"/>
            <w:tcBorders/>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3" w:type="dxa"/>
            <w:tcBorders/>
            <w:vAlign w:val="center"/>
          </w:tcPr>
          <w:p>
            <w:pPr>
              <w:pStyle w:val="TableContents"/>
              <w:pBdr>
                <w:top w:val="single" w:sz="2" w:space="1" w:color="000000"/>
              </w:pBdr>
              <w:bidi w:val="0"/>
              <w:spacing w:before="0" w:after="0"/>
              <w:jc w:val="left"/>
              <w:rPr/>
            </w:pPr>
            <w:r>
              <w:rPr/>
              <w:t> </w:t>
            </w:r>
          </w:p>
        </w:tc>
        <w:tc>
          <w:tcPr>
            <w:tcW w:w="138" w:type="dxa"/>
            <w:tcBorders/>
            <w:vAlign w:val="center"/>
          </w:tcPr>
          <w:p>
            <w:pPr>
              <w:pStyle w:val="TableContents"/>
              <w:bidi w:val="0"/>
              <w:spacing w:before="0" w:after="283"/>
              <w:jc w:val="left"/>
              <w:rPr/>
            </w:pPr>
            <w:r>
              <w:rPr/>
              <w:t>  </w:t>
            </w:r>
          </w:p>
        </w:tc>
        <w:tc>
          <w:tcPr>
            <w:tcW w:w="923" w:type="dxa"/>
            <w:tcBorders/>
            <w:vAlign w:val="center"/>
          </w:tcPr>
          <w:p>
            <w:pPr>
              <w:pStyle w:val="TableContents"/>
              <w:pBdr>
                <w:top w:val="single" w:sz="2"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66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120"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$37,281</w:t>
            </w:r>
          </w:p>
        </w:tc>
        <w:tc>
          <w:tcPr>
            <w:tcW w:w="138"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$44,078</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668" w:type="dxa"/>
            <w:tcBorders/>
            <w:shd w:fill="CCEEFF" w:val="clear"/>
            <w:vAlign w:val="center"/>
          </w:tcPr>
          <w:p>
            <w:pPr>
              <w:pStyle w:val="TableContents"/>
              <w:bidi w:val="0"/>
              <w:spacing w:before="0" w:after="283"/>
              <w:jc w:val="right"/>
              <w:rPr/>
            </w:pPr>
            <w:r>
              <w:rPr/>
              <w:t>(6,797</w:t>
            </w:r>
          </w:p>
        </w:tc>
        <w:tc>
          <w:tcPr>
            <w:tcW w:w="170" w:type="dxa"/>
            <w:tcBorders/>
            <w:shd w:fill="CCEEFF" w:val="clear"/>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3" w:type="dxa"/>
            <w:tcBorders/>
            <w:vAlign w:val="center"/>
          </w:tcPr>
          <w:p>
            <w:pPr>
              <w:pStyle w:val="TableContents"/>
              <w:pBdr>
                <w:top w:val="double" w:sz="6" w:space="1" w:color="000000"/>
              </w:pBdr>
              <w:bidi w:val="0"/>
              <w:spacing w:before="0" w:after="0"/>
              <w:jc w:val="left"/>
              <w:rPr/>
            </w:pPr>
            <w:r>
              <w:rPr/>
              <w:t> </w:t>
            </w:r>
          </w:p>
        </w:tc>
        <w:tc>
          <w:tcPr>
            <w:tcW w:w="138" w:type="dxa"/>
            <w:tcBorders/>
            <w:vAlign w:val="center"/>
          </w:tcPr>
          <w:p>
            <w:pPr>
              <w:pStyle w:val="TableContents"/>
              <w:bidi w:val="0"/>
              <w:spacing w:before="0" w:after="283"/>
              <w:jc w:val="left"/>
              <w:rPr/>
            </w:pPr>
            <w:r>
              <w:rPr/>
              <w:t>  </w:t>
            </w:r>
          </w:p>
        </w:tc>
        <w:tc>
          <w:tcPr>
            <w:tcW w:w="923" w:type="dxa"/>
            <w:tcBorders/>
            <w:vAlign w:val="center"/>
          </w:tcPr>
          <w:p>
            <w:pPr>
              <w:pStyle w:val="TableContents"/>
              <w:pBdr>
                <w:top w:val="double" w:sz="6"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double" w:sz="6" w:space="1" w:color="000000"/>
              </w:pBdr>
              <w:bidi w:val="0"/>
              <w:spacing w:before="0" w:after="0"/>
              <w:jc w:val="left"/>
              <w:rPr/>
            </w:pPr>
            <w:r>
              <w:rPr/>
              <w:t> </w:t>
            </w:r>
          </w:p>
        </w:tc>
        <w:tc>
          <w:tcPr>
            <w:tcW w:w="668"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expenses were $37.3 million for the six months ended June 30, 2026, compared to $44.1 million for the six months ended June 30, 2025. The decrease of $6.8 million was primarily due to changes in the timing and level of activities supporting our research and development programs. The decrease was partially offset by higher clinical trial expenses associated with the advancement of our clinical studies, including increased patient enrollment, site activities, and other trial-related costs. </w:t>
      </w:r>
    </w:p>
    <w:p>
      <w:pPr>
        <w:pStyle w:val="TextBody"/>
        <w:bidi w:val="0"/>
        <w:spacing w:before="360" w:after="0"/>
        <w:jc w:val="left"/>
        <w:rPr>
          <w:rFonts w:ascii="Times New Roman" w:hAnsi="Times New Roman"/>
          <w:i/>
          <w:sz w:val="20"/>
        </w:rPr>
      </w:pPr>
      <w:r>
        <w:rPr>
          <w:rFonts w:ascii="Times New Roman" w:hAnsi="Times New Roman"/>
          <w:i/>
          <w:sz w:val="20"/>
        </w:rPr>
        <w:t>General and Administrative Expenses</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were $9.1 million for the six months ended June 30, 2026, compared to $10.8 million for the six months ended June 30, 2025. The decrease of $1.6 million was primarily due to a decrease in compensation and related activities primarily related to organizational actions taken to streamline operations and align our cost structure with current business needs.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Other Income, net</w:t>
      </w:r>
    </w:p>
    <w:p>
      <w:pPr>
        <w:pStyle w:val="TextBody"/>
        <w:bidi w:val="0"/>
        <w:spacing w:before="120" w:after="0"/>
        <w:jc w:val="left"/>
        <w:rPr>
          <w:rFonts w:ascii="Times New Roman" w:hAnsi="Times New Roman"/>
          <w:sz w:val="20"/>
        </w:rPr>
      </w:pPr>
      <w:r>
        <w:rPr>
          <w:rFonts w:ascii="Times New Roman" w:hAnsi="Times New Roman"/>
          <w:sz w:val="20"/>
        </w:rPr>
        <w:t xml:space="preserve">Other income, net was $0.9 million for the six months ended June 30, 2026, compared to $3.0 million for the six months ended June 30, 2025. The decrease of $2.1 million was due to decreased interest income based on a lower marketable securities balance in 2026 compared to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Comparison of the years ended December 31, 2025 and 2024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results of operations for the years ended December 31, 2025 and 2024 (in thousands): </w:t>
      </w:r>
    </w:p>
    <w:p>
      <w:pPr>
        <w:pStyle w:val="TextBody"/>
        <w:bidi w:val="0"/>
        <w:spacing w:before="0" w:after="0"/>
        <w:jc w:val="left"/>
        <w:rPr/>
      </w:pPr>
      <w:r>
        <w:rPr/>
        <w:t> </w:t>
      </w:r>
    </w:p>
    <w:tbl>
      <w:tblPr>
        <w:tblW w:w="6552" w:type="dxa"/>
        <w:jc w:val="left"/>
        <w:tblInd w:w="0" w:type="dxa"/>
        <w:tblLayout w:type="fixed"/>
        <w:tblCellMar>
          <w:top w:w="0" w:type="dxa"/>
          <w:left w:w="0" w:type="dxa"/>
          <w:bottom w:w="0" w:type="dxa"/>
          <w:right w:w="0" w:type="dxa"/>
        </w:tblCellMar>
      </w:tblPr>
      <w:tblGrid>
        <w:gridCol w:w="2375"/>
        <w:gridCol w:w="120"/>
        <w:gridCol w:w="174"/>
        <w:gridCol w:w="1089"/>
        <w:gridCol w:w="192"/>
        <w:gridCol w:w="149"/>
        <w:gridCol w:w="174"/>
        <w:gridCol w:w="939"/>
        <w:gridCol w:w="155"/>
        <w:gridCol w:w="120"/>
        <w:gridCol w:w="140"/>
        <w:gridCol w:w="755"/>
        <w:gridCol w:w="170"/>
      </w:tblGrid>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3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7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92"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11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70"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sz w:val="4"/>
                <w:szCs w:val="4"/>
              </w:rPr>
            </w:pPr>
            <w:r>
              <w:rPr>
                <w:sz w:val="4"/>
                <w:szCs w:val="4"/>
              </w:rPr>
            </w:r>
          </w:p>
        </w:tc>
        <w:tc>
          <w:tcPr>
            <w:tcW w:w="1089" w:type="dxa"/>
            <w:tcBorders/>
            <w:shd w:fill="CCEEFF" w:val="clear"/>
            <w:vAlign w:val="center"/>
          </w:tcPr>
          <w:p>
            <w:pPr>
              <w:pStyle w:val="TableContents"/>
              <w:bidi w:val="0"/>
              <w:spacing w:before="0" w:after="283"/>
              <w:jc w:val="left"/>
              <w:rPr>
                <w:sz w:val="4"/>
                <w:szCs w:val="4"/>
              </w:rPr>
            </w:pPr>
            <w:r>
              <w:rPr>
                <w:sz w:val="4"/>
                <w:szCs w:val="4"/>
              </w:rPr>
            </w:r>
          </w:p>
        </w:tc>
        <w:tc>
          <w:tcPr>
            <w:tcW w:w="192" w:type="dxa"/>
            <w:tcBorders/>
            <w:shd w:fill="CCEEFF" w:val="clear"/>
            <w:vAlign w:val="center"/>
          </w:tcPr>
          <w:p>
            <w:pPr>
              <w:pStyle w:val="TableContents"/>
              <w:bidi w:val="0"/>
              <w:spacing w:before="0" w:after="283"/>
              <w:jc w:val="left"/>
              <w:rPr>
                <w:sz w:val="4"/>
                <w:szCs w:val="4"/>
              </w:rPr>
            </w:pPr>
            <w:r>
              <w:rPr>
                <w:sz w:val="4"/>
                <w:szCs w:val="4"/>
              </w:rPr>
            </w:r>
          </w:p>
        </w:tc>
        <w:tc>
          <w:tcPr>
            <w:tcW w:w="149"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sz w:val="4"/>
                <w:szCs w:val="4"/>
              </w:rPr>
            </w:pPr>
            <w:r>
              <w:rPr>
                <w:sz w:val="4"/>
                <w:szCs w:val="4"/>
              </w:rPr>
            </w:r>
          </w:p>
        </w:tc>
        <w:tc>
          <w:tcPr>
            <w:tcW w:w="93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w:t>
            </w:r>
          </w:p>
        </w:tc>
        <w:tc>
          <w:tcPr>
            <w:tcW w:w="1089" w:type="dxa"/>
            <w:tcBorders/>
            <w:vAlign w:val="center"/>
          </w:tcPr>
          <w:p>
            <w:pPr>
              <w:pStyle w:val="TableContents"/>
              <w:bidi w:val="0"/>
              <w:spacing w:before="0" w:after="283"/>
              <w:jc w:val="right"/>
              <w:rPr/>
            </w:pPr>
            <w:r>
              <w:rPr/>
              <w:t>86,113</w:t>
            </w:r>
          </w:p>
        </w:tc>
        <w:tc>
          <w:tcPr>
            <w:tcW w:w="192"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w:t>
            </w:r>
          </w:p>
        </w:tc>
        <w:tc>
          <w:tcPr>
            <w:tcW w:w="939" w:type="dxa"/>
            <w:tcBorders/>
            <w:vAlign w:val="center"/>
          </w:tcPr>
          <w:p>
            <w:pPr>
              <w:pStyle w:val="TableContents"/>
              <w:bidi w:val="0"/>
              <w:spacing w:before="0" w:after="283"/>
              <w:jc w:val="right"/>
              <w:rPr/>
            </w:pPr>
            <w:r>
              <w:rPr/>
              <w:t>73,187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12,926</w:t>
            </w:r>
          </w:p>
        </w:tc>
        <w:tc>
          <w:tcPr>
            <w:tcW w:w="170"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19,554</w:t>
            </w:r>
          </w:p>
        </w:tc>
        <w:tc>
          <w:tcPr>
            <w:tcW w:w="192"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18,068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1,486</w:t>
            </w:r>
          </w:p>
        </w:tc>
        <w:tc>
          <w:tcPr>
            <w:tcW w:w="170" w:type="dxa"/>
            <w:tcBorders/>
            <w:shd w:fill="CCEEFF" w:val="clear"/>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pBdr>
                <w:top w:val="single" w:sz="2" w:space="1" w:color="000000"/>
              </w:pBdr>
              <w:bidi w:val="0"/>
              <w:spacing w:before="0" w:after="0"/>
              <w:jc w:val="left"/>
              <w:rPr/>
            </w:pPr>
            <w:r>
              <w:rPr/>
              <w:t> </w:t>
            </w:r>
          </w:p>
        </w:tc>
        <w:tc>
          <w:tcPr>
            <w:tcW w:w="1089" w:type="dxa"/>
            <w:tcBorders/>
            <w:vAlign w:val="center"/>
          </w:tcPr>
          <w:p>
            <w:pPr>
              <w:pStyle w:val="TableContents"/>
              <w:pBdr>
                <w:top w:val="single" w:sz="2" w:space="1" w:color="000000"/>
              </w:pBdr>
              <w:bidi w:val="0"/>
              <w:spacing w:before="0" w:after="0"/>
              <w:jc w:val="left"/>
              <w:rPr/>
            </w:pPr>
            <w:r>
              <w:rPr/>
              <w:t> </w:t>
            </w:r>
          </w:p>
        </w:tc>
        <w:tc>
          <w:tcPr>
            <w:tcW w:w="192"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4" w:type="dxa"/>
            <w:tcBorders/>
            <w:vAlign w:val="center"/>
          </w:tcPr>
          <w:p>
            <w:pPr>
              <w:pStyle w:val="TableContents"/>
              <w:pBdr>
                <w:top w:val="single" w:sz="2" w:space="1" w:color="000000"/>
              </w:pBdr>
              <w:bidi w:val="0"/>
              <w:spacing w:before="0" w:after="0"/>
              <w:jc w:val="left"/>
              <w:rPr/>
            </w:pPr>
            <w:r>
              <w:rPr/>
              <w:t> </w:t>
            </w:r>
          </w:p>
        </w:tc>
        <w:tc>
          <w:tcPr>
            <w:tcW w:w="93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pPr>
            <w:r>
              <w:rPr/>
              <w:t>105,667</w:t>
            </w:r>
          </w:p>
        </w:tc>
        <w:tc>
          <w:tcPr>
            <w:tcW w:w="192"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91,255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14,412</w:t>
            </w:r>
          </w:p>
        </w:tc>
        <w:tc>
          <w:tcPr>
            <w:tcW w:w="17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pBdr>
                <w:top w:val="single" w:sz="2" w:space="1" w:color="000000"/>
              </w:pBdr>
              <w:bidi w:val="0"/>
              <w:spacing w:before="0" w:after="0"/>
              <w:jc w:val="left"/>
              <w:rPr/>
            </w:pPr>
            <w:r>
              <w:rPr/>
              <w:t> </w:t>
            </w:r>
          </w:p>
        </w:tc>
        <w:tc>
          <w:tcPr>
            <w:tcW w:w="1089" w:type="dxa"/>
            <w:tcBorders/>
            <w:vAlign w:val="center"/>
          </w:tcPr>
          <w:p>
            <w:pPr>
              <w:pStyle w:val="TableContents"/>
              <w:pBdr>
                <w:top w:val="single" w:sz="2" w:space="1" w:color="000000"/>
              </w:pBdr>
              <w:bidi w:val="0"/>
              <w:spacing w:before="0" w:after="0"/>
              <w:jc w:val="left"/>
              <w:rPr/>
            </w:pPr>
            <w:r>
              <w:rPr/>
              <w:t> </w:t>
            </w:r>
          </w:p>
        </w:tc>
        <w:tc>
          <w:tcPr>
            <w:tcW w:w="192"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4" w:type="dxa"/>
            <w:tcBorders/>
            <w:vAlign w:val="center"/>
          </w:tcPr>
          <w:p>
            <w:pPr>
              <w:pStyle w:val="TableContents"/>
              <w:pBdr>
                <w:top w:val="single" w:sz="2" w:space="1" w:color="000000"/>
              </w:pBdr>
              <w:bidi w:val="0"/>
              <w:spacing w:before="0" w:after="0"/>
              <w:jc w:val="left"/>
              <w:rPr/>
            </w:pPr>
            <w:r>
              <w:rPr/>
              <w:t> </w:t>
            </w:r>
          </w:p>
        </w:tc>
        <w:tc>
          <w:tcPr>
            <w:tcW w:w="93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5,060</w:t>
            </w:r>
          </w:p>
        </w:tc>
        <w:tc>
          <w:tcPr>
            <w:tcW w:w="192"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8,146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(3,086</w:t>
            </w:r>
          </w:p>
        </w:tc>
        <w:tc>
          <w:tcPr>
            <w:tcW w:w="170" w:type="dxa"/>
            <w:tcBorders/>
            <w:shd w:fill="CCEEFF" w:val="clear"/>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tax benefit (expense)</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pPr>
            <w:r>
              <w:rPr/>
              <w:t>— </w:t>
            </w:r>
          </w:p>
        </w:tc>
        <w:tc>
          <w:tcPr>
            <w:tcW w:w="192"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pBdr>
                <w:top w:val="single" w:sz="2" w:space="1" w:color="000000"/>
              </w:pBdr>
              <w:bidi w:val="0"/>
              <w:spacing w:before="0" w:after="0"/>
              <w:jc w:val="left"/>
              <w:rPr/>
            </w:pPr>
            <w:r>
              <w:rPr/>
              <w:t> </w:t>
            </w:r>
          </w:p>
        </w:tc>
        <w:tc>
          <w:tcPr>
            <w:tcW w:w="1089" w:type="dxa"/>
            <w:tcBorders/>
            <w:vAlign w:val="center"/>
          </w:tcPr>
          <w:p>
            <w:pPr>
              <w:pStyle w:val="TableContents"/>
              <w:pBdr>
                <w:top w:val="single" w:sz="2" w:space="1" w:color="000000"/>
              </w:pBdr>
              <w:bidi w:val="0"/>
              <w:spacing w:before="0" w:after="0"/>
              <w:jc w:val="left"/>
              <w:rPr/>
            </w:pPr>
            <w:r>
              <w:rPr/>
              <w:t> </w:t>
            </w:r>
          </w:p>
        </w:tc>
        <w:tc>
          <w:tcPr>
            <w:tcW w:w="192"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4" w:type="dxa"/>
            <w:tcBorders/>
            <w:vAlign w:val="center"/>
          </w:tcPr>
          <w:p>
            <w:pPr>
              <w:pStyle w:val="TableContents"/>
              <w:pBdr>
                <w:top w:val="single" w:sz="2" w:space="1" w:color="000000"/>
              </w:pBdr>
              <w:bidi w:val="0"/>
              <w:spacing w:before="0" w:after="0"/>
              <w:jc w:val="left"/>
              <w:rPr/>
            </w:pPr>
            <w:r>
              <w:rPr/>
              <w:t> </w:t>
            </w:r>
          </w:p>
        </w:tc>
        <w:tc>
          <w:tcPr>
            <w:tcW w:w="93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1089" w:type="dxa"/>
            <w:tcBorders/>
            <w:shd w:fill="CCEEFF" w:val="clear"/>
            <w:vAlign w:val="center"/>
          </w:tcPr>
          <w:p>
            <w:pPr>
              <w:pStyle w:val="TableContents"/>
              <w:bidi w:val="0"/>
              <w:spacing w:before="0" w:after="283"/>
              <w:jc w:val="right"/>
              <w:rPr/>
            </w:pPr>
            <w:r>
              <w:rPr/>
              <w:t>(100,607</w:t>
            </w:r>
          </w:p>
        </w:tc>
        <w:tc>
          <w:tcPr>
            <w:tcW w:w="192"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939" w:type="dxa"/>
            <w:tcBorders/>
            <w:shd w:fill="CCEEFF" w:val="clear"/>
            <w:vAlign w:val="center"/>
          </w:tcPr>
          <w:p>
            <w:pPr>
              <w:pStyle w:val="TableContents"/>
              <w:bidi w:val="0"/>
              <w:spacing w:before="0" w:after="283"/>
              <w:jc w:val="right"/>
              <w:rPr/>
            </w:pPr>
            <w:r>
              <w:rPr/>
              <w:t>(83,109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(17,498</w:t>
            </w:r>
          </w:p>
        </w:tc>
        <w:tc>
          <w:tcPr>
            <w:tcW w:w="170" w:type="dxa"/>
            <w:tcBorders/>
            <w:shd w:fill="CCEEFF" w:val="clear"/>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pBdr>
                <w:top w:val="double" w:sz="6" w:space="1" w:color="000000"/>
              </w:pBdr>
              <w:bidi w:val="0"/>
              <w:spacing w:before="0" w:after="0"/>
              <w:jc w:val="left"/>
              <w:rPr/>
            </w:pPr>
            <w:r>
              <w:rPr/>
              <w:t> </w:t>
            </w:r>
          </w:p>
        </w:tc>
        <w:tc>
          <w:tcPr>
            <w:tcW w:w="1089" w:type="dxa"/>
            <w:tcBorders/>
            <w:vAlign w:val="center"/>
          </w:tcPr>
          <w:p>
            <w:pPr>
              <w:pStyle w:val="TableContents"/>
              <w:pBdr>
                <w:top w:val="double" w:sz="6" w:space="1" w:color="000000"/>
              </w:pBdr>
              <w:bidi w:val="0"/>
              <w:spacing w:before="0" w:after="0"/>
              <w:jc w:val="left"/>
              <w:rPr/>
            </w:pPr>
            <w:r>
              <w:rPr/>
              <w:t> </w:t>
            </w:r>
          </w:p>
        </w:tc>
        <w:tc>
          <w:tcPr>
            <w:tcW w:w="192"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4" w:type="dxa"/>
            <w:tcBorders/>
            <w:vAlign w:val="center"/>
          </w:tcPr>
          <w:p>
            <w:pPr>
              <w:pStyle w:val="TableContents"/>
              <w:pBdr>
                <w:top w:val="double" w:sz="6" w:space="1" w:color="000000"/>
              </w:pBdr>
              <w:bidi w:val="0"/>
              <w:spacing w:before="0" w:after="0"/>
              <w:jc w:val="left"/>
              <w:rPr/>
            </w:pPr>
            <w:r>
              <w:rPr/>
              <w:t> </w:t>
            </w:r>
          </w:p>
        </w:tc>
        <w:tc>
          <w:tcPr>
            <w:tcW w:w="939"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research and development costs for each of the periods presented (in thousands): </w:t>
      </w:r>
    </w:p>
    <w:p>
      <w:pPr>
        <w:pStyle w:val="TextBody"/>
        <w:bidi w:val="0"/>
        <w:spacing w:before="0" w:after="0"/>
        <w:jc w:val="left"/>
        <w:rPr/>
      </w:pPr>
      <w:r>
        <w:rPr/>
        <w:t> </w:t>
      </w:r>
    </w:p>
    <w:tbl>
      <w:tblPr>
        <w:tblW w:w="10101" w:type="dxa"/>
        <w:jc w:val="left"/>
        <w:tblInd w:w="0" w:type="dxa"/>
        <w:tblLayout w:type="fixed"/>
        <w:tblCellMar>
          <w:top w:w="0" w:type="dxa"/>
          <w:left w:w="0" w:type="dxa"/>
          <w:bottom w:w="0" w:type="dxa"/>
          <w:right w:w="0" w:type="dxa"/>
        </w:tblCellMar>
      </w:tblPr>
      <w:tblGrid>
        <w:gridCol w:w="6095"/>
        <w:gridCol w:w="120"/>
        <w:gridCol w:w="208"/>
        <w:gridCol w:w="1015"/>
        <w:gridCol w:w="88"/>
        <w:gridCol w:w="178"/>
        <w:gridCol w:w="208"/>
        <w:gridCol w:w="1019"/>
        <w:gridCol w:w="60"/>
        <w:gridCol w:w="120"/>
        <w:gridCol w:w="140"/>
        <w:gridCol w:w="680"/>
        <w:gridCol w:w="170"/>
      </w:tblGrid>
      <w:tr>
        <w:trPr/>
        <w:tc>
          <w:tcPr>
            <w:tcW w:w="6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0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1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70" w:type="dxa"/>
            <w:tcBorders/>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8"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22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70" w:type="dxa"/>
            <w:tcBorders/>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Unallocated research and development expenses:</w:t>
            </w:r>
          </w:p>
        </w:tc>
        <w:tc>
          <w:tcPr>
            <w:tcW w:w="12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sz w:val="4"/>
                <w:szCs w:val="4"/>
              </w:rPr>
            </w:pPr>
            <w:r>
              <w:rPr>
                <w:sz w:val="4"/>
                <w:szCs w:val="4"/>
              </w:rPr>
            </w:r>
          </w:p>
        </w:tc>
        <w:tc>
          <w:tcPr>
            <w:tcW w:w="1015" w:type="dxa"/>
            <w:tcBorders/>
            <w:shd w:fill="CCEEFF" w:val="clear"/>
            <w:vAlign w:val="center"/>
          </w:tcPr>
          <w:p>
            <w:pPr>
              <w:pStyle w:val="TableContents"/>
              <w:bidi w:val="0"/>
              <w:spacing w:before="0" w:after="283"/>
              <w:jc w:val="left"/>
              <w:rPr>
                <w:sz w:val="4"/>
                <w:szCs w:val="4"/>
              </w:rPr>
            </w:pPr>
            <w:r>
              <w:rPr>
                <w:sz w:val="4"/>
                <w:szCs w:val="4"/>
              </w:rPr>
            </w:r>
          </w:p>
        </w:tc>
        <w:tc>
          <w:tcPr>
            <w:tcW w:w="88" w:type="dxa"/>
            <w:tcBorders/>
            <w:shd w:fill="CCEEFF" w:val="clear"/>
            <w:vAlign w:val="center"/>
          </w:tcPr>
          <w:p>
            <w:pPr>
              <w:pStyle w:val="TableContents"/>
              <w:bidi w:val="0"/>
              <w:spacing w:before="0" w:after="283"/>
              <w:jc w:val="left"/>
              <w:rPr>
                <w:sz w:val="4"/>
                <w:szCs w:val="4"/>
              </w:rPr>
            </w:pPr>
            <w:r>
              <w:rPr>
                <w:sz w:val="4"/>
                <w:szCs w:val="4"/>
              </w:rPr>
            </w:r>
          </w:p>
        </w:tc>
        <w:tc>
          <w:tcPr>
            <w:tcW w:w="178"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sz w:val="4"/>
                <w:szCs w:val="4"/>
              </w:rPr>
            </w:pPr>
            <w:r>
              <w:rPr>
                <w:sz w:val="4"/>
                <w:szCs w:val="4"/>
              </w:rPr>
            </w:r>
          </w:p>
        </w:tc>
        <w:tc>
          <w:tcPr>
            <w:tcW w:w="101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Clinical and manufacturing activities</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w:t>
            </w:r>
          </w:p>
        </w:tc>
        <w:tc>
          <w:tcPr>
            <w:tcW w:w="1015" w:type="dxa"/>
            <w:tcBorders/>
            <w:vAlign w:val="center"/>
          </w:tcPr>
          <w:p>
            <w:pPr>
              <w:pStyle w:val="TableContents"/>
              <w:bidi w:val="0"/>
              <w:spacing w:before="0" w:after="283"/>
              <w:jc w:val="right"/>
              <w:rPr/>
            </w:pPr>
            <w:r>
              <w:rPr/>
              <w:t>52,065</w:t>
            </w:r>
          </w:p>
        </w:tc>
        <w:tc>
          <w:tcPr>
            <w:tcW w:w="88"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w:t>
            </w:r>
          </w:p>
        </w:tc>
        <w:tc>
          <w:tcPr>
            <w:tcW w:w="1019" w:type="dxa"/>
            <w:tcBorders/>
            <w:vAlign w:val="center"/>
          </w:tcPr>
          <w:p>
            <w:pPr>
              <w:pStyle w:val="TableContents"/>
              <w:bidi w:val="0"/>
              <w:spacing w:before="0" w:after="283"/>
              <w:jc w:val="right"/>
              <w:rPr/>
            </w:pPr>
            <w:r>
              <w:rPr/>
              <w:t>36,831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15,234</w:t>
            </w:r>
          </w:p>
        </w:tc>
        <w:tc>
          <w:tcPr>
            <w:tcW w:w="170" w:type="dxa"/>
            <w:tcBorders/>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Compensation and related expenses (including stock-based compensation)</w:t>
            </w:r>
          </w:p>
        </w:tc>
        <w:tc>
          <w:tcPr>
            <w:tcW w:w="12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25,561</w:t>
            </w:r>
          </w:p>
        </w:tc>
        <w:tc>
          <w:tcPr>
            <w:tcW w:w="88"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27,475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(1,914</w:t>
            </w:r>
          </w:p>
        </w:tc>
        <w:tc>
          <w:tcPr>
            <w:tcW w:w="170" w:type="dxa"/>
            <w:tcBorders/>
            <w:shd w:fill="CCEEFF" w:val="clear"/>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Drug discovery and platform</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1,026</w:t>
            </w:r>
          </w:p>
        </w:tc>
        <w:tc>
          <w:tcPr>
            <w:tcW w:w="88"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019" w:type="dxa"/>
            <w:tcBorders/>
            <w:vAlign w:val="center"/>
          </w:tcPr>
          <w:p>
            <w:pPr>
              <w:pStyle w:val="TableContents"/>
              <w:bidi w:val="0"/>
              <w:spacing w:before="0" w:after="283"/>
              <w:jc w:val="right"/>
              <w:rPr/>
            </w:pPr>
            <w:r>
              <w:rPr/>
              <w:t>844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182</w:t>
            </w:r>
          </w:p>
        </w:tc>
        <w:tc>
          <w:tcPr>
            <w:tcW w:w="170" w:type="dxa"/>
            <w:tcBorders/>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Occupancy and all other costs</w:t>
            </w:r>
          </w:p>
        </w:tc>
        <w:tc>
          <w:tcPr>
            <w:tcW w:w="12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7,461</w:t>
            </w:r>
          </w:p>
        </w:tc>
        <w:tc>
          <w:tcPr>
            <w:tcW w:w="88"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8,037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(576</w:t>
            </w:r>
          </w:p>
        </w:tc>
        <w:tc>
          <w:tcPr>
            <w:tcW w:w="170" w:type="dxa"/>
            <w:tcBorders/>
            <w:shd w:fill="CCEEFF" w:val="clear"/>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pBdr>
                <w:top w:val="single" w:sz="2" w:space="1" w:color="000000"/>
              </w:pBdr>
              <w:bidi w:val="0"/>
              <w:spacing w:before="0" w:after="0"/>
              <w:jc w:val="left"/>
              <w:rPr/>
            </w:pPr>
            <w:r>
              <w:rPr/>
              <w:t> </w:t>
            </w:r>
          </w:p>
        </w:tc>
        <w:tc>
          <w:tcPr>
            <w:tcW w:w="1015" w:type="dxa"/>
            <w:tcBorders/>
            <w:vAlign w:val="center"/>
          </w:tcPr>
          <w:p>
            <w:pPr>
              <w:pStyle w:val="TableContents"/>
              <w:pBdr>
                <w:top w:val="single" w:sz="2" w:space="1" w:color="000000"/>
              </w:pBdr>
              <w:bidi w:val="0"/>
              <w:spacing w:before="0" w:after="0"/>
              <w:jc w:val="left"/>
              <w:rPr/>
            </w:pPr>
            <w:r>
              <w:rPr/>
              <w:t> </w:t>
            </w:r>
          </w:p>
        </w:tc>
        <w:tc>
          <w:tcPr>
            <w:tcW w:w="88"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208" w:type="dxa"/>
            <w:tcBorders/>
            <w:vAlign w:val="center"/>
          </w:tcPr>
          <w:p>
            <w:pPr>
              <w:pStyle w:val="TableContents"/>
              <w:pBdr>
                <w:top w:val="single" w:sz="2" w:space="1" w:color="000000"/>
              </w:pBdr>
              <w:bidi w:val="0"/>
              <w:spacing w:before="0" w:after="0"/>
              <w:jc w:val="left"/>
              <w:rPr/>
            </w:pPr>
            <w:r>
              <w:rPr/>
              <w:t> </w:t>
            </w:r>
          </w:p>
        </w:tc>
        <w:tc>
          <w:tcPr>
            <w:tcW w:w="1019"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w:t>
            </w:r>
          </w:p>
        </w:tc>
        <w:tc>
          <w:tcPr>
            <w:tcW w:w="1015" w:type="dxa"/>
            <w:tcBorders/>
            <w:vAlign w:val="center"/>
          </w:tcPr>
          <w:p>
            <w:pPr>
              <w:pStyle w:val="TableContents"/>
              <w:bidi w:val="0"/>
              <w:spacing w:before="0" w:after="283"/>
              <w:jc w:val="right"/>
              <w:rPr/>
            </w:pPr>
            <w:r>
              <w:rPr/>
              <w:t>86,113</w:t>
            </w:r>
          </w:p>
        </w:tc>
        <w:tc>
          <w:tcPr>
            <w:tcW w:w="88"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w:t>
            </w:r>
          </w:p>
        </w:tc>
        <w:tc>
          <w:tcPr>
            <w:tcW w:w="1019" w:type="dxa"/>
            <w:tcBorders/>
            <w:vAlign w:val="center"/>
          </w:tcPr>
          <w:p>
            <w:pPr>
              <w:pStyle w:val="TableContents"/>
              <w:bidi w:val="0"/>
              <w:spacing w:before="0" w:after="283"/>
              <w:jc w:val="right"/>
              <w:rPr/>
            </w:pPr>
            <w:r>
              <w:rPr/>
              <w:t>73,187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12,926</w:t>
            </w:r>
          </w:p>
        </w:tc>
        <w:tc>
          <w:tcPr>
            <w:tcW w:w="170" w:type="dxa"/>
            <w:tcBorders/>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pBdr>
                <w:top w:val="double" w:sz="6" w:space="1" w:color="000000"/>
              </w:pBdr>
              <w:bidi w:val="0"/>
              <w:spacing w:before="0" w:after="0"/>
              <w:jc w:val="left"/>
              <w:rPr/>
            </w:pPr>
            <w:r>
              <w:rPr/>
              <w:t> </w:t>
            </w:r>
          </w:p>
        </w:tc>
        <w:tc>
          <w:tcPr>
            <w:tcW w:w="1015" w:type="dxa"/>
            <w:tcBorders/>
            <w:vAlign w:val="center"/>
          </w:tcPr>
          <w:p>
            <w:pPr>
              <w:pStyle w:val="TableContents"/>
              <w:pBdr>
                <w:top w:val="double" w:sz="6" w:space="1" w:color="000000"/>
              </w:pBdr>
              <w:bidi w:val="0"/>
              <w:spacing w:before="0" w:after="0"/>
              <w:jc w:val="left"/>
              <w:rPr/>
            </w:pPr>
            <w:r>
              <w:rPr/>
              <w:t> </w:t>
            </w:r>
          </w:p>
        </w:tc>
        <w:tc>
          <w:tcPr>
            <w:tcW w:w="88"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208" w:type="dxa"/>
            <w:tcBorders/>
            <w:vAlign w:val="center"/>
          </w:tcPr>
          <w:p>
            <w:pPr>
              <w:pStyle w:val="TableContents"/>
              <w:pBdr>
                <w:top w:val="double" w:sz="6" w:space="1" w:color="000000"/>
              </w:pBdr>
              <w:bidi w:val="0"/>
              <w:spacing w:before="0" w:after="0"/>
              <w:jc w:val="left"/>
              <w:rPr/>
            </w:pPr>
            <w:r>
              <w:rPr/>
              <w:t> </w:t>
            </w:r>
          </w:p>
        </w:tc>
        <w:tc>
          <w:tcPr>
            <w:tcW w:w="1019"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expenses were $86.1 million for the year ended December 31, 2025, compared to $73.2 million for the year ended December 31, 2024. The increase of $12.9 million was primarily due to a $15.2 million increase in clinical and manufacturing activities as well as a $0.2 million increase in drug discovery and platform related to the multi-center Phase 1/2 Agni-01 clinical trial. These increases were partially offset by a decrease in costs related to compensation and related expenses (including stock-based compensation), and occupancy and all other costs of $1.9 million and $0.6 million, respectively. These decreases were primarily related to organizational actions taken to streamline operations and align the Company’s cost structure with current business needs.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were $19.6 million for the year ended December 31, 2025, compared to $18.1 million for the year ended December 31, 2024. The increase of $1.5 million was primarily due to an increase in compensation and related activities and an increase in consulting and professional services costs related to additional investments made to support our growth and prepare to operate as a public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Other Income, net </w:t>
      </w:r>
    </w:p>
    <w:p>
      <w:pPr>
        <w:pStyle w:val="TextBody"/>
        <w:bidi w:val="0"/>
        <w:spacing w:before="120" w:after="0"/>
        <w:jc w:val="left"/>
        <w:rPr>
          <w:rFonts w:ascii="Times New Roman" w:hAnsi="Times New Roman"/>
          <w:sz w:val="20"/>
        </w:rPr>
      </w:pPr>
      <w:r>
        <w:rPr>
          <w:rFonts w:ascii="Times New Roman" w:hAnsi="Times New Roman"/>
          <w:sz w:val="20"/>
        </w:rPr>
        <w:t xml:space="preserve">Other income, net was $5.1 million for the year ended December 31, 2025, compared to $8.1 million for the year ended December 31, 2024. The decrease of $3.0 million was due to decreased interest income based on a lower marketable securities balance in 2025 compared to 2024. </w:t>
      </w:r>
    </w:p>
    <w:p>
      <w:pPr>
        <w:pStyle w:val="TextBody"/>
        <w:bidi w:val="0"/>
        <w:spacing w:before="360" w:after="0"/>
        <w:jc w:val="left"/>
        <w:rPr>
          <w:rFonts w:ascii="Times New Roman" w:hAnsi="Times New Roman"/>
          <w:b/>
          <w:sz w:val="20"/>
        </w:rPr>
      </w:pPr>
      <w:r>
        <w:rPr>
          <w:rFonts w:ascii="Times New Roman" w:hAnsi="Times New Roman"/>
          <w:b/>
          <w:sz w:val="20"/>
        </w:rPr>
        <w:t>Liquidity and Capital Resources</w:t>
      </w:r>
    </w:p>
    <w:p>
      <w:pPr>
        <w:pStyle w:val="TextBody"/>
        <w:bidi w:val="0"/>
        <w:spacing w:before="120" w:after="0"/>
        <w:jc w:val="left"/>
        <w:rPr>
          <w:rFonts w:ascii="Times New Roman" w:hAnsi="Times New Roman"/>
          <w:b/>
          <w:i/>
          <w:sz w:val="20"/>
        </w:rPr>
      </w:pPr>
      <w:r>
        <w:rPr>
          <w:rFonts w:ascii="Times New Roman" w:hAnsi="Times New Roman"/>
          <w:b/>
          <w:i/>
          <w:sz w:val="20"/>
        </w:rPr>
        <w:t>Sources of Liquidity</w:t>
      </w:r>
    </w:p>
    <w:p>
      <w:pPr>
        <w:pStyle w:val="TextBody"/>
        <w:bidi w:val="0"/>
        <w:spacing w:before="120" w:after="0"/>
        <w:jc w:val="left"/>
        <w:rPr>
          <w:rFonts w:ascii="Times New Roman" w:hAnsi="Times New Roman"/>
          <w:sz w:val="20"/>
        </w:rPr>
      </w:pPr>
      <w:r>
        <w:rPr>
          <w:rFonts w:ascii="Times New Roman" w:hAnsi="Times New Roman"/>
          <w:sz w:val="20"/>
        </w:rPr>
        <w:t xml:space="preserve">To date, we have not generated any revenue from product sales and have incurred significant operating losses and negative cash flows from operations. Our historical revenue has been derived solely from certain collaboration and license agreements, all of which have since expired or concluded. We expect to incur significant expenses and operating losses for the foreseeable future as we advance the clinical development of our pipeline. </w:t>
      </w:r>
    </w:p>
    <w:p>
      <w:pPr>
        <w:pStyle w:val="TextBody"/>
        <w:bidi w:val="0"/>
        <w:spacing w:before="240" w:after="0"/>
        <w:jc w:val="left"/>
        <w:rPr>
          <w:rFonts w:ascii="Times New Roman" w:hAnsi="Times New Roman"/>
          <w:sz w:val="20"/>
        </w:rPr>
      </w:pPr>
      <w:r>
        <w:rPr>
          <w:rFonts w:ascii="Times New Roman" w:hAnsi="Times New Roman"/>
          <w:sz w:val="20"/>
        </w:rPr>
        <w:t xml:space="preserve">Through June 30, 2026, we had received aggregate gross proceeds of $336.5 million from the issuance of convertible preferred stock, Simple Agreements for Future Equity, and convertible notes in private placements, and $122.5 million in upfront and milestone payments under prior collaboration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On July 31, 2026, in connection with the Mergers, we completed the PIPE Financing and received gross proceeds of approximately $350 million. The proceeds from the PIPE Financing, together with our existing cash, cash equivalents and marketable securities, constitute our primary sources of liquidity. </w:t>
      </w:r>
    </w:p>
    <w:p>
      <w:pPr>
        <w:pStyle w:val="TextBody"/>
        <w:bidi w:val="0"/>
        <w:spacing w:before="360" w:after="0"/>
        <w:jc w:val="left"/>
        <w:rPr>
          <w:rFonts w:ascii="Times New Roman" w:hAnsi="Times New Roman"/>
          <w:b/>
          <w:i/>
          <w:sz w:val="20"/>
        </w:rPr>
      </w:pPr>
      <w:r>
        <w:rPr>
          <w:rFonts w:ascii="Times New Roman" w:hAnsi="Times New Roman"/>
          <w:b/>
          <w:i/>
          <w:sz w:val="20"/>
        </w:rPr>
        <w:t>Future Funding Requirements</w:t>
      </w:r>
    </w:p>
    <w:p>
      <w:pPr>
        <w:pStyle w:val="TextBody"/>
        <w:bidi w:val="0"/>
        <w:spacing w:before="120" w:after="0"/>
        <w:jc w:val="left"/>
        <w:rPr>
          <w:rFonts w:ascii="Times New Roman" w:hAnsi="Times New Roman"/>
          <w:sz w:val="20"/>
        </w:rPr>
      </w:pPr>
      <w:r>
        <w:rPr>
          <w:rFonts w:ascii="Times New Roman" w:hAnsi="Times New Roman"/>
          <w:sz w:val="20"/>
        </w:rPr>
        <w:t>As of June 30, 2026, we had cash equivalents and short-term investments in marketable securities of $34.4 million. Based upon our current operating plans, and the proceeds received from the PIPE Financing completed in connection with the Mergers, together with our existing cash equivalents and marketable securities, we believe we have sufficient capital to fund our operations into the second half of 2028. Our forecast regarding the period of time through which our financial resources will be adequate to support our operations is a forward-looking statement that involves risks and uncertainties, and actual results could vary materially. Additionally, the process of conducting preclinical studies and testing product candidates in clinical trials is costly, and the timing of progress and expenses in these studies and trials is uncertain. We may need to raise substantial additional capital in the future.</w:t>
      </w:r>
    </w:p>
    <w:p>
      <w:pPr>
        <w:pStyle w:val="TextBody"/>
        <w:bidi w:val="0"/>
        <w:spacing w:before="240" w:after="0"/>
        <w:jc w:val="left"/>
        <w:rPr>
          <w:rFonts w:ascii="Times New Roman" w:hAnsi="Times New Roman"/>
          <w:sz w:val="20"/>
        </w:rPr>
      </w:pPr>
      <w:r>
        <w:rPr>
          <w:rFonts w:ascii="Times New Roman" w:hAnsi="Times New Roman"/>
          <w:sz w:val="20"/>
        </w:rPr>
        <w:t>Our future capital requirements will depend on many factors, including but not limited to:</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type, number, scope, progress, expansions, results, costs, and timing of discovery, preclinical studies and clinical trials of amsoki-cel and any future product candidates; </w:t>
            </w:r>
          </w:p>
        </w:tc>
      </w:tr>
    </w:tbl>
    <w:p>
      <w:pPr>
        <w:pStyle w:val="TextBody"/>
        <w:bidi w:val="0"/>
        <w:spacing w:before="0" w:after="0"/>
        <w:jc w:val="left"/>
        <w:rPr/>
      </w:pPr>
      <w:r>
        <w:rPr/>
        <w:t> </w:t>
      </w:r>
    </w:p>
    <w:tbl>
      <w:tblPr>
        <w:tblW w:w="10030" w:type="dxa"/>
        <w:jc w:val="left"/>
        <w:tblInd w:w="0" w:type="dxa"/>
        <w:tblLayout w:type="fixed"/>
        <w:tblCellMar>
          <w:top w:w="0" w:type="dxa"/>
          <w:left w:w="0" w:type="dxa"/>
          <w:bottom w:w="0" w:type="dxa"/>
          <w:right w:w="0" w:type="dxa"/>
        </w:tblCellMar>
      </w:tblPr>
      <w:tblGrid>
        <w:gridCol w:w="75"/>
        <w:gridCol w:w="110"/>
        <w:gridCol w:w="60"/>
        <w:gridCol w:w="97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manufacturing for amsoki-cel and any future product candidates and commercial manufacturing; </w:t>
            </w:r>
          </w:p>
        </w:tc>
      </w:tr>
    </w:tbl>
    <w:p>
      <w:pPr>
        <w:pStyle w:val="TextBody"/>
        <w:bidi w:val="0"/>
        <w:spacing w:before="0" w:after="0"/>
        <w:jc w:val="left"/>
        <w:rPr/>
      </w:pPr>
      <w:r>
        <w:rPr/>
        <w:t> </w:t>
      </w:r>
    </w:p>
    <w:tbl>
      <w:tblPr>
        <w:tblW w:w="8485" w:type="dxa"/>
        <w:jc w:val="left"/>
        <w:tblInd w:w="0" w:type="dxa"/>
        <w:tblLayout w:type="fixed"/>
        <w:tblCellMar>
          <w:top w:w="0" w:type="dxa"/>
          <w:left w:w="0" w:type="dxa"/>
          <w:bottom w:w="0" w:type="dxa"/>
          <w:right w:w="0" w:type="dxa"/>
        </w:tblCellMar>
      </w:tblPr>
      <w:tblGrid>
        <w:gridCol w:w="75"/>
        <w:gridCol w:w="110"/>
        <w:gridCol w:w="60"/>
        <w:gridCol w:w="82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timing, and outcome of regulatory review of amsoki-cel and any future product candidates; </w:t>
            </w:r>
          </w:p>
        </w:tc>
      </w:tr>
    </w:tbl>
    <w:p>
      <w:pPr>
        <w:pStyle w:val="TextBody"/>
        <w:bidi w:val="0"/>
        <w:spacing w:before="0" w:after="0"/>
        <w:jc w:val="left"/>
        <w:rPr/>
      </w:pPr>
      <w:r>
        <w:rPr/>
        <w:t> </w:t>
      </w:r>
    </w:p>
    <w:tbl>
      <w:tblPr>
        <w:tblW w:w="7900" w:type="dxa"/>
        <w:jc w:val="left"/>
        <w:tblInd w:w="0" w:type="dxa"/>
        <w:tblLayout w:type="fixed"/>
        <w:tblCellMar>
          <w:top w:w="0" w:type="dxa"/>
          <w:left w:w="0" w:type="dxa"/>
          <w:bottom w:w="0" w:type="dxa"/>
          <w:right w:w="0" w:type="dxa"/>
        </w:tblCellMar>
      </w:tblPr>
      <w:tblGrid>
        <w:gridCol w:w="75"/>
        <w:gridCol w:w="110"/>
        <w:gridCol w:w="60"/>
        <w:gridCol w:w="76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terms and timing of establishing and maintaining licenses and other similar arrangements; </w:t>
            </w:r>
          </w:p>
        </w:tc>
      </w:tr>
    </w:tbl>
    <w:p>
      <w:pPr>
        <w:pStyle w:val="TextBody"/>
        <w:bidi w:val="0"/>
        <w:spacing w:before="0" w:after="0"/>
        <w:jc w:val="left"/>
        <w:rPr/>
      </w:pPr>
      <w:r>
        <w:rPr/>
        <w:t> </w:t>
      </w:r>
    </w:p>
    <w:tbl>
      <w:tblPr>
        <w:tblW w:w="9610" w:type="dxa"/>
        <w:jc w:val="left"/>
        <w:tblInd w:w="0" w:type="dxa"/>
        <w:tblLayout w:type="fixed"/>
        <w:tblCellMar>
          <w:top w:w="0" w:type="dxa"/>
          <w:left w:w="0" w:type="dxa"/>
          <w:bottom w:w="0" w:type="dxa"/>
          <w:right w:w="0" w:type="dxa"/>
        </w:tblCellMar>
      </w:tblPr>
      <w:tblGrid>
        <w:gridCol w:w="75"/>
        <w:gridCol w:w="110"/>
        <w:gridCol w:w="60"/>
        <w:gridCol w:w="9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establish and maintain additional collaborations, partnerships or licenses on favorable terms, if at all;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achievement of milestones or occurrence of other developments that trigger payments under any future collaboration agreements, if 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we are obligated to reimburse, or entitled to reimbursement of, research and development, clinical or other costs under future collaboration agreements, if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8860" w:type="dxa"/>
        <w:jc w:val="left"/>
        <w:tblInd w:w="0" w:type="dxa"/>
        <w:tblLayout w:type="fixed"/>
        <w:tblCellMar>
          <w:top w:w="0" w:type="dxa"/>
          <w:left w:w="0" w:type="dxa"/>
          <w:bottom w:w="0" w:type="dxa"/>
          <w:right w:w="0" w:type="dxa"/>
        </w:tblCellMar>
      </w:tblPr>
      <w:tblGrid>
        <w:gridCol w:w="75"/>
        <w:gridCol w:w="110"/>
        <w:gridCol w:w="60"/>
        <w:gridCol w:w="86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legal costs of obtaining, maintaining, and enforcing our patents and other intellectual property rights; </w:t>
            </w:r>
          </w:p>
        </w:tc>
      </w:tr>
    </w:tbl>
    <w:p>
      <w:pPr>
        <w:pStyle w:val="TextBody"/>
        <w:bidi w:val="0"/>
        <w:spacing w:before="0" w:after="0"/>
        <w:jc w:val="left"/>
        <w:rPr/>
      </w:pPr>
      <w:r>
        <w:rPr/>
        <w:t> </w:t>
      </w:r>
    </w:p>
    <w:tbl>
      <w:tblPr>
        <w:tblW w:w="10000" w:type="dxa"/>
        <w:jc w:val="left"/>
        <w:tblInd w:w="0" w:type="dxa"/>
        <w:tblLayout w:type="fixed"/>
        <w:tblCellMar>
          <w:top w:w="0" w:type="dxa"/>
          <w:left w:w="0" w:type="dxa"/>
          <w:bottom w:w="0" w:type="dxa"/>
          <w:right w:w="0" w:type="dxa"/>
        </w:tblCellMar>
      </w:tblPr>
      <w:tblGrid>
        <w:gridCol w:w="75"/>
        <w:gridCol w:w="110"/>
        <w:gridCol w:w="60"/>
        <w:gridCol w:w="97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efforts to enhance operational systems and hire additional personnel to satisfy our obligations as a public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associated with hiring additional personnel and consultants as our preclinical and potential future clinical activities increase;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establishing or securing sales and marketing capabilities if amsoki-cel and any future product candidate are approved;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achieve sufficient market acceptance, coverage and adequate reimbursement from third-party payors and adequate market share and revenue for any approved products; and </w:t>
            </w:r>
          </w:p>
        </w:tc>
      </w:tr>
    </w:tbl>
    <w:p>
      <w:pPr>
        <w:pStyle w:val="TextBody"/>
        <w:bidi w:val="0"/>
        <w:spacing w:before="0" w:after="0"/>
        <w:jc w:val="left"/>
        <w:rPr/>
      </w:pPr>
      <w:r>
        <w:rPr/>
        <w:t> </w:t>
      </w:r>
    </w:p>
    <w:tbl>
      <w:tblPr>
        <w:tblW w:w="7180" w:type="dxa"/>
        <w:jc w:val="left"/>
        <w:tblInd w:w="0" w:type="dxa"/>
        <w:tblLayout w:type="fixed"/>
        <w:tblCellMar>
          <w:top w:w="0" w:type="dxa"/>
          <w:left w:w="0" w:type="dxa"/>
          <w:bottom w:w="0" w:type="dxa"/>
          <w:right w:w="0" w:type="dxa"/>
        </w:tblCellMar>
      </w:tblPr>
      <w:tblGrid>
        <w:gridCol w:w="75"/>
        <w:gridCol w:w="110"/>
        <w:gridCol w:w="60"/>
        <w:gridCol w:w="6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costs associated with any products or technologies that we may in-license or acquire. </w:t>
            </w:r>
          </w:p>
        </w:tc>
      </w:tr>
    </w:tbl>
    <w:p>
      <w:pPr>
        <w:pStyle w:val="TextBody"/>
        <w:bidi w:val="0"/>
        <w:spacing w:before="240" w:after="0"/>
        <w:jc w:val="left"/>
        <w:rPr>
          <w:rFonts w:ascii="Times New Roman" w:hAnsi="Times New Roman"/>
          <w:sz w:val="20"/>
        </w:rPr>
      </w:pPr>
      <w:r>
        <w:rPr>
          <w:rFonts w:ascii="Times New Roman" w:hAnsi="Times New Roman"/>
          <w:sz w:val="20"/>
        </w:rPr>
        <w:t>Until such time, if ever, as we can generate substantial product revenue to support our cost structure, we expect to finance our cash needs through equity offerings, debt financings, or other capital sources, potentially including collaborations, licenses, and other similar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amsoki-cel or any future product candidates or grant licenses on terms that may not be favorable to us and/or may reduce the value of our common stock. Our failure to raise capital or enter into such other arrangements when needed could have a negative impact on our financial condition and on our ability to pursue our business plans and strategies. If we are unable to raise additional funds through equity or debt financings when needed, we may be required to delay, limit, reduce or terminate our product development or future commercialization efforts or grant rights to develop and market amsoki-cel and any future product candidates even if we would otherwise prefer to develop and market such product candidates ourselves.</w:t>
      </w:r>
    </w:p>
    <w:p>
      <w:pPr>
        <w:pStyle w:val="TextBody"/>
        <w:bidi w:val="0"/>
        <w:spacing w:before="360" w:after="0"/>
        <w:jc w:val="left"/>
        <w:rPr>
          <w:rFonts w:ascii="Times New Roman" w:hAnsi="Times New Roman"/>
          <w:b/>
          <w:sz w:val="20"/>
        </w:rPr>
      </w:pPr>
      <w:r>
        <w:rPr>
          <w:rFonts w:ascii="Times New Roman" w:hAnsi="Times New Roman"/>
          <w:b/>
          <w:sz w:val="20"/>
        </w:rPr>
        <w:t>Cash Flows</w:t>
      </w:r>
    </w:p>
    <w:p>
      <w:pPr>
        <w:pStyle w:val="TextBody"/>
        <w:bidi w:val="0"/>
        <w:spacing w:before="120" w:after="0"/>
        <w:jc w:val="left"/>
        <w:rPr>
          <w:rFonts w:ascii="Times New Roman" w:hAnsi="Times New Roman"/>
          <w:b/>
          <w:i/>
          <w:sz w:val="20"/>
        </w:rPr>
      </w:pPr>
      <w:r>
        <w:rPr>
          <w:rFonts w:ascii="Times New Roman" w:hAnsi="Times New Roman"/>
          <w:b/>
          <w:i/>
          <w:sz w:val="20"/>
        </w:rPr>
        <w:t xml:space="preserve">Comparison of the Six Months Ended June 30, 2026 and 2025 </w:t>
      </w:r>
    </w:p>
    <w:p>
      <w:pPr>
        <w:pStyle w:val="TextBody"/>
        <w:bidi w:val="0"/>
        <w:spacing w:before="120" w:after="0"/>
        <w:jc w:val="left"/>
        <w:rPr>
          <w:rFonts w:ascii="Times New Roman" w:hAnsi="Times New Roman"/>
          <w:sz w:val="20"/>
        </w:rPr>
      </w:pPr>
      <w:r>
        <w:rPr>
          <w:rFonts w:ascii="Times New Roman" w:hAnsi="Times New Roman"/>
          <w:sz w:val="20"/>
        </w:rPr>
        <w:t>The following table sets forth a summary of the net cash flow activity for the six months ended June 30, 2026 and 2025 (in thousands):</w:t>
      </w:r>
    </w:p>
    <w:p>
      <w:pPr>
        <w:pStyle w:val="TextBody"/>
        <w:bidi w:val="0"/>
        <w:spacing w:before="0" w:after="0"/>
        <w:jc w:val="left"/>
        <w:rPr/>
      </w:pPr>
      <w:r>
        <w:rPr/>
        <w:t> </w:t>
      </w:r>
    </w:p>
    <w:tbl>
      <w:tblPr>
        <w:tblW w:w="7110" w:type="dxa"/>
        <w:jc w:val="left"/>
        <w:tblInd w:w="0" w:type="dxa"/>
        <w:tblLayout w:type="fixed"/>
        <w:tblCellMar>
          <w:top w:w="0" w:type="dxa"/>
          <w:left w:w="0" w:type="dxa"/>
          <w:bottom w:w="0" w:type="dxa"/>
          <w:right w:w="0" w:type="dxa"/>
        </w:tblCellMar>
      </w:tblPr>
      <w:tblGrid>
        <w:gridCol w:w="4955"/>
        <w:gridCol w:w="120"/>
        <w:gridCol w:w="950"/>
        <w:gridCol w:w="120"/>
        <w:gridCol w:w="965"/>
      </w:tblGrid>
      <w:tr>
        <w:trPr/>
        <w:tc>
          <w:tcPr>
            <w:tcW w:w="4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r>
      <w:tr>
        <w:trPr/>
        <w:tc>
          <w:tcPr>
            <w:tcW w:w="49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5" w:type="dxa"/>
            <w:gridSpan w:val="3"/>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Six Months Ended June 30,</w:t>
            </w:r>
          </w:p>
        </w:tc>
      </w:tr>
      <w:tr>
        <w:trPr/>
        <w:tc>
          <w:tcPr>
            <w:tcW w:w="49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2026</w:t>
            </w:r>
          </w:p>
        </w:tc>
        <w:tc>
          <w:tcPr>
            <w:tcW w:w="120" w:type="dxa"/>
            <w:tcBorders/>
            <w:vAlign w:val="center"/>
          </w:tcPr>
          <w:p>
            <w:pPr>
              <w:pStyle w:val="TableContents"/>
              <w:bidi w:val="0"/>
              <w:spacing w:before="0" w:after="283"/>
              <w:jc w:val="left"/>
              <w:rPr/>
            </w:pPr>
            <w:r>
              <w:rPr/>
              <w:t>  </w:t>
            </w:r>
          </w:p>
        </w:tc>
        <w:tc>
          <w:tcPr>
            <w:tcW w:w="9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2025</w:t>
            </w:r>
          </w:p>
        </w:tc>
      </w:tr>
      <w:tr>
        <w:trPr/>
        <w:tc>
          <w:tcPr>
            <w:tcW w:w="49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$(47,284)</w:t>
            </w:r>
          </w:p>
        </w:tc>
        <w:tc>
          <w:tcPr>
            <w:tcW w:w="12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$(45,864)</w:t>
            </w:r>
          </w:p>
        </w:tc>
      </w:tr>
      <w:tr>
        <w:trPr/>
        <w:tc>
          <w:tcPr>
            <w:tcW w:w="4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investing activities</w:t>
            </w:r>
          </w:p>
        </w:tc>
        <w:tc>
          <w:tcPr>
            <w:tcW w:w="12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24,019</w:t>
            </w:r>
          </w:p>
        </w:tc>
        <w:tc>
          <w:tcPr>
            <w:tcW w:w="12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30,751</w:t>
            </w:r>
          </w:p>
        </w:tc>
      </w:tr>
      <w:tr>
        <w:trPr/>
        <w:tc>
          <w:tcPr>
            <w:tcW w:w="49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12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843</w:t>
            </w:r>
          </w:p>
        </w:tc>
        <w:tc>
          <w:tcPr>
            <w:tcW w:w="12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18</w:t>
            </w:r>
          </w:p>
        </w:tc>
      </w:tr>
      <w:tr>
        <w:trPr/>
        <w:tc>
          <w:tcPr>
            <w:tcW w:w="4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50" w:type="dxa"/>
            <w:tcBorders/>
            <w:vAlign w:val="center"/>
          </w:tcPr>
          <w:p>
            <w:pPr>
              <w:pStyle w:val="TableContents"/>
              <w:pBdr>
                <w:top w:val="single" w:sz="2"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965" w:type="dxa"/>
            <w:tcBorders/>
            <w:vAlign w:val="center"/>
          </w:tcPr>
          <w:p>
            <w:pPr>
              <w:pStyle w:val="TableContents"/>
              <w:pBdr>
                <w:top w:val="single" w:sz="2" w:space="1" w:color="000000"/>
              </w:pBdr>
              <w:bidi w:val="0"/>
              <w:spacing w:before="0" w:after="0"/>
              <w:jc w:val="left"/>
              <w:rPr/>
            </w:pPr>
            <w:r>
              <w:rPr/>
              <w:t> </w:t>
            </w:r>
          </w:p>
        </w:tc>
      </w:tr>
      <w:tr>
        <w:trPr/>
        <w:tc>
          <w:tcPr>
            <w:tcW w:w="4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decrease in cash and cash equivalents and restricted cash</w:t>
            </w:r>
          </w:p>
        </w:tc>
        <w:tc>
          <w:tcPr>
            <w:tcW w:w="12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$(22,422)</w:t>
            </w:r>
          </w:p>
        </w:tc>
        <w:tc>
          <w:tcPr>
            <w:tcW w:w="12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$(15,095)</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Operating Activities </w:t>
      </w:r>
    </w:p>
    <w:p>
      <w:pPr>
        <w:pStyle w:val="TextBody"/>
        <w:bidi w:val="0"/>
        <w:spacing w:before="120" w:after="0"/>
        <w:jc w:val="left"/>
        <w:rPr>
          <w:rFonts w:ascii="Times New Roman" w:hAnsi="Times New Roman"/>
          <w:sz w:val="20"/>
        </w:rPr>
      </w:pPr>
      <w:r>
        <w:rPr>
          <w:rFonts w:ascii="Times New Roman" w:hAnsi="Times New Roman"/>
          <w:sz w:val="20"/>
        </w:rPr>
        <w:t>For the six months ended June 30, 2026, net cash used in operating activities of $47.3 million was comprised of the net loss of $45.5 million and $3.2 million of non-cash items and a $5.0 million change in operating assets and liabilities.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For the six months ended June 30, 2025, net cash used in operating activities of $45.9 million was comprised of the net loss of $51.9 million, $3.9 million of non-cash items and $2.1 million change in operating assets and liabilities.</w:t>
      </w:r>
    </w:p>
    <w:p>
      <w:pPr>
        <w:pStyle w:val="TextBody"/>
        <w:bidi w:val="0"/>
        <w:spacing w:before="360" w:after="0"/>
        <w:jc w:val="left"/>
        <w:rPr>
          <w:rFonts w:ascii="Times New Roman" w:hAnsi="Times New Roman"/>
          <w:i/>
          <w:sz w:val="20"/>
        </w:rPr>
      </w:pPr>
      <w:r>
        <w:rPr>
          <w:rFonts w:ascii="Times New Roman" w:hAnsi="Times New Roman"/>
          <w:i/>
          <w:sz w:val="20"/>
        </w:rPr>
        <w:t>Investing Activities</w:t>
      </w:r>
    </w:p>
    <w:p>
      <w:pPr>
        <w:pStyle w:val="TextBody"/>
        <w:bidi w:val="0"/>
        <w:spacing w:before="120" w:after="0"/>
        <w:jc w:val="left"/>
        <w:rPr>
          <w:rFonts w:ascii="Times New Roman" w:hAnsi="Times New Roman"/>
          <w:sz w:val="20"/>
        </w:rPr>
      </w:pPr>
      <w:r>
        <w:rPr>
          <w:rFonts w:ascii="Times New Roman" w:hAnsi="Times New Roman"/>
          <w:sz w:val="20"/>
        </w:rPr>
        <w:t>For the six months ended June 30, 2026, net cash provided by investing activities of $24.0 million was primarily comprised of the maturities of marketable securities.</w:t>
      </w:r>
    </w:p>
    <w:p>
      <w:pPr>
        <w:pStyle w:val="TextBody"/>
        <w:bidi w:val="0"/>
        <w:spacing w:before="240" w:after="0"/>
        <w:jc w:val="left"/>
        <w:rPr>
          <w:rFonts w:ascii="Times New Roman" w:hAnsi="Times New Roman"/>
          <w:sz w:val="20"/>
        </w:rPr>
      </w:pPr>
      <w:r>
        <w:rPr>
          <w:rFonts w:ascii="Times New Roman" w:hAnsi="Times New Roman"/>
          <w:sz w:val="20"/>
        </w:rPr>
        <w:t>For the six months ended June 30, 2025, net cash provided by investing activities of $30.8 million was primarily comprised of $67.0 million of maturities of marketable securities, partially offset by $36.2 million of marketable securities purchases.</w:t>
      </w:r>
    </w:p>
    <w:p>
      <w:pPr>
        <w:pStyle w:val="TextBody"/>
        <w:bidi w:val="0"/>
        <w:spacing w:before="360" w:after="0"/>
        <w:jc w:val="left"/>
        <w:rPr>
          <w:rFonts w:ascii="Times New Roman" w:hAnsi="Times New Roman"/>
          <w:i/>
          <w:sz w:val="20"/>
        </w:rPr>
      </w:pPr>
      <w:r>
        <w:rPr>
          <w:rFonts w:ascii="Times New Roman" w:hAnsi="Times New Roman"/>
          <w:i/>
          <w:sz w:val="20"/>
        </w:rPr>
        <w:t>Financing Activities</w:t>
      </w:r>
    </w:p>
    <w:p>
      <w:pPr>
        <w:pStyle w:val="TextBody"/>
        <w:bidi w:val="0"/>
        <w:spacing w:before="120" w:after="0"/>
        <w:jc w:val="left"/>
        <w:rPr>
          <w:rFonts w:ascii="Times New Roman" w:hAnsi="Times New Roman"/>
          <w:sz w:val="20"/>
        </w:rPr>
      </w:pPr>
      <w:r>
        <w:rPr>
          <w:rFonts w:ascii="Times New Roman" w:hAnsi="Times New Roman"/>
          <w:sz w:val="20"/>
        </w:rPr>
        <w:t xml:space="preserve">For the six months ended June 30, 2026 and 2025, the cash provided by financing activities did not have a meaningful impact on our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Comparison of the Years Ended December 31, 2025 and 2024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a summary of the net cash flow activity for the years ended December 31, 2025 and 2024 (in thousands): </w:t>
      </w:r>
    </w:p>
    <w:p>
      <w:pPr>
        <w:pStyle w:val="TextBody"/>
        <w:bidi w:val="0"/>
        <w:spacing w:before="0" w:after="0"/>
        <w:jc w:val="left"/>
        <w:rPr/>
      </w:pPr>
      <w:r>
        <w:rPr/>
        <w:t> </w:t>
      </w:r>
    </w:p>
    <w:tbl>
      <w:tblPr>
        <w:tblW w:w="7961" w:type="dxa"/>
        <w:jc w:val="left"/>
        <w:tblInd w:w="0" w:type="dxa"/>
        <w:tblLayout w:type="fixed"/>
        <w:tblCellMar>
          <w:top w:w="0" w:type="dxa"/>
          <w:left w:w="0" w:type="dxa"/>
          <w:bottom w:w="0" w:type="dxa"/>
          <w:right w:w="0" w:type="dxa"/>
        </w:tblCellMar>
      </w:tblPr>
      <w:tblGrid>
        <w:gridCol w:w="4955"/>
        <w:gridCol w:w="120"/>
        <w:gridCol w:w="179"/>
        <w:gridCol w:w="972"/>
        <w:gridCol w:w="199"/>
        <w:gridCol w:w="154"/>
        <w:gridCol w:w="179"/>
        <w:gridCol w:w="1033"/>
        <w:gridCol w:w="170"/>
      </w:tblGrid>
      <w:tr>
        <w:trPr/>
        <w:tc>
          <w:tcPr>
            <w:tcW w:w="4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955" w:type="dxa"/>
            <w:vMerge w:val="restart"/>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1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70" w:type="dxa"/>
            <w:tcBorders/>
            <w:vAlign w:val="center"/>
          </w:tcPr>
          <w:p>
            <w:pPr>
              <w:pStyle w:val="TableContents"/>
              <w:bidi w:val="0"/>
              <w:spacing w:before="0" w:after="283"/>
              <w:jc w:val="left"/>
              <w:rPr/>
            </w:pPr>
            <w:r>
              <w:rPr/>
              <w:t> </w:t>
            </w:r>
          </w:p>
        </w:tc>
      </w:tr>
      <w:tr>
        <w:trPr/>
        <w:tc>
          <w:tcPr>
            <w:tcW w:w="495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15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99"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2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972" w:type="dxa"/>
            <w:tcBorders/>
            <w:shd w:fill="CCEEFF" w:val="clear"/>
            <w:vAlign w:val="center"/>
          </w:tcPr>
          <w:p>
            <w:pPr>
              <w:pStyle w:val="TableContents"/>
              <w:bidi w:val="0"/>
              <w:spacing w:before="0" w:after="283"/>
              <w:jc w:val="right"/>
              <w:rPr/>
            </w:pPr>
            <w:r>
              <w:rPr/>
              <w:t>(90,393</w:t>
            </w:r>
          </w:p>
        </w:tc>
        <w:tc>
          <w:tcPr>
            <w:tcW w:w="199"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1033" w:type="dxa"/>
            <w:tcBorders/>
            <w:shd w:fill="CCEEFF" w:val="clear"/>
            <w:vAlign w:val="center"/>
          </w:tcPr>
          <w:p>
            <w:pPr>
              <w:pStyle w:val="TableContents"/>
              <w:bidi w:val="0"/>
              <w:spacing w:before="0" w:after="283"/>
              <w:jc w:val="right"/>
              <w:rPr/>
            </w:pPr>
            <w:r>
              <w:rPr/>
              <w:t>(75,002</w:t>
            </w:r>
          </w:p>
        </w:tc>
        <w:tc>
          <w:tcPr>
            <w:tcW w:w="170"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(used in) investing activities</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972" w:type="dxa"/>
            <w:tcBorders/>
            <w:vAlign w:val="center"/>
          </w:tcPr>
          <w:p>
            <w:pPr>
              <w:pStyle w:val="TableContents"/>
              <w:bidi w:val="0"/>
              <w:spacing w:before="0" w:after="283"/>
              <w:jc w:val="right"/>
              <w:rPr/>
            </w:pPr>
            <w:r>
              <w:rPr/>
              <w:t>81,017</w:t>
            </w:r>
          </w:p>
        </w:tc>
        <w:tc>
          <w:tcPr>
            <w:tcW w:w="199"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right"/>
              <w:rPr/>
            </w:pPr>
            <w:r>
              <w:rPr/>
              <w:t>(53,874</w:t>
            </w:r>
          </w:p>
        </w:tc>
        <w:tc>
          <w:tcPr>
            <w:tcW w:w="170"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12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20</w:t>
            </w:r>
          </w:p>
        </w:tc>
        <w:tc>
          <w:tcPr>
            <w:tcW w:w="199"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162,515</w:t>
            </w:r>
          </w:p>
        </w:tc>
        <w:tc>
          <w:tcPr>
            <w:tcW w:w="170"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pBdr>
                <w:top w:val="single" w:sz="2" w:space="1" w:color="000000"/>
              </w:pBdr>
              <w:bidi w:val="0"/>
              <w:spacing w:before="0" w:after="0"/>
              <w:jc w:val="left"/>
              <w:rPr/>
            </w:pPr>
            <w:r>
              <w:rPr/>
              <w:t> </w:t>
            </w:r>
          </w:p>
        </w:tc>
        <w:tc>
          <w:tcPr>
            <w:tcW w:w="972" w:type="dxa"/>
            <w:tcBorders/>
            <w:vAlign w:val="center"/>
          </w:tcPr>
          <w:p>
            <w:pPr>
              <w:pStyle w:val="TableContents"/>
              <w:pBdr>
                <w:top w:val="single" w:sz="2" w:space="1" w:color="000000"/>
              </w:pBdr>
              <w:bidi w:val="0"/>
              <w:spacing w:before="0" w:after="0"/>
              <w:jc w:val="left"/>
              <w:rPr/>
            </w:pPr>
            <w:r>
              <w:rPr/>
              <w:t> </w:t>
            </w:r>
          </w:p>
        </w:tc>
        <w:tc>
          <w:tcPr>
            <w:tcW w:w="199"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79" w:type="dxa"/>
            <w:tcBorders/>
            <w:vAlign w:val="center"/>
          </w:tcPr>
          <w:p>
            <w:pPr>
              <w:pStyle w:val="TableContents"/>
              <w:pBdr>
                <w:top w:val="single" w:sz="2" w:space="1" w:color="000000"/>
              </w:pBdr>
              <w:bidi w:val="0"/>
              <w:spacing w:before="0" w:after="0"/>
              <w:jc w:val="left"/>
              <w:rPr/>
            </w:pPr>
            <w:r>
              <w:rPr/>
              <w:t> </w:t>
            </w:r>
          </w:p>
        </w:tc>
        <w:tc>
          <w:tcPr>
            <w:tcW w:w="1033"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decrease in cash and cash equivalents and restricted cash</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972" w:type="dxa"/>
            <w:tcBorders/>
            <w:vAlign w:val="center"/>
          </w:tcPr>
          <w:p>
            <w:pPr>
              <w:pStyle w:val="TableContents"/>
              <w:bidi w:val="0"/>
              <w:spacing w:before="0" w:after="283"/>
              <w:jc w:val="right"/>
              <w:rPr/>
            </w:pPr>
            <w:r>
              <w:rPr/>
              <w:t>(9,356</w:t>
            </w:r>
          </w:p>
        </w:tc>
        <w:tc>
          <w:tcPr>
            <w:tcW w:w="199"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1033" w:type="dxa"/>
            <w:tcBorders/>
            <w:vAlign w:val="center"/>
          </w:tcPr>
          <w:p>
            <w:pPr>
              <w:pStyle w:val="TableContents"/>
              <w:bidi w:val="0"/>
              <w:spacing w:before="0" w:after="283"/>
              <w:jc w:val="right"/>
              <w:rPr/>
            </w:pPr>
            <w:r>
              <w:rPr/>
              <w:t>(33,639</w:t>
            </w:r>
          </w:p>
        </w:tc>
        <w:tc>
          <w:tcPr>
            <w:tcW w:w="170"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pBdr>
                <w:top w:val="double" w:sz="6" w:space="1" w:color="000000"/>
              </w:pBdr>
              <w:bidi w:val="0"/>
              <w:spacing w:before="0" w:after="0"/>
              <w:jc w:val="left"/>
              <w:rPr/>
            </w:pPr>
            <w:r>
              <w:rPr/>
              <w:t> </w:t>
            </w:r>
          </w:p>
        </w:tc>
        <w:tc>
          <w:tcPr>
            <w:tcW w:w="972" w:type="dxa"/>
            <w:tcBorders/>
            <w:vAlign w:val="center"/>
          </w:tcPr>
          <w:p>
            <w:pPr>
              <w:pStyle w:val="TableContents"/>
              <w:pBdr>
                <w:top w:val="double" w:sz="6" w:space="1" w:color="000000"/>
              </w:pBdr>
              <w:bidi w:val="0"/>
              <w:spacing w:before="0" w:after="0"/>
              <w:jc w:val="left"/>
              <w:rPr/>
            </w:pPr>
            <w:r>
              <w:rPr/>
              <w:t> </w:t>
            </w:r>
          </w:p>
        </w:tc>
        <w:tc>
          <w:tcPr>
            <w:tcW w:w="199"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79" w:type="dxa"/>
            <w:tcBorders/>
            <w:vAlign w:val="center"/>
          </w:tcPr>
          <w:p>
            <w:pPr>
              <w:pStyle w:val="TableContents"/>
              <w:pBdr>
                <w:top w:val="double" w:sz="6" w:space="1" w:color="000000"/>
              </w:pBdr>
              <w:bidi w:val="0"/>
              <w:spacing w:before="0" w:after="0"/>
              <w:jc w:val="left"/>
              <w:rPr/>
            </w:pPr>
            <w:r>
              <w:rPr/>
              <w:t> </w:t>
            </w:r>
          </w:p>
        </w:tc>
        <w:tc>
          <w:tcPr>
            <w:tcW w:w="1033"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2025, net cash used in operating activities of $90.4 million was comprised of the net loss of $100.6 million, $7.7 million increase of non-cash items and $2.6 million increase of changes in operating assets and liabilities. For the year ended December 31, 2024, net cash used in operating activities of $75.0 million was comprised of the net loss of $83.1 million, $6.4 million increase of non-cash items and $1.8 million increase of changes in operating assets and liabilities. </w:t>
      </w:r>
    </w:p>
    <w:p>
      <w:pPr>
        <w:pStyle w:val="TextBody"/>
        <w:bidi w:val="0"/>
        <w:spacing w:before="360" w:after="0"/>
        <w:jc w:val="left"/>
        <w:rPr>
          <w:rFonts w:ascii="Times New Roman" w:hAnsi="Times New Roman"/>
          <w:i/>
          <w:sz w:val="20"/>
        </w:rPr>
      </w:pPr>
      <w:r>
        <w:rPr>
          <w:rFonts w:ascii="Times New Roman" w:hAnsi="Times New Roman"/>
          <w:i/>
          <w:sz w:val="20"/>
        </w:rPr>
        <w:t xml:space="preserve">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2025, net cash provided by investing activities of $81.0 million was primarily comprised of $162.0 million from the maturities of marketable securities offset by $80.9 million of purchases of marketable securities. For the year ended December 31, 2024, net cash used in investing activities of $53.9 million was primarily comprised of $131.1 million of purchases of marketable securities, partially offset by $78.0 million from the maturities of marketable securities. </w:t>
      </w:r>
    </w:p>
    <w:p>
      <w:pPr>
        <w:pStyle w:val="TextBody"/>
        <w:bidi w:val="0"/>
        <w:spacing w:before="360" w:after="0"/>
        <w:jc w:val="left"/>
        <w:rPr>
          <w:rFonts w:ascii="Times New Roman" w:hAnsi="Times New Roman"/>
          <w:i/>
          <w:sz w:val="20"/>
        </w:rPr>
      </w:pPr>
      <w:r>
        <w:rPr>
          <w:rFonts w:ascii="Times New Roman" w:hAnsi="Times New Roman"/>
          <w:i/>
          <w:sz w:val="20"/>
        </w:rPr>
        <w:t xml:space="preserve">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2025, the cash provided by financing activities did not have a meaningful impact on our operations. For the year ended December 31, 2024, net cash provided by financing activities of $162.5 million was primarily comprised of $160.5 million of proceeds from the Series C 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Contractual Obligations and Commitments</w:t>
      </w:r>
    </w:p>
    <w:p>
      <w:pPr>
        <w:pStyle w:val="TextBody"/>
        <w:bidi w:val="0"/>
        <w:spacing w:before="120" w:after="0"/>
        <w:jc w:val="left"/>
        <w:rPr>
          <w:rFonts w:ascii="Times New Roman" w:hAnsi="Times New Roman"/>
          <w:sz w:val="20"/>
        </w:rPr>
      </w:pPr>
      <w:r>
        <w:rPr>
          <w:rFonts w:ascii="Times New Roman" w:hAnsi="Times New Roman"/>
          <w:sz w:val="20"/>
        </w:rPr>
        <w:t xml:space="preserve">We enter into contracts in the normal course of business with third parties for preclinical research studies, upcoming clinical trials and testing and manufacturing services. These contracts typically do not contain minimum purchase commitments and are generally cancelable by us upon written notice. Payments due upon cancellation consist of payments for services provided or expenses incurred, including noncancelable obligations of the service providers, up to the date of cancellation and in the case of certain arrangements may include noncancelable fees. </w:t>
      </w:r>
    </w:p>
    <w:p>
      <w:pPr>
        <w:pStyle w:val="TextBody"/>
        <w:bidi w:val="0"/>
        <w:spacing w:before="240" w:after="0"/>
        <w:jc w:val="left"/>
        <w:rPr>
          <w:rFonts w:ascii="Times New Roman" w:hAnsi="Times New Roman"/>
          <w:sz w:val="20"/>
        </w:rPr>
      </w:pPr>
      <w:r>
        <w:rPr>
          <w:rFonts w:ascii="Times New Roman" w:hAnsi="Times New Roman"/>
          <w:sz w:val="20"/>
        </w:rPr>
        <w:t xml:space="preserve">There were no changes to our leases and license and collaboration agreements during the six months ended June 30, 2026. </w:t>
      </w:r>
    </w:p>
    <w:p>
      <w:pPr>
        <w:pStyle w:val="TextBody"/>
        <w:bidi w:val="0"/>
        <w:spacing w:before="360" w:after="0"/>
        <w:jc w:val="left"/>
        <w:rPr>
          <w:rFonts w:ascii="Times New Roman" w:hAnsi="Times New Roman"/>
          <w:b/>
          <w:sz w:val="20"/>
        </w:rPr>
      </w:pPr>
      <w:r>
        <w:rPr>
          <w:rFonts w:ascii="Times New Roman" w:hAnsi="Times New Roman"/>
          <w:b/>
          <w:sz w:val="20"/>
        </w:rPr>
        <w:t>Critical Accounting Policies and Estimates</w:t>
      </w:r>
    </w:p>
    <w:p>
      <w:pPr>
        <w:pStyle w:val="TextBody"/>
        <w:bidi w:val="0"/>
        <w:spacing w:before="120" w:after="0"/>
        <w:jc w:val="left"/>
        <w:rPr>
          <w:rFonts w:ascii="Times New Roman" w:hAnsi="Times New Roman"/>
          <w:sz w:val="20"/>
        </w:rPr>
      </w:pPr>
      <w:r>
        <w:rPr>
          <w:rFonts w:ascii="Times New Roman" w:hAnsi="Times New Roman"/>
          <w:sz w:val="20"/>
        </w:rPr>
        <w:t>Our condensed consolidated financial statements have been prepared in accordance with US generally accepted accounting principles, or GAAP. The preparation of these condensed consolidated financial statements requires us to make estimates and assumptions that affect the reported amounts of assets and liabilities, the disclosure of contingent assets and liabilities at the date of the condensed consolidated financial statements and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The effects of material revisions in estimates, if any, will be reflected in the consolidated financial statements prospectively from the date of change in estimates. Our critical accounting policies are those policies that require the most significant judgments and estimates in the preparation of the condensed consolidated financial statements. Management has determined that our most critical accounting policies are those relating to research and development expenses and accruals and stock based compensation.</w:t>
      </w:r>
    </w:p>
    <w:p>
      <w:pPr>
        <w:pStyle w:val="TextBody"/>
        <w:bidi w:val="0"/>
        <w:spacing w:before="360" w:after="0"/>
        <w:jc w:val="left"/>
        <w:rPr>
          <w:rFonts w:ascii="Times New Roman" w:hAnsi="Times New Roman"/>
          <w:b/>
          <w:sz w:val="20"/>
        </w:rPr>
      </w:pPr>
      <w:r>
        <w:rPr>
          <w:rFonts w:ascii="Times New Roman" w:hAnsi="Times New Roman"/>
          <w:b/>
          <w:sz w:val="20"/>
        </w:rPr>
        <w:t>Recent Accounting Pronouncements</w:t>
      </w:r>
    </w:p>
    <w:p>
      <w:pPr>
        <w:pStyle w:val="TextBody"/>
        <w:bidi w:val="0"/>
        <w:spacing w:before="120" w:after="0"/>
        <w:jc w:val="left"/>
        <w:rPr>
          <w:rFonts w:ascii="Times New Roman" w:hAnsi="Times New Roman"/>
          <w:sz w:val="20"/>
        </w:rPr>
      </w:pPr>
      <w:r>
        <w:rPr>
          <w:rFonts w:ascii="Times New Roman" w:hAnsi="Times New Roman"/>
          <w:sz w:val="20"/>
        </w:rPr>
        <w:t>A description of recently issued accounting pronouncements that may potentially impact our financial position and results of operations is disclosed in Note 2, “</w:t>
      </w:r>
      <w:r>
        <w:rPr>
          <w:rFonts w:ascii="Times New Roman" w:hAnsi="Times New Roman"/>
          <w:i/>
          <w:sz w:val="20"/>
        </w:rPr>
        <w:t>Summary of Significant Accounting Policies</w:t>
      </w:r>
      <w:r>
        <w:rPr>
          <w:rFonts w:ascii="Times New Roman" w:hAnsi="Times New Roman"/>
          <w:sz w:val="20"/>
        </w:rPr>
        <w:t>” to our condensed consolidated financial statements included elsewhere in this prospectus.</w:t>
      </w:r>
    </w:p>
    <w:p>
      <w:pPr>
        <w:pStyle w:val="TextBody"/>
        <w:bidi w:val="0"/>
        <w:spacing w:before="360" w:after="0"/>
        <w:jc w:val="left"/>
        <w:rPr>
          <w:rFonts w:ascii="Times New Roman" w:hAnsi="Times New Roman"/>
          <w:b/>
          <w:sz w:val="20"/>
        </w:rPr>
      </w:pPr>
      <w:r>
        <w:rPr>
          <w:rFonts w:ascii="Times New Roman" w:hAnsi="Times New Roman"/>
          <w:b/>
          <w:sz w:val="20"/>
        </w:rPr>
        <w:t xml:space="preserve">Quantitative and Qualitative Disclosures about Market Risk </w:t>
      </w:r>
    </w:p>
    <w:p>
      <w:pPr>
        <w:pStyle w:val="TextBody"/>
        <w:bidi w:val="0"/>
        <w:spacing w:before="120" w:after="0"/>
        <w:jc w:val="left"/>
        <w:rPr>
          <w:rFonts w:ascii="Times New Roman" w:hAnsi="Times New Roman"/>
          <w:sz w:val="20"/>
        </w:rPr>
      </w:pPr>
      <w:r>
        <w:rPr>
          <w:rFonts w:ascii="Times New Roman" w:hAnsi="Times New Roman"/>
          <w:sz w:val="20"/>
        </w:rPr>
        <w:t xml:space="preserve">Market risk represents the risk of loss that may impact our financial position because of adverse changes in financial market prices and rates. Our market risk exposure is primarily a result of exposure resulting from potential changes in interest rates, exchange rates or inflation. We do not hold financial instruments for trading purposes.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rate risk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we had $34.4 million, in cash, cash equivalents and marketable securities, which consisted of cash, money market funds, and U.S. treasury bills. Our cash and cash equivalents are maintained in accounts with multiple financial institutions in the United States. We may maintain cash and cash equivalent balances in excess of Federal Deposit Insurance Corporation (FDIC) limits. We do not believe that we are subject to unusual credit risk beyond the normal credit risk associated with commercial banking relationships. Our primary exposure to market risk is interest rate sensitivity, which is affected by changes in the general level of U.S. interest rates. Due to the short-term duration of our investment portfolio and the low risk profile of our investments, we believe an immediate 10% change in interest rates would not have a material effect on the fair market value of our investment portfolio. We have the ability to hold our investments until maturity, and therefore, we would not expect our operating results or cashflows to be affected to any significant degree by the effect of a change in market interest rates on our investment portfolio.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x127696_13"/>
      <w:bookmarkEnd w:id="14"/>
      <w:r>
        <w:rPr>
          <w:rFonts w:ascii="Times New Roman" w:hAnsi="Times New Roman"/>
          <w:b/>
          <w:sz w:val="20"/>
        </w:rPr>
        <w:t xml:space="preserve">BUSINESS </w:t>
      </w:r>
    </w:p>
    <w:p>
      <w:pPr>
        <w:pStyle w:val="TextBody"/>
        <w:bidi w:val="0"/>
        <w:spacing w:before="240" w:after="0"/>
        <w:jc w:val="left"/>
        <w:rPr>
          <w:rFonts w:ascii="Times New Roman" w:hAnsi="Times New Roman"/>
          <w:i/>
          <w:sz w:val="20"/>
        </w:rPr>
      </w:pPr>
      <w:r>
        <w:rPr>
          <w:rFonts w:ascii="Times New Roman" w:hAnsi="Times New Roman"/>
          <w:i/>
          <w:sz w:val="20"/>
        </w:rPr>
        <w:t xml:space="preserve">Unless the context otherwise requires, references in this section to “we,” “us,” “our” and the “Company” refer to Obsidian Therapeutics, Inc. following the closing of the Mergers.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clinical-stage biopharmaceutical company harnessing novel protein-regulation technology to develop engineered tumor infiltrating lymphocyte, or TIL, cell therapies for the treatment of patients with solid tumors. Our proprietary cytoDRiVE™ platform is highly versatile and allows us to leverage drug responsive domains, or DRDs, to control protein function, with our initial focus on TIL cell therapies developed from this platform, or cytoTILs™. Our lead product candidate, amsoki-cel, is a novel, genetically engineered, autologous TIL cell therapy currently in a Phase 2 clinical trial for the treatment of advanced melanoma and a Phase 1 clinical trial for the treatment of non-small cell lung cancer, or NSCLC. Our proprietary cytoDRiVE platform has enabled amsoki-cel to have the potential to drive superior tumor-killing activity with a significantly more tolerable safety profile. In contrast to other TIL approaches, amsoki-cel is designed with regulatable membrane-bound IL15, or mbIL15, which drives TIL persistence, eliminates the need to dose toxic interleukin-2, or IL2, and enables outpatient administration of low-dose lymphodepletion. We currently own or in-license the intellectual property rights to amsoki-cel and own the intellectual property to our proprietary cytoDRiVE platform. Furthermore, amsoki-cel can be manufactured using tumor tissue procurement from an outpatient, minimally invasive core needle biopsy. Across a cohort of fifteen patients with treatment-resistant or refractory melanoma in our Phase 1/2 clinical trial, amsoki-cel administration at the recommended Phase 2 dose demonstrated a 67% confirmed objective response rate, or ORR, and significant tumor burden reduction, including two confirmed complete responses, or CRs. This response rate, to our knowledge, is the highest current ORR shown in this setting across modalities. We believe that, if approved, the more favorable product profile will support rapid market adoption of amsoki-cel relative to currently available TIL cell therapies. Amsoki-cel has been granted Fast Track and Regenerative Medicine Advanced Therapy, or RMAT, designations from the U.S. Food and Drug Administration, or FDA, for the treatment of patients with unresectable or metastatic melanoma that is resistant to immune checkpoint inhibitor, or ICI, therapy. These designations are advantageous to facilitate and expedite the review of therapies, allow for more frequent meetings with FDA to discuss the development plan for the product candidate, and enable potential eligibility for rolling review and priority review, however such designations do not guarantee marketing approval, either on an accelerated basis or otherwise. In our Phase 1 clinical trial in NSCLC, early clinical results show robust tumor shrinkage and include multiple confirmed partial responses, or PRs. We expect to present updated melanoma RP2D data in the fourth quarter of 2026, followed by additional NSCLC Phase 1 clinical data in the first half of 2027 and topline data from our melanoma registration-enabling cohort by year-end 2027. We believe our product candidates are distinct from current cell therapies and have the potential to significantly impact the treatment of solid tumors and clinical outcomes of patients with cancer. </w:t>
      </w:r>
    </w:p>
    <w:p>
      <w:pPr>
        <w:pStyle w:val="TextBody"/>
        <w:bidi w:val="0"/>
        <w:spacing w:before="240" w:after="0"/>
        <w:jc w:val="left"/>
        <w:rPr>
          <w:rFonts w:ascii="Times New Roman" w:hAnsi="Times New Roman"/>
          <w:sz w:val="20"/>
        </w:rPr>
      </w:pPr>
      <w:r>
        <w:rPr>
          <w:rFonts w:ascii="Times New Roman" w:hAnsi="Times New Roman"/>
          <w:sz w:val="20"/>
        </w:rPr>
        <w:t xml:space="preserve">Cell therapies have delivered transformational benefits in treating hematological malignancies; however, their impact in treating solid tumors has been limited. Approved chimeric antigen receptor, or CAR-T, cell therapies or engineered T-cell receptor, or TCR-T, cell therapies, which target single antigens, have demonstrated limited efficacy in solid tumors while leading to significant toxicities. Solid tumors present formidable barriers to immune and cell therapies, including antigen heterogeneity, physical exclusion of immune cells, immunosuppressive tumor microenvironments, and adverse effects due to overlapping expression of tumor targets in tumor cells with non-tumor host cells. Furthermore, while immunotherapies such as ICIs have improved outcomes for patients, more than 85% of cancer patients fail to respond to ICI therapy. As such, solid tumors represent an area of high unmet clinical need, accounting for over 90% of cancer deaths.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by using TIL, which are immune cells extracted from a patient’s own tumor, and our cytoDRiVE platform to develop amsoki-cel, we will be able to overcome the challenges faced by traditional cell therapies. As TIL contain T cells that recognize a broad spectrum of tumor antigens, the potential for loss of antitumor activity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due to antigen heterogeneity is limited. In addition, TIL, being tumor-derived, has an advantage over T cell therapies manufactured from circulating T cells based on their ability to migrate to tumors. </w:t>
      </w:r>
    </w:p>
    <w:p>
      <w:pPr>
        <w:pStyle w:val="TextBody"/>
        <w:bidi w:val="0"/>
        <w:spacing w:before="240" w:after="0"/>
        <w:jc w:val="left"/>
        <w:rPr>
          <w:rFonts w:ascii="Times New Roman" w:hAnsi="Times New Roman"/>
          <w:sz w:val="20"/>
        </w:rPr>
      </w:pPr>
      <w:r>
        <w:rPr>
          <w:rFonts w:ascii="Times New Roman" w:hAnsi="Times New Roman"/>
          <w:sz w:val="20"/>
        </w:rPr>
        <w:t xml:space="preserve">Clinical trials with standard non-engineered TIL, the first generation of TIL cell therapy that involves isolation and expansion of all TIL in the tumor sample, have shown objective responses in clinical trials in limited solid tumor types. Amsoki-cel is an engineered TIL expressing pharmacologically regulatable mbIL15, which has been shown to enhance their cytotoxicity and potentially their persistence. </w:t>
      </w:r>
    </w:p>
    <w:p>
      <w:pPr>
        <w:pStyle w:val="TextBody"/>
        <w:bidi w:val="0"/>
        <w:spacing w:before="240" w:after="0"/>
        <w:jc w:val="left"/>
        <w:rPr>
          <w:rFonts w:ascii="Times New Roman" w:hAnsi="Times New Roman"/>
          <w:sz w:val="20"/>
        </w:rPr>
      </w:pPr>
      <w:r>
        <w:rPr>
          <w:rFonts w:ascii="Times New Roman" w:hAnsi="Times New Roman"/>
          <w:sz w:val="20"/>
        </w:rPr>
        <w:t xml:space="preserve">We have a growing library of internally discovered DRDs of varying sizes and purposes, and our cytoDRiVE platform is designed to enable rapid optimization of tunable and functional proteins. We have developed an extensive synthetic biology engineering toolkit to potentially optimize protein functionality in any cell type, including but not limited to, type I/II membrane proteins, membrane-tethered cytokines, intracellular proteins, secreted proteins, and genome editing proteins. In addition to the development of our cytoTILs, we are exploring the breadth of our cytoDRiVE platform by developing novel approaches that expand its potential applications to additional cell therapies, including the ability to regulate secreted proteins and expression of messenger RNA, or mRNA, or small interfering RNA, or siRNA. cytoDRiVE is highly versatile and can be applied across a broad range of therapeutic applications, including to broaden the reach of cell therapies (including CAR-T) and gene therapies outside of oncology. Our cytoDRiVE platform has led to the development of our lead cytoTIL product candidate, amsoki-cel, with carbonic anhydrase 2, or CA2, as the DRD which is pharmacologically regulated by acetazolamide, or ACZ, to allow for control of mbIL15 expression. </w:t>
      </w:r>
    </w:p>
    <w:p>
      <w:pPr>
        <w:pStyle w:val="TextBody"/>
        <w:bidi w:val="0"/>
        <w:spacing w:before="360" w:after="0"/>
        <w:jc w:val="left"/>
        <w:rPr>
          <w:rFonts w:ascii="Times New Roman" w:hAnsi="Times New Roman"/>
          <w:b/>
          <w:sz w:val="20"/>
        </w:rPr>
      </w:pPr>
      <w:r>
        <w:rPr>
          <w:rFonts w:ascii="Times New Roman" w:hAnsi="Times New Roman"/>
          <w:b/>
          <w:sz w:val="20"/>
        </w:rPr>
        <w:t xml:space="preserve">Our Product Candidate: Amsoki-cel </w:t>
      </w:r>
    </w:p>
    <w:p>
      <w:pPr>
        <w:pStyle w:val="TextBody"/>
        <w:bidi w:val="0"/>
        <w:spacing w:before="120" w:after="0"/>
        <w:jc w:val="left"/>
        <w:rPr>
          <w:rFonts w:ascii="Times New Roman" w:hAnsi="Times New Roman"/>
          <w:sz w:val="20"/>
        </w:rPr>
      </w:pPr>
      <w:r>
        <w:rPr>
          <w:rFonts w:ascii="Times New Roman" w:hAnsi="Times New Roman"/>
          <w:sz w:val="20"/>
        </w:rPr>
        <w:t xml:space="preserve">Our lead product candidate, amsoki-cel, is designed to significantly improve upon existing cell therapies, including non-engineered TIL cell therapies, that have demonstrated limited success due to moderate efficacy, unfavorable adverse event profile, and manufacturing challenges. We designed our proprietary manufacturing process to ensure amsoki-cel would contain tumor-reactive TIL with high antitumor activity and phenotypically enriched for expansion and persistence. In addition, we have optimized our manufacturing process across the continuum of pre-Rapid Expansion Protocol, or Pre-REP, activation, transduction of CA2-mbIL15 construct, Rapid Expansion Protocol, or REP, and cryopreservation to potentially allow for robustness, reproducibility, and a high manufacturing success rate. By leveraging our cytoDRiVE and our robust proprietary manufacturing process, we believe amsoki-cel has key attributes required to address the unmet need in the treatment of solid tumors and to meaningfully expand the targetable patient population. These attributes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Transduced to express mbIL15</w:t>
            </w:r>
            <w:r>
              <w:rPr>
                <w:rFonts w:ascii="Times New Roman" w:hAnsi="Times New Roman"/>
                <w:sz w:val="20"/>
              </w:rPr>
              <w:t xml:space="preserve">: We utilize ACZ, an oral, FDA approved drug, to regulate the expression of mbIL15 on amsoki-cel. The presence of ACZ, both in our manufacturing process and in patients, stabilizes our mbIL15 construct, allowing it to be expressed on the cell surface where it can activate T cells as well as other immune cells such as natural killer, or NK, cells. This dosing schedule also enables longer term cell persistence. In the absence of ACZ, mbIL15 is degraded by the cell’s disposal mechanism, known as the cellular proteasome system.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No IL</w:t>
            </w:r>
            <w:r>
              <w:rPr>
                <w:rFonts w:ascii="Times New Roman" w:hAnsi="Times New Roman"/>
                <w:b/>
                <w:sz w:val="20"/>
              </w:rPr>
              <w:t xml:space="preserve">2 </w:t>
            </w:r>
            <w:r>
              <w:rPr>
                <w:rFonts w:ascii="Times New Roman" w:hAnsi="Times New Roman"/>
                <w:b/>
                <w:i/>
                <w:sz w:val="20"/>
              </w:rPr>
              <w:t>needed during REP nor after TIL infusion</w:t>
            </w:r>
            <w:r>
              <w:rPr>
                <w:rFonts w:ascii="Times New Roman" w:hAnsi="Times New Roman"/>
                <w:b/>
                <w:sz w:val="20"/>
              </w:rPr>
              <w:t>:</w:t>
            </w:r>
            <w:r>
              <w:rPr>
                <w:rFonts w:ascii="Times New Roman" w:hAnsi="Times New Roman"/>
                <w:sz w:val="20"/>
              </w:rPr>
              <w:t xml:space="preserve"> Regulated mbIL15 expression drives TIL persistence, eliminating the need for IL2 both during the REP of manufacturing and after TIL infusion. IL2 stimulation of T cells during the REP causes T cell exhaustion, which may translate to reduced T cell persistence after infusion and activation-induced cell death, a form of programmed cell death. Use of IL2 also leads to expansion of regulatory T cells, or Tregs, immune cells that have the potential to suppress T cell cytotoxicity. Further, systemic administration of IL2 has been shown to induce severe toxicities, including capillary leak syndrome with potential for multi-organ failure, myocardial infarction, acute renal failure, and immune-mediated neuropathy.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Utilizes low-dose lymphodepletion</w:t>
            </w:r>
            <w:r>
              <w:rPr>
                <w:rFonts w:ascii="Times New Roman" w:hAnsi="Times New Roman"/>
                <w:b/>
                <w:sz w:val="20"/>
              </w:rPr>
              <w:t>:</w:t>
            </w:r>
            <w:r>
              <w:rPr>
                <w:rFonts w:ascii="Times New Roman" w:hAnsi="Times New Roman"/>
                <w:sz w:val="20"/>
              </w:rPr>
              <w:t xml:space="preserve"> Presence of regulated mbIL15 enables the use of low-dose lymphodepletion for amsoki-cel. As compared to non-engineered TIL, treatment with amsoki-cel utilizes approximately 50% less cyclophosphamide and is compatible with outpatient administration.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Standard-dose lymphodepletion has approximately four times more cyclophosphamide than CAR-T regimens and predominantly requires inpatient administration. The administration of standard-dose lymphodepletion and high-dose IL2 in first generation, non-engineered, approved TIL cell therapies further elevates risk of adverse event severity.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More convenient tissue procurement and reduced burden on patients</w:t>
            </w:r>
            <w:r>
              <w:rPr>
                <w:rFonts w:ascii="Times New Roman" w:hAnsi="Times New Roman"/>
                <w:b/>
                <w:sz w:val="20"/>
              </w:rPr>
              <w:t>:</w:t>
            </w:r>
            <w:r>
              <w:rPr>
                <w:rFonts w:ascii="Times New Roman" w:hAnsi="Times New Roman"/>
                <w:sz w:val="20"/>
              </w:rPr>
              <w:t xml:space="preserve"> Our clinical data has shown that our optimized manufacturing process allows us to utilize core needle biopsy for tumor tissue procurement, which is an outpatient procedure with minimal scheduling complexity compared to surgical resection.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 xml:space="preserve">Manufacturing innovation driving superior phenotype: </w:t>
            </w:r>
            <w:r>
              <w:rPr>
                <w:rFonts w:ascii="Times New Roman" w:hAnsi="Times New Roman"/>
                <w:sz w:val="20"/>
              </w:rPr>
              <w:t xml:space="preserve">Optimization and innovation of our manufacturing process, including the use of 4-1BB agonism, engineered iFeeder cells, and pharmacologically regulatable mbIL15 creates a drug product that consists of minimally exhausted, memory-rich CD8+ cells. These attributes allow for robust expansion and persistence with enhanced cytotoxicity of amsoki-cel post-infusion into the patient.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Together, we believe the innovation of regulated mbIL15 engineering, along with the proprietary technology and optimization of our manufacturing process, drives a differentiated product profile with a potentially decreased treatment burden for patients, while demonstrating multiple profile advantages over other cell therapies. </w:t>
      </w:r>
    </w:p>
    <w:p>
      <w:pPr>
        <w:pStyle w:val="TextBody"/>
        <w:bidi w:val="0"/>
        <w:spacing w:before="240" w:after="0"/>
        <w:jc w:val="left"/>
        <w:rPr>
          <w:rFonts w:ascii="Times New Roman" w:hAnsi="Times New Roman"/>
          <w:sz w:val="20"/>
        </w:rPr>
      </w:pPr>
      <w:r>
        <w:rPr>
          <w:rFonts w:ascii="Times New Roman" w:hAnsi="Times New Roman"/>
          <w:sz w:val="20"/>
        </w:rPr>
        <w:t xml:space="preserve">In our Phase 1/2 trial, in a cohort of 15 patients with advanced melanoma and confirmed radiological progression post-ICI therapy, an indication of high unmet medical need, treatment with amsoki-cel at the recommended Phase 2 dose, or RP2D, led to an unprecedented ORR of 67% with rapid and durable tumor regression. Furthermore, there was no treatment-related mortality, or TRM, dose-limiting toxicities, or DLTs, or discontinuations due to adverse events. There were no cases of immune effector-cell associated neurotoxicity syndromes, or ICANS. Our optimized regimen enables outpatient administration of low dose lymphodepletion. </w:t>
      </w:r>
    </w:p>
    <w:p>
      <w:pPr>
        <w:pStyle w:val="TextBody"/>
        <w:bidi w:val="0"/>
        <w:spacing w:before="240" w:after="0"/>
        <w:jc w:val="left"/>
        <w:rPr>
          <w:rFonts w:ascii="Times New Roman" w:hAnsi="Times New Roman"/>
          <w:sz w:val="20"/>
        </w:rPr>
      </w:pPr>
      <w:r>
        <w:rPr>
          <w:rFonts w:ascii="Times New Roman" w:hAnsi="Times New Roman"/>
          <w:sz w:val="20"/>
        </w:rPr>
        <w:t xml:space="preserve">Amtagvi®, or lifileucel, was the first TIL cell therapy to receive accelerated FDA approval in 2024 for the treatment of adult patients with unresectable or metastatic melanoma previously treated with a PD-1 blocking antibody, and if B-Raf proto-oncogene, or BRAF, V600 mutation positive, a BRAF inhibitor with or without a mitogen-activated protein kinase enzyme, or MEK, inhibitor. Amtagvi’s approval was based on a 31.5% ORR and the label carries a boxed warning for multiple serious risks, including 7.5% rate of TRM, prolonged severe cytopenia, internal organ hemorrhage, and severe infections. During Amtagvi’s registrational clinical trial, capillary leak syndrome occurred in 13.5% and encephalopathy in 17.3% of Amtagvi treated patients. Additionally, grade ≥ 3 febrile neutropenia was seen in 46.8% of patients and 23.6% of patients were transferred to the intensive care unit, or ICU, post-infusion. Many patients in this trial experienced an extended hospital length-of-stay. The boxed warning restricts use of Amtagvi to use only in the inpatient setting with the availability of cardiopulmonary or intensive care specialists. These fatal treatment-related adverse effects are potentially attributed to the multicomponent regimen including standard-dose lymphodepletion and IL2. The amsoki-cel treatment regimen does not include standard-dose lymphodepletion or IL2 and it has a zero rate of TRM and a 10% rate of ≥ Grade 3 febrile neutropenia. Additionally, there have been no cases of capillary leak syndrome or encephalopathy, nor have any ICU transfers occurred among patients with melanoma treated with amsoki-cel. </w:t>
      </w:r>
    </w:p>
    <w:p>
      <w:pPr>
        <w:pStyle w:val="TextBody"/>
        <w:bidi w:val="0"/>
        <w:spacing w:before="240" w:after="0"/>
        <w:jc w:val="left"/>
        <w:rPr>
          <w:rFonts w:ascii="Times New Roman" w:hAnsi="Times New Roman"/>
          <w:sz w:val="20"/>
        </w:rPr>
      </w:pPr>
      <w:r>
        <w:rPr>
          <w:rFonts w:ascii="Times New Roman" w:hAnsi="Times New Roman"/>
          <w:sz w:val="20"/>
        </w:rPr>
        <w:t xml:space="preserve">The U.S. incidence of second-line advanced melanoma is about 10,300 with about 8,500 deaths annually. Our analyses suggest that based on its favorable product profile, amsoki-cel has the potential to double the number of treatment-eligible patients with advanced melanoma compared to existing non-engineered TILs. </w:t>
      </w:r>
    </w:p>
    <w:p>
      <w:pPr>
        <w:pStyle w:val="TextBody"/>
        <w:bidi w:val="0"/>
        <w:spacing w:before="240" w:after="0"/>
        <w:jc w:val="left"/>
        <w:rPr>
          <w:rFonts w:ascii="Times New Roman" w:hAnsi="Times New Roman"/>
          <w:sz w:val="20"/>
        </w:rPr>
      </w:pPr>
      <w:r>
        <w:rPr>
          <w:rFonts w:ascii="Times New Roman" w:hAnsi="Times New Roman"/>
          <w:sz w:val="20"/>
        </w:rPr>
        <w:t xml:space="preserve">The FDA granted amsoki-cel Fast Track and RMAT designations for the treatment of patients with unresectable or metastatic melanoma that is resistant to ICI therapy. Candidates receiving RMAT designation may also be eligible for accelerated approval and priority review. We expect to announce updated melanoma RP2D data in the fourth quarter of 2026. Enrollment is ongoing in our registration-enabling cohort of our existing multicenter Agni-01 study for amsoki-cel in second-line advanced melanoma, with top-line data expected by year-end 2027.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are also investigating the potential of amsoki-cel as a first-line treatment for advanced melanoma in a dedicated cohort of our ongoing Agni-01 multicenter study. Advanced NSCLC is another attractive indication to pursue with amsoki-cel as it is an immune sensitive tumor with a prevalence approximately ten times greater than that of advanced melanoma. In our Phase 1 regimen optimization NSCLC trial, amsoki-cel has shown reductions in tumor burden, including multiple PRs in patients that had previously been treated with ICI. We believe amsoki-cel has an optimal product profile to drive greater applicability and adoption. </w:t>
      </w:r>
    </w:p>
    <w:p>
      <w:pPr>
        <w:pStyle w:val="TextBody"/>
        <w:bidi w:val="0"/>
        <w:spacing w:before="360" w:after="0"/>
        <w:jc w:val="left"/>
        <w:rPr>
          <w:rFonts w:ascii="Times New Roman" w:hAnsi="Times New Roman"/>
          <w:b/>
          <w:sz w:val="20"/>
        </w:rPr>
      </w:pPr>
      <w:r>
        <w:rPr>
          <w:rFonts w:ascii="Times New Roman" w:hAnsi="Times New Roman"/>
          <w:b/>
          <w:sz w:val="20"/>
        </w:rPr>
        <w:t xml:space="preserve">Our Pipeline </w:t>
      </w:r>
    </w:p>
    <w:p>
      <w:pPr>
        <w:pStyle w:val="TextBody"/>
        <w:bidi w:val="0"/>
        <w:spacing w:before="120" w:after="0"/>
        <w:jc w:val="left"/>
        <w:rPr>
          <w:rFonts w:ascii="Times New Roman" w:hAnsi="Times New Roman"/>
          <w:sz w:val="20"/>
        </w:rPr>
      </w:pPr>
      <w:r>
        <w:rPr>
          <w:rFonts w:ascii="Times New Roman" w:hAnsi="Times New Roman"/>
          <w:sz w:val="20"/>
        </w:rPr>
        <w:t xml:space="preserve">We are building an innovative pipeline of genetically engineered TIL cell therapies, led by amsoki-cel, for the treatment of solid tumors. We own worldwide rights to amsoki-cel and our earlier stage product candidates. Our current pipeline is summarized in the diagram below.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5800" cy="179006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65800" cy="1790065"/>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Our Strategy </w:t>
      </w:r>
    </w:p>
    <w:p>
      <w:pPr>
        <w:pStyle w:val="TextBody"/>
        <w:bidi w:val="0"/>
        <w:spacing w:before="120" w:after="0"/>
        <w:jc w:val="left"/>
        <w:rPr>
          <w:rFonts w:ascii="Times New Roman" w:hAnsi="Times New Roman"/>
          <w:sz w:val="20"/>
        </w:rPr>
      </w:pPr>
      <w:r>
        <w:rPr>
          <w:rFonts w:ascii="Times New Roman" w:hAnsi="Times New Roman"/>
          <w:sz w:val="20"/>
        </w:rPr>
        <w:t xml:space="preserve">Our goal is to leverage our cytoDRiVE platform to unlock the full potential of cell therapies to treat solid tumors. We believe that our ability to dynamically regulate the activity of our cell therapies in the body using our cytoDRiVE platform is key to achieving this goal. Our strategy is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Advance amsoki-cel for the treatment of melanoma and NSCLC.</w:t>
            </w:r>
            <w:r>
              <w:rPr>
                <w:rFonts w:ascii="Times New Roman" w:hAnsi="Times New Roman"/>
                <w:sz w:val="20"/>
              </w:rPr>
              <w:t xml:space="preserve"> Clinical results in patients with second-line advanced melanoma with previous ICI experience provide compelling support for the differentiated antitumor and tolerability profile of amsoki-cel. We expect to announce updated melanoma RP2D data in the fourth quarter of 2026. Enrollment is ongoing in our registration-enabling cohort of our existing multicenter Agni-01 study for amsoki-cel in second-line advanced melanoma, with top-line data expected by year-end 2027. A registration-enabling study is a clinical trial that is intended to obtain sufficient efficacy and safety data to support an NDA or BLA submission to obtain regulatory approval. Although registration-enabling clinical studies are often Phase 3 trials, the FDA has approved drugs based on Phase 2 registration-enabling clinical studies through its accelerated approval program, provided the product is eligible and meets the conditions of accelerated approval. We are also investigating the potential of amsoki-cel as a first-line treatment for advanced melanoma in a dedicated cohort of our ongoing Agni-01 multicenter study. In NSCLC, early clinical results in patients previously treated with ICIs suggest that amsoki-cel has the potential to deliver meaningful antitumor activity in NSCLC while maintaining a generally well-tolerated profile. We intend to continue enrolling patients in our ongoing trial and expect Phase 1 clinical data in the first half of 2027. Similar to melanoma, we believe that the observed tolerability profile of amsoki-cel may provide an opportunity to evaluate the potential of amsoki-cel earlier in the course of disease.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Evaluate the potential of amsoki-cel for the treatment of other solid tumors.</w:t>
            </w:r>
            <w:r>
              <w:rPr>
                <w:rFonts w:ascii="Times New Roman" w:hAnsi="Times New Roman"/>
                <w:sz w:val="20"/>
              </w:rPr>
              <w:t xml:space="preserve"> Amsoki-cel may be applicable to additional solid tumor types where scientific rationale or prior TIL activity supports development, including tumors with prognostic TIL associations, supportive preclinical findings,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clinical responses to non-engineered TIL. This rationale extends to tumor types with FDA approved ICI therapies, where endogenous TIL activity is a mediator of response and progression following ICI therapy may indicate exhaustion of TIL function. By leveraging cytoDRiVE and our proprietary manufacturing process, in contrast to what is currently feasible with non-engineered TIL, amsoki-cel may be manufactured from these tumors, whether they harbor suppressed tumor reactive TIL that regulatable mbIL15 may functionally enhance or fewer TIL overall that are potentially expandable in the REP phase leading to robust cell dose yields.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Advance our manufacturing capabilities in anticipation of our biologics license application, or BLA, and, if approved, commercial launch. </w:t>
            </w:r>
            <w:r>
              <w:rPr>
                <w:rFonts w:ascii="Times New Roman" w:hAnsi="Times New Roman"/>
                <w:sz w:val="20"/>
              </w:rPr>
              <w:t xml:space="preserve">We believe our proprietary manufacturing process enables advantages in phenotype, yield, process robustness, and tumor procurement flexibility. We collaborate with leading contract development manufacturing organizations, or CDMOs, with cell therapies expertise to manufacture amsoki-cel, and plan to expand our capacity with these partners as we approach potential regulatory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Commercialize amsoki-cel in the United States and evaluate partnership opportunities in other regions. </w:t>
            </w:r>
            <w:r>
              <w:rPr>
                <w:rFonts w:ascii="Times New Roman" w:hAnsi="Times New Roman"/>
                <w:sz w:val="20"/>
              </w:rPr>
              <w:t xml:space="preserve">We intend to retain commercial rights to amsoki-cel in the United States and opportunistically evaluate strategic collaborations to maximize the commercial potential of amsoki-cel in other regions.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Continue to invest in our cytoDRiVE platform and intellectual property for our cytoTIL product candidates while actively exploring strategic partnerships and collaborations for other applications of our platform. </w:t>
            </w:r>
            <w:r>
              <w:rPr>
                <w:rFonts w:ascii="Times New Roman" w:hAnsi="Times New Roman"/>
                <w:sz w:val="20"/>
              </w:rPr>
              <w:t xml:space="preserve">Our cytoDRiVE platform is designed to be highly versatile and fit-for-purpose, with the ability to drive on- or off-activity across multiple classes of proteins and cell types. We believe there are potential next-generation applications across oncology and broader therapeutic areas. This abundance of potential treatment opportunities may enable us to selectively enter strategic collaborations involving our cytoDRiVE platform to maximize the patient benefit and long-term value of our research and development portfolio.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Our History and Team </w:t>
      </w:r>
    </w:p>
    <w:p>
      <w:pPr>
        <w:pStyle w:val="TextBody"/>
        <w:bidi w:val="0"/>
        <w:spacing w:before="120" w:after="0"/>
        <w:jc w:val="left"/>
        <w:rPr>
          <w:rFonts w:ascii="Times New Roman" w:hAnsi="Times New Roman"/>
          <w:sz w:val="20"/>
        </w:rPr>
      </w:pPr>
      <w:r>
        <w:rPr>
          <w:rFonts w:ascii="Times New Roman" w:hAnsi="Times New Roman"/>
          <w:sz w:val="20"/>
        </w:rPr>
        <w:t xml:space="preserve">Obsidian was founded in 2015 by Atlas Venture to enable a new generation of cell therapies. We are led by a management team with extensive experience in cell therapy, including TIL cell therapies. Madan Jagasia, M.D., our Chief Executive Officer, previously served as Executive Vice President, Medical Affairs at Iovance Biotherapeutics, or Iovance. Prior to Iovance, Dr. Jagasia was Chief Medical Officer and Executive Medical Director of Cancer Patient Care Center, Vanderbilt-Ingram Cancer Center. Parameswaran Hari, M.D., our Chief Medical Officer, has decades of experience leading cell and gene therapy programs. Dr. Hari previously served as Senior Vice President, Clinical Science at Iovance; Chief of Hematology and Oncology at the Medical College of Wisconsin and Secretary of the American Society of Transplantation and Cellular Therapy. Dana Alexander, our Chief Technical Officer, has over 25 years of experience across cell, gene therapy and biologics process development and chemistry, manufacturing, and controls, or CMC, from Phase 1 through commercialization, including serving as Senior Vice President of Technical Operations at AlloVir. Julie Feder, our Chief Financial Officer, has extensive experience in driving the financial and corporate growth of life sciences companies, including serving as Chief Financial Officer for Aura Biosciences, Verastem Oncology, and the Clinton Health Access Initiative.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on Solid Tumors and Cell Therapies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Solid Tumors: A Remaining Unmet Need in Cancer </w:t>
      </w:r>
    </w:p>
    <w:p>
      <w:pPr>
        <w:pStyle w:val="TextBody"/>
        <w:bidi w:val="0"/>
        <w:spacing w:before="120" w:after="0"/>
        <w:jc w:val="left"/>
        <w:rPr>
          <w:rFonts w:ascii="Times New Roman" w:hAnsi="Times New Roman"/>
          <w:sz w:val="20"/>
        </w:rPr>
      </w:pPr>
      <w:r>
        <w:rPr>
          <w:rFonts w:ascii="Times New Roman" w:hAnsi="Times New Roman"/>
          <w:sz w:val="20"/>
        </w:rPr>
        <w:t xml:space="preserve">Despite advances across the treatment landscape, solid tumors remain a significant unmet medical need, with mortality and clinical outcomes generally worsening as disease advances. In 2026, there will be an estimated 2.1 million new cancer cases and 600,000 cancer deaths in the United States, with approximately 90% attributable to solid tumors, according to the American Cancer Society. Several key factors such as tumor heterogeneity, as well as challenging tumor microenvironments, have made solid tumors very difficult to treat.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When tumors become refractory to early lines of treatment, options for further therapy are currently limited to alternate forms of chemotherapy, clinical trials of agents in development or palliative care. Each of these alternatives presents a low likelihood of cure, while generally exposing patients to safety and tolerability concerns. As a result, metastatic solid tumors where the disease has progressed after initial therapy continue to account for a disproportionate share of cancer-related mortality.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Characteristics of Existing Cell Therapies </w:t>
      </w:r>
    </w:p>
    <w:p>
      <w:pPr>
        <w:pStyle w:val="TextBody"/>
        <w:bidi w:val="0"/>
        <w:spacing w:before="120" w:after="0"/>
        <w:jc w:val="left"/>
        <w:rPr>
          <w:rFonts w:ascii="Times New Roman" w:hAnsi="Times New Roman"/>
          <w:i/>
          <w:sz w:val="20"/>
          <w:u w:val="single"/>
        </w:rPr>
      </w:pPr>
      <w:r>
        <w:rPr>
          <w:rFonts w:ascii="Times New Roman" w:hAnsi="Times New Roman"/>
          <w:i/>
          <w:sz w:val="20"/>
          <w:u w:val="single"/>
        </w:rPr>
        <w:t xml:space="preserve">Overview of cell therapies and their limitations </w:t>
      </w:r>
    </w:p>
    <w:p>
      <w:pPr>
        <w:pStyle w:val="TextBody"/>
        <w:bidi w:val="0"/>
        <w:spacing w:before="120" w:after="0"/>
        <w:jc w:val="left"/>
        <w:rPr>
          <w:rFonts w:ascii="Times New Roman" w:hAnsi="Times New Roman"/>
          <w:sz w:val="20"/>
        </w:rPr>
      </w:pPr>
      <w:r>
        <w:rPr>
          <w:rFonts w:ascii="Times New Roman" w:hAnsi="Times New Roman"/>
          <w:sz w:val="20"/>
        </w:rPr>
        <w:t xml:space="preserve">Cellular immunotherapies leverage the innate abilities of immune effector cell, such as tumor trafficking, expansion, and persistence, and address the limitations of conventional cancer treatments. Autologous cell therapies reengineer a patient’s own immune system to recognize tumors with high specificity and enable long-term immune surveillance and durable responses. FDA-approved autologous cell therapies have achieved major advances in multiple hematologic malignancies, including B-cell lymphomas, leukemias, and myeloma, as well as in two solid tumor types: metastatic melanoma and synovial sarcoma. Current autologous approaches fall into three primary categories: CAR-T, TCR-T, and TIL cell therapies. </w:t>
      </w:r>
    </w:p>
    <w:p>
      <w:pPr>
        <w:pStyle w:val="TextBody"/>
        <w:bidi w:val="0"/>
        <w:spacing w:before="240" w:after="0"/>
        <w:jc w:val="left"/>
        <w:rPr>
          <w:rFonts w:ascii="Times New Roman" w:hAnsi="Times New Roman"/>
          <w:sz w:val="20"/>
        </w:rPr>
      </w:pPr>
      <w:r>
        <w:rPr>
          <w:rFonts w:ascii="Times New Roman" w:hAnsi="Times New Roman"/>
          <w:sz w:val="20"/>
        </w:rPr>
        <w:t xml:space="preserve">The central challenge for cellular immunotherapies is to achieve cancer-specific cell killing while sparing normal healthy tissues. The immune system distinguishes normal from abnormal cells through two major recognition mechanisms. Antibodies or antibody fragments bind with high specificity to antigens such as cell surface proteins, whereas T cells use their receptors, or TCRs, to detect peptide fragments derived primarily from the breakdown of intracellular proteins and presented on the surface by major histocompatibility complex, or MHC, molecules. Because MHC displays a broad repertoire of intracellular peptides, TCR-based recognition enables deeper surveillance of cellular abnormalities than antibody binding alone. In cancer immunity, professional antigen presenting cells can produce specific cancer directed CD8 T cell responses by presenting tumor-derived antigens derived from dying cancer cells. TIL cell therapies and TCR-T therapies use TCR mediated recognition to mediate cancer cell specific cytotoxicity. </w:t>
      </w:r>
    </w:p>
    <w:p>
      <w:pPr>
        <w:pStyle w:val="TextBody"/>
        <w:bidi w:val="0"/>
        <w:spacing w:before="240" w:after="0"/>
        <w:jc w:val="left"/>
        <w:rPr>
          <w:rFonts w:ascii="Times New Roman" w:hAnsi="Times New Roman"/>
          <w:sz w:val="20"/>
        </w:rPr>
      </w:pPr>
      <w:r>
        <w:rPr>
          <w:rFonts w:ascii="Times New Roman" w:hAnsi="Times New Roman"/>
          <w:sz w:val="20"/>
        </w:rPr>
        <w:t xml:space="preserve">CAR-T cells are engineered T cells that rely on an antibody-derived binding domain to recognize target cells. The antigenic targets of currently available CAR-T therapies reflect the normal cell lineages from which the cancer arose. This approach has had major success in certain hematologic malignancies, where B cell or plasma cell lineage restricted surface antigens such as CD20 or BCMA can be safely targeted because the hematologic system can regenerate itself and thereby tolerate the toxicity arising from temporary off-tumor toxicity. However, in most solid tumors, truly tumor-specific surface antigens are uncommon, increasing the risk of on-target, off-tumor toxicity and limiting the application of CAR-T therapies. </w:t>
      </w:r>
    </w:p>
    <w:p>
      <w:pPr>
        <w:pStyle w:val="TextBody"/>
        <w:bidi w:val="0"/>
        <w:spacing w:before="240" w:after="0"/>
        <w:jc w:val="left"/>
        <w:rPr>
          <w:rFonts w:ascii="Times New Roman" w:hAnsi="Times New Roman"/>
          <w:sz w:val="20"/>
        </w:rPr>
      </w:pPr>
      <w:r>
        <w:rPr>
          <w:rFonts w:ascii="Times New Roman" w:hAnsi="Times New Roman"/>
          <w:sz w:val="20"/>
        </w:rPr>
        <w:t xml:space="preserve">As solid tumors account for approximately 90% of cancer deaths, the lack of tumor specific CAR-T targetable surface antigens reflects a substantial unmet need. Therefore, researchers have continued to investigate ways to redirect T cells, driven by their native TCRs, to recognize and kill tumor cells with greater specificity and reduced off-tumor toxicity. Leveraging the TCR offers the key advantage of enabling immune cells to target intracellular tumor antigens that cannot be accessed by antibody-based approaches or CAR-T cells. Tecelra®, approved by the FDA in 2024, is the first approved engineered TCR therapy. Tecelra recognizes MAGE-A4, an intracellular protein that is generally absent in healthy tissues. However, the potential of TCR-engineered T cell therapies is limited because of two main factors: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1"/>
        <w:gridCol w:w="9969"/>
      </w:tblGrid>
      <w:tr>
        <w:trPr/>
        <w:tc>
          <w:tcPr>
            <w:tcW w:w="75"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1.</w:t>
            </w:r>
          </w:p>
        </w:tc>
        <w:tc>
          <w:tcPr>
            <w:tcW w:w="99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MHC molecules exist in numerous variants known as allelic variants within individuals and vary extensively between individuals, and each allele presents a distinct peptide repertoire. As a result, TCR therapies can only be administered to patients who express MHC alleles compatible with the engineered receptor.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4"/>
        <w:gridCol w:w="9966"/>
      </w:tblGrid>
      <w:tr>
        <w:trPr/>
        <w:tc>
          <w:tcPr>
            <w:tcW w:w="75"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2.</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Engineered TCR-T therapies target a single antigen and therefore cannot address the heterogeneity of tumor antigen expression within a tumor. Loss or downregulation of the targeted antigen is a common immune-evasion strategy in cancer which can render the therapy ineffective.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contrast, TIL cell therapies offer a broader TCR-based approach. By expanding a patient’s own tumor-derived T cell population, which naturally recognizes a diverse set of intracellular peptides presented by MHC, TIL offer a breadth of antigen recognition, reduces vulnerability to single-antigen loss and are not subject to MHC allele restriction constraints of TCR-T therapies. </w:t>
      </w:r>
    </w:p>
    <w:p>
      <w:pPr>
        <w:pStyle w:val="TextBody"/>
        <w:bidi w:val="0"/>
        <w:spacing w:before="240" w:after="0"/>
        <w:jc w:val="left"/>
        <w:rPr>
          <w:rFonts w:ascii="Times New Roman" w:hAnsi="Times New Roman"/>
          <w:sz w:val="20"/>
        </w:rPr>
      </w:pPr>
      <w:r>
        <w:rPr>
          <w:rFonts w:ascii="Times New Roman" w:hAnsi="Times New Roman"/>
          <w:sz w:val="20"/>
        </w:rPr>
        <w:t xml:space="preserve">Table 1 below summarizes certain characteristics of existing cell therapy modalities, including CAR-T, TCR-T and non-engineered TIL cell therapies, and highlights key differences in targeting, safety considerations and practical limitations.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05"/>
        <w:gridCol w:w="120"/>
        <w:gridCol w:w="2810"/>
        <w:gridCol w:w="120"/>
        <w:gridCol w:w="2478"/>
        <w:gridCol w:w="120"/>
        <w:gridCol w:w="3052"/>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52"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CAR-T Therapy</w:t>
            </w:r>
          </w:p>
        </w:tc>
        <w:tc>
          <w:tcPr>
            <w:tcW w:w="120" w:type="dxa"/>
            <w:tcBorders/>
            <w:vAlign w:val="center"/>
          </w:tcPr>
          <w:p>
            <w:pPr>
              <w:pStyle w:val="TableContents"/>
              <w:bidi w:val="0"/>
              <w:spacing w:before="0" w:after="283"/>
              <w:jc w:val="left"/>
              <w:rPr/>
            </w:pPr>
            <w:r>
              <w:rPr/>
              <w:t>  </w:t>
            </w:r>
          </w:p>
        </w:tc>
        <w:tc>
          <w:tcPr>
            <w:tcW w:w="247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TCR-T Therapy</w:t>
            </w:r>
          </w:p>
        </w:tc>
        <w:tc>
          <w:tcPr>
            <w:tcW w:w="120" w:type="dxa"/>
            <w:tcBorders/>
            <w:vAlign w:val="center"/>
          </w:tcPr>
          <w:p>
            <w:pPr>
              <w:pStyle w:val="TableContents"/>
              <w:bidi w:val="0"/>
              <w:spacing w:before="0" w:after="283"/>
              <w:jc w:val="left"/>
              <w:rPr/>
            </w:pPr>
            <w:r>
              <w:rPr/>
              <w:t>  </w:t>
            </w:r>
          </w:p>
        </w:tc>
        <w:tc>
          <w:tcPr>
            <w:tcW w:w="3052"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Non-Engineered TIL Cell</w:t>
            </w:r>
          </w:p>
          <w:p>
            <w:pPr>
              <w:pStyle w:val="TableContents"/>
              <w:bidi w:val="0"/>
              <w:spacing w:before="0" w:after="20"/>
              <w:jc w:val="center"/>
              <w:rPr>
                <w:rFonts w:ascii="Times New Roman" w:hAnsi="Times New Roman"/>
                <w:b/>
                <w:sz w:val="16"/>
              </w:rPr>
            </w:pPr>
            <w:r>
              <w:rPr>
                <w:rFonts w:ascii="Times New Roman" w:hAnsi="Times New Roman"/>
                <w:b/>
                <w:sz w:val="16"/>
              </w:rPr>
              <w:t>Therapy</w:t>
            </w:r>
          </w:p>
        </w:tc>
      </w:tr>
      <w:tr>
        <w:trPr/>
        <w:tc>
          <w:tcPr>
            <w:tcW w:w="1505" w:type="dxa"/>
            <w:tcBorders/>
            <w:vAlign w:val="center"/>
          </w:tcPr>
          <w:p>
            <w:pPr>
              <w:pStyle w:val="TableContents"/>
              <w:bidi w:val="0"/>
              <w:spacing w:before="0" w:after="283"/>
              <w:jc w:val="left"/>
              <w:rPr>
                <w:b/>
              </w:rPr>
            </w:pPr>
            <w:r>
              <w:rPr>
                <w:b/>
              </w:rPr>
              <w:t>Advantages</w:t>
            </w:r>
          </w:p>
        </w:tc>
        <w:tc>
          <w:tcPr>
            <w:tcW w:w="12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Target antigens beyond peptides on cell surface independent of MHC</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Lower cumulative cyclophosphamide dose in lymphodepletion regimen compared to non-engineered TIL cell therapy</w:t>
            </w:r>
          </w:p>
        </w:tc>
        <w:tc>
          <w:tcPr>
            <w:tcW w:w="120" w:type="dxa"/>
            <w:tcBorders/>
            <w:vAlign w:val="center"/>
          </w:tcPr>
          <w:p>
            <w:pPr>
              <w:pStyle w:val="TableContents"/>
              <w:bidi w:val="0"/>
              <w:spacing w:before="0" w:after="283"/>
              <w:jc w:val="left"/>
              <w:rPr/>
            </w:pPr>
            <w:r>
              <w:rPr/>
              <w:t>  </w:t>
            </w:r>
          </w:p>
        </w:tc>
        <w:tc>
          <w:tcPr>
            <w:tcW w:w="2478" w:type="dxa"/>
            <w:tcBorders/>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Accessibility to intracellular target through MHC</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Utilizes natural TCR signaling pathways for potentially better effect</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Lower cumulative cyclophosphamide dose in lymphodepletion regimen compared to non-engineered TIL cell therapy</w:t>
            </w:r>
          </w:p>
        </w:tc>
        <w:tc>
          <w:tcPr>
            <w:tcW w:w="120" w:type="dxa"/>
            <w:tcBorders/>
            <w:vAlign w:val="center"/>
          </w:tcPr>
          <w:p>
            <w:pPr>
              <w:pStyle w:val="TableContents"/>
              <w:bidi w:val="0"/>
              <w:spacing w:before="0" w:after="283"/>
              <w:jc w:val="left"/>
              <w:rPr/>
            </w:pPr>
            <w:r>
              <w:rPr/>
              <w:t>  </w:t>
            </w:r>
          </w:p>
        </w:tc>
        <w:tc>
          <w:tcPr>
            <w:tcW w:w="3052" w:type="dxa"/>
            <w:tcBorders/>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Broad repertoire of TCRs that target both defined and undefined tumor antigens</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Because TIL are isolated from tumors, they are enriched with T cells that specifically recognize tumor cells and have demonstrated the ability to traffic to, and survive in, the tumor microenvironment</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2930" w:type="dxa"/>
            <w:gridSpan w:val="2"/>
            <w:tcBorders/>
            <w:vAlign w:val="center"/>
          </w:tcPr>
          <w:p>
            <w:pPr>
              <w:pStyle w:val="TableContents"/>
              <w:bidi w:val="0"/>
              <w:spacing w:before="0" w:after="283"/>
              <w:jc w:val="left"/>
              <w:rPr>
                <w:sz w:val="4"/>
                <w:szCs w:val="4"/>
              </w:rPr>
            </w:pPr>
            <w:r>
              <w:rPr>
                <w:sz w:val="4"/>
                <w:szCs w:val="4"/>
              </w:rPr>
            </w:r>
          </w:p>
        </w:tc>
        <w:tc>
          <w:tcPr>
            <w:tcW w:w="2598" w:type="dxa"/>
            <w:gridSpan w:val="2"/>
            <w:tcBorders/>
            <w:vAlign w:val="center"/>
          </w:tcPr>
          <w:p>
            <w:pPr>
              <w:pStyle w:val="TableContents"/>
              <w:bidi w:val="0"/>
              <w:spacing w:before="0" w:after="283"/>
              <w:jc w:val="left"/>
              <w:rPr>
                <w:sz w:val="4"/>
                <w:szCs w:val="4"/>
              </w:rPr>
            </w:pPr>
            <w:r>
              <w:rPr>
                <w:sz w:val="4"/>
                <w:szCs w:val="4"/>
              </w:rPr>
            </w:r>
          </w:p>
        </w:tc>
        <w:tc>
          <w:tcPr>
            <w:tcW w:w="3172" w:type="dxa"/>
            <w:gridSpan w:val="2"/>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b/>
              </w:rPr>
            </w:pPr>
            <w:r>
              <w:rPr>
                <w:b/>
              </w:rPr>
              <w:t>Disadvantages</w:t>
            </w:r>
          </w:p>
        </w:tc>
        <w:tc>
          <w:tcPr>
            <w:tcW w:w="12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Limited availability of truly tumor-exclusive surface antigens and antigen heterogeneity in solid tumors can limit efficacy and increase on-target/off-tumor toxicity risk</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Evasion by loss of target antigen surface expression</w:t>
            </w:r>
          </w:p>
        </w:tc>
        <w:tc>
          <w:tcPr>
            <w:tcW w:w="120" w:type="dxa"/>
            <w:tcBorders/>
            <w:vAlign w:val="center"/>
          </w:tcPr>
          <w:p>
            <w:pPr>
              <w:pStyle w:val="TableContents"/>
              <w:bidi w:val="0"/>
              <w:spacing w:before="0" w:after="283"/>
              <w:jc w:val="left"/>
              <w:rPr/>
            </w:pPr>
            <w:r>
              <w:rPr/>
              <w:t>  </w:t>
            </w:r>
          </w:p>
        </w:tc>
        <w:tc>
          <w:tcPr>
            <w:tcW w:w="2478" w:type="dxa"/>
            <w:tcBorders/>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Treatment limited by HLA type</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Target single antigens and may not address antigen heterogeneity within a single tumor</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Can cross-react with off-target peptides in healthy tissues and cause toxicities</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Evasion by loss of antigen presentation machinery can render the therapy ineffective</w:t>
            </w:r>
          </w:p>
        </w:tc>
        <w:tc>
          <w:tcPr>
            <w:tcW w:w="120" w:type="dxa"/>
            <w:tcBorders/>
            <w:vAlign w:val="center"/>
          </w:tcPr>
          <w:p>
            <w:pPr>
              <w:pStyle w:val="TableContents"/>
              <w:bidi w:val="0"/>
              <w:spacing w:before="0" w:after="283"/>
              <w:jc w:val="left"/>
              <w:rPr/>
            </w:pPr>
            <w:r>
              <w:rPr/>
              <w:t>  </w:t>
            </w:r>
          </w:p>
        </w:tc>
        <w:tc>
          <w:tcPr>
            <w:tcW w:w="3052" w:type="dxa"/>
            <w:tcBorders/>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Require surgical tumor resection for T cell isolation and cause delays in generating TIL</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Need for IL-2 dosing</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Higher cumulative cyclophosphamide dose in lymphodepletion regimen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343"/>
        <w:gridCol w:w="120"/>
        <w:gridCol w:w="3249"/>
        <w:gridCol w:w="120"/>
        <w:gridCol w:w="2170"/>
        <w:gridCol w:w="120"/>
        <w:gridCol w:w="3083"/>
      </w:tblGrid>
      <w:tr>
        <w:trPr/>
        <w:tc>
          <w:tcPr>
            <w:tcW w:w="13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r>
      <w:tr>
        <w:trPr/>
        <w:tc>
          <w:tcPr>
            <w:tcW w:w="134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49"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CAR-T Therapy</w:t>
            </w:r>
          </w:p>
        </w:tc>
        <w:tc>
          <w:tcPr>
            <w:tcW w:w="120" w:type="dxa"/>
            <w:tcBorders/>
            <w:vAlign w:val="center"/>
          </w:tcPr>
          <w:p>
            <w:pPr>
              <w:pStyle w:val="TableContents"/>
              <w:bidi w:val="0"/>
              <w:spacing w:before="0" w:after="283"/>
              <w:jc w:val="left"/>
              <w:rPr/>
            </w:pPr>
            <w:r>
              <w:rPr/>
              <w:t>  </w:t>
            </w:r>
          </w:p>
        </w:tc>
        <w:tc>
          <w:tcPr>
            <w:tcW w:w="21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TCR-T Therapy</w:t>
            </w:r>
          </w:p>
        </w:tc>
        <w:tc>
          <w:tcPr>
            <w:tcW w:w="120" w:type="dxa"/>
            <w:tcBorders/>
            <w:vAlign w:val="center"/>
          </w:tcPr>
          <w:p>
            <w:pPr>
              <w:pStyle w:val="TableContents"/>
              <w:bidi w:val="0"/>
              <w:spacing w:before="0" w:after="283"/>
              <w:jc w:val="left"/>
              <w:rPr/>
            </w:pPr>
            <w:r>
              <w:rPr/>
              <w:t>  </w:t>
            </w:r>
          </w:p>
        </w:tc>
        <w:tc>
          <w:tcPr>
            <w:tcW w:w="3083"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Non-Engineered TIL Cell</w:t>
            </w:r>
          </w:p>
          <w:p>
            <w:pPr>
              <w:pStyle w:val="TableContents"/>
              <w:bidi w:val="0"/>
              <w:spacing w:before="0" w:after="20"/>
              <w:jc w:val="center"/>
              <w:rPr>
                <w:rFonts w:ascii="Times New Roman" w:hAnsi="Times New Roman"/>
                <w:b/>
                <w:sz w:val="16"/>
              </w:rPr>
            </w:pPr>
            <w:r>
              <w:rPr>
                <w:rFonts w:ascii="Times New Roman" w:hAnsi="Times New Roman"/>
                <w:b/>
                <w:sz w:val="16"/>
              </w:rPr>
              <w:t>Therapy</w:t>
            </w:r>
          </w:p>
        </w:tc>
      </w:tr>
      <w:tr>
        <w:trPr/>
        <w:tc>
          <w:tcPr>
            <w:tcW w:w="13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70" w:type="dxa"/>
            <w:tcBorders/>
            <w:vAlign w:val="center"/>
          </w:tcPr>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Some TCR-Ts require IL-2 dosing</w:t>
            </w:r>
          </w:p>
        </w:tc>
        <w:tc>
          <w:tcPr>
            <w:tcW w:w="120" w:type="dxa"/>
            <w:tcBorders/>
            <w:vAlign w:val="center"/>
          </w:tcPr>
          <w:p>
            <w:pPr>
              <w:pStyle w:val="TableContents"/>
              <w:bidi w:val="0"/>
              <w:spacing w:before="0" w:after="283"/>
              <w:jc w:val="left"/>
              <w:rPr/>
            </w:pPr>
            <w:r>
              <w:rPr/>
              <w:t>  </w:t>
            </w:r>
          </w:p>
        </w:tc>
        <w:tc>
          <w:tcPr>
            <w:tcW w:w="3083" w:type="dxa"/>
            <w:tcBorders/>
            <w:vAlign w:val="center"/>
          </w:tcPr>
          <w:p>
            <w:pPr>
              <w:pStyle w:val="TableContents"/>
              <w:bidi w:val="0"/>
              <w:spacing w:before="0" w:after="283"/>
              <w:jc w:val="left"/>
              <w:rPr>
                <w:sz w:val="4"/>
                <w:szCs w:val="4"/>
              </w:rPr>
            </w:pPr>
            <w:r>
              <w:rPr>
                <w:sz w:val="4"/>
                <w:szCs w:val="4"/>
              </w:rPr>
            </w:r>
          </w:p>
        </w:tc>
      </w:tr>
      <w:tr>
        <w:trPr/>
        <w:tc>
          <w:tcPr>
            <w:tcW w:w="1343" w:type="dxa"/>
            <w:tcBorders/>
            <w:vAlign w:val="center"/>
          </w:tcPr>
          <w:p>
            <w:pPr>
              <w:pStyle w:val="TableContents"/>
              <w:bidi w:val="0"/>
              <w:spacing w:before="0" w:after="283"/>
              <w:jc w:val="left"/>
              <w:rPr>
                <w:sz w:val="4"/>
                <w:szCs w:val="4"/>
              </w:rPr>
            </w:pPr>
            <w:r>
              <w:rPr>
                <w:sz w:val="4"/>
                <w:szCs w:val="4"/>
              </w:rPr>
            </w:r>
          </w:p>
        </w:tc>
        <w:tc>
          <w:tcPr>
            <w:tcW w:w="3369" w:type="dxa"/>
            <w:gridSpan w:val="2"/>
            <w:tcBorders/>
            <w:vAlign w:val="center"/>
          </w:tcPr>
          <w:p>
            <w:pPr>
              <w:pStyle w:val="TableContents"/>
              <w:bidi w:val="0"/>
              <w:spacing w:before="0" w:after="283"/>
              <w:jc w:val="left"/>
              <w:rPr>
                <w:sz w:val="4"/>
                <w:szCs w:val="4"/>
              </w:rPr>
            </w:pPr>
            <w:r>
              <w:rPr>
                <w:sz w:val="4"/>
                <w:szCs w:val="4"/>
              </w:rPr>
            </w:r>
          </w:p>
        </w:tc>
        <w:tc>
          <w:tcPr>
            <w:tcW w:w="2290" w:type="dxa"/>
            <w:gridSpan w:val="2"/>
            <w:tcBorders/>
            <w:vAlign w:val="center"/>
          </w:tcPr>
          <w:p>
            <w:pPr>
              <w:pStyle w:val="TableContents"/>
              <w:bidi w:val="0"/>
              <w:spacing w:before="0" w:after="283"/>
              <w:jc w:val="left"/>
              <w:rPr>
                <w:sz w:val="4"/>
                <w:szCs w:val="4"/>
              </w:rPr>
            </w:pPr>
            <w:r>
              <w:rPr>
                <w:sz w:val="4"/>
                <w:szCs w:val="4"/>
              </w:rPr>
            </w:r>
          </w:p>
        </w:tc>
        <w:tc>
          <w:tcPr>
            <w:tcW w:w="3203" w:type="dxa"/>
            <w:gridSpan w:val="2"/>
            <w:tcBorders/>
            <w:vAlign w:val="center"/>
          </w:tcPr>
          <w:p>
            <w:pPr>
              <w:pStyle w:val="TableContents"/>
              <w:bidi w:val="0"/>
              <w:spacing w:before="0" w:after="283"/>
              <w:jc w:val="left"/>
              <w:rPr>
                <w:sz w:val="4"/>
                <w:szCs w:val="4"/>
              </w:rPr>
            </w:pPr>
            <w:r>
              <w:rPr>
                <w:sz w:val="4"/>
                <w:szCs w:val="4"/>
              </w:rPr>
            </w:r>
          </w:p>
        </w:tc>
      </w:tr>
      <w:tr>
        <w:trPr/>
        <w:tc>
          <w:tcPr>
            <w:tcW w:w="134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49"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CAR-T Therapy</w:t>
            </w:r>
          </w:p>
        </w:tc>
        <w:tc>
          <w:tcPr>
            <w:tcW w:w="120" w:type="dxa"/>
            <w:tcBorders/>
            <w:vAlign w:val="center"/>
          </w:tcPr>
          <w:p>
            <w:pPr>
              <w:pStyle w:val="TableContents"/>
              <w:bidi w:val="0"/>
              <w:spacing w:before="0" w:after="283"/>
              <w:jc w:val="left"/>
              <w:rPr/>
            </w:pPr>
            <w:r>
              <w:rPr/>
              <w:t>  </w:t>
            </w:r>
          </w:p>
        </w:tc>
        <w:tc>
          <w:tcPr>
            <w:tcW w:w="21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TCR-T Therapy</w:t>
            </w:r>
          </w:p>
        </w:tc>
        <w:tc>
          <w:tcPr>
            <w:tcW w:w="120" w:type="dxa"/>
            <w:tcBorders/>
            <w:vAlign w:val="center"/>
          </w:tcPr>
          <w:p>
            <w:pPr>
              <w:pStyle w:val="TableContents"/>
              <w:bidi w:val="0"/>
              <w:spacing w:before="0" w:after="283"/>
              <w:jc w:val="left"/>
              <w:rPr/>
            </w:pPr>
            <w:r>
              <w:rPr/>
              <w:t>  </w:t>
            </w:r>
          </w:p>
        </w:tc>
        <w:tc>
          <w:tcPr>
            <w:tcW w:w="3083"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Non-Engineered TIL Cell</w:t>
            </w:r>
          </w:p>
          <w:p>
            <w:pPr>
              <w:pStyle w:val="TableContents"/>
              <w:bidi w:val="0"/>
              <w:spacing w:before="0" w:after="20"/>
              <w:jc w:val="center"/>
              <w:rPr>
                <w:rFonts w:ascii="Times New Roman" w:hAnsi="Times New Roman"/>
                <w:b/>
                <w:sz w:val="16"/>
              </w:rPr>
            </w:pPr>
            <w:r>
              <w:rPr>
                <w:rFonts w:ascii="Times New Roman" w:hAnsi="Times New Roman"/>
                <w:b/>
                <w:sz w:val="16"/>
              </w:rPr>
              <w:t>Therapy</w:t>
            </w:r>
          </w:p>
        </w:tc>
      </w:tr>
      <w:tr>
        <w:trPr/>
        <w:tc>
          <w:tcPr>
            <w:tcW w:w="1343" w:type="dxa"/>
            <w:tcBorders/>
            <w:vAlign w:val="center"/>
          </w:tcPr>
          <w:p>
            <w:pPr>
              <w:pStyle w:val="TableContents"/>
              <w:bidi w:val="0"/>
              <w:spacing w:before="0" w:after="283"/>
              <w:jc w:val="left"/>
              <w:rPr>
                <w:sz w:val="4"/>
                <w:szCs w:val="4"/>
              </w:rPr>
            </w:pPr>
            <w:r>
              <w:rPr>
                <w:sz w:val="4"/>
                <w:szCs w:val="4"/>
              </w:rPr>
            </w:r>
          </w:p>
        </w:tc>
        <w:tc>
          <w:tcPr>
            <w:tcW w:w="3369" w:type="dxa"/>
            <w:gridSpan w:val="2"/>
            <w:tcBorders/>
            <w:vAlign w:val="center"/>
          </w:tcPr>
          <w:p>
            <w:pPr>
              <w:pStyle w:val="TableContents"/>
              <w:bidi w:val="0"/>
              <w:spacing w:before="0" w:after="283"/>
              <w:jc w:val="left"/>
              <w:rPr>
                <w:sz w:val="4"/>
                <w:szCs w:val="4"/>
              </w:rPr>
            </w:pPr>
            <w:r>
              <w:rPr>
                <w:sz w:val="4"/>
                <w:szCs w:val="4"/>
              </w:rPr>
            </w:r>
          </w:p>
        </w:tc>
        <w:tc>
          <w:tcPr>
            <w:tcW w:w="2290" w:type="dxa"/>
            <w:gridSpan w:val="2"/>
            <w:tcBorders/>
            <w:vAlign w:val="center"/>
          </w:tcPr>
          <w:p>
            <w:pPr>
              <w:pStyle w:val="TableContents"/>
              <w:bidi w:val="0"/>
              <w:spacing w:before="0" w:after="283"/>
              <w:jc w:val="left"/>
              <w:rPr>
                <w:sz w:val="4"/>
                <w:szCs w:val="4"/>
              </w:rPr>
            </w:pPr>
            <w:r>
              <w:rPr>
                <w:sz w:val="4"/>
                <w:szCs w:val="4"/>
              </w:rPr>
            </w:r>
          </w:p>
        </w:tc>
        <w:tc>
          <w:tcPr>
            <w:tcW w:w="3203" w:type="dxa"/>
            <w:gridSpan w:val="2"/>
            <w:tcBorders/>
            <w:vAlign w:val="center"/>
          </w:tcPr>
          <w:p>
            <w:pPr>
              <w:pStyle w:val="TableContents"/>
              <w:bidi w:val="0"/>
              <w:spacing w:before="0" w:after="283"/>
              <w:jc w:val="left"/>
              <w:rPr>
                <w:sz w:val="4"/>
                <w:szCs w:val="4"/>
              </w:rPr>
            </w:pPr>
            <w:r>
              <w:rPr>
                <w:sz w:val="4"/>
                <w:szCs w:val="4"/>
              </w:rPr>
            </w:r>
          </w:p>
        </w:tc>
      </w:tr>
      <w:tr>
        <w:trPr/>
        <w:tc>
          <w:tcPr>
            <w:tcW w:w="1343" w:type="dxa"/>
            <w:tcBorders/>
            <w:vAlign w:val="center"/>
          </w:tcPr>
          <w:p>
            <w:pPr>
              <w:pStyle w:val="TableContents"/>
              <w:bidi w:val="0"/>
              <w:spacing w:before="0" w:after="283"/>
              <w:jc w:val="left"/>
              <w:rPr/>
            </w:pPr>
            <w:r>
              <w:rPr/>
              <w:t>Target Antigen</w:t>
            </w:r>
          </w:p>
        </w:tc>
        <w:tc>
          <w:tcPr>
            <w:tcW w:w="120" w:type="dxa"/>
            <w:tcBorders/>
            <w:vAlign w:val="center"/>
          </w:tcPr>
          <w:p>
            <w:pPr>
              <w:pStyle w:val="TableContents"/>
              <w:bidi w:val="0"/>
              <w:spacing w:before="0" w:after="283"/>
              <w:jc w:val="left"/>
              <w:rPr/>
            </w:pPr>
            <w:r>
              <w:rPr/>
              <w:t>  </w:t>
            </w:r>
          </w:p>
        </w:tc>
        <w:tc>
          <w:tcPr>
            <w:tcW w:w="3249" w:type="dxa"/>
            <w:tcBorders/>
            <w:vAlign w:val="center"/>
          </w:tcPr>
          <w:p>
            <w:pPr>
              <w:pStyle w:val="TableContents"/>
              <w:bidi w:val="0"/>
              <w:spacing w:before="0" w:after="283"/>
              <w:jc w:val="left"/>
              <w:rPr/>
            </w:pPr>
            <w:r>
              <w:rPr/>
              <w:t>Lineage-specific surface antigens also expressed by normal cells (e.g., CD19, BCMA)</w:t>
            </w:r>
          </w:p>
        </w:tc>
        <w:tc>
          <w:tcPr>
            <w:tcW w:w="120" w:type="dxa"/>
            <w:tcBorders/>
            <w:vAlign w:val="center"/>
          </w:tcPr>
          <w:p>
            <w:pPr>
              <w:pStyle w:val="TableContents"/>
              <w:bidi w:val="0"/>
              <w:spacing w:before="0" w:after="283"/>
              <w:jc w:val="left"/>
              <w:rPr/>
            </w:pPr>
            <w:r>
              <w:rPr/>
              <w:t>  </w:t>
            </w:r>
          </w:p>
        </w:tc>
        <w:tc>
          <w:tcPr>
            <w:tcW w:w="2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Intracellular tumor-associated antigens bound to MHC</w:t>
            </w:r>
          </w:p>
          <w:p>
            <w:pPr>
              <w:pStyle w:val="TableContents"/>
              <w:bidi w:val="0"/>
              <w:spacing w:before="0" w:after="20"/>
              <w:jc w:val="left"/>
              <w:rPr>
                <w:rFonts w:ascii="Times New Roman" w:hAnsi="Times New Roman"/>
                <w:sz w:val="20"/>
              </w:rPr>
            </w:pPr>
            <w:r>
              <w:rPr>
                <w:rFonts w:ascii="Times New Roman" w:hAnsi="Times New Roman"/>
                <w:sz w:val="20"/>
              </w:rPr>
              <w:t>(e.g., NY-ESO-1, MAGE-A4)</w:t>
            </w:r>
          </w:p>
        </w:tc>
        <w:tc>
          <w:tcPr>
            <w:tcW w:w="120" w:type="dxa"/>
            <w:tcBorders/>
            <w:vAlign w:val="center"/>
          </w:tcPr>
          <w:p>
            <w:pPr>
              <w:pStyle w:val="TableContents"/>
              <w:bidi w:val="0"/>
              <w:spacing w:before="0" w:after="283"/>
              <w:jc w:val="left"/>
              <w:rPr/>
            </w:pPr>
            <w:r>
              <w:rPr/>
              <w:t>  </w:t>
            </w:r>
          </w:p>
        </w:tc>
        <w:tc>
          <w:tcPr>
            <w:tcW w:w="3083" w:type="dxa"/>
            <w:tcBorders/>
            <w:vAlign w:val="center"/>
          </w:tcPr>
          <w:p>
            <w:pPr>
              <w:pStyle w:val="TableContents"/>
              <w:bidi w:val="0"/>
              <w:spacing w:before="0" w:after="283"/>
              <w:jc w:val="left"/>
              <w:rPr/>
            </w:pPr>
            <w:r>
              <w:rPr/>
              <w:t>Neoantigens or tumor-associated antigens bound to MHC</w:t>
            </w:r>
          </w:p>
        </w:tc>
      </w:tr>
      <w:tr>
        <w:trPr/>
        <w:tc>
          <w:tcPr>
            <w:tcW w:w="1343" w:type="dxa"/>
            <w:tcBorders/>
            <w:vAlign w:val="center"/>
          </w:tcPr>
          <w:p>
            <w:pPr>
              <w:pStyle w:val="TableContents"/>
              <w:bidi w:val="0"/>
              <w:spacing w:before="0" w:after="283"/>
              <w:jc w:val="left"/>
              <w:rPr>
                <w:sz w:val="4"/>
                <w:szCs w:val="4"/>
              </w:rPr>
            </w:pPr>
            <w:r>
              <w:rPr>
                <w:sz w:val="4"/>
                <w:szCs w:val="4"/>
              </w:rPr>
            </w:r>
          </w:p>
        </w:tc>
        <w:tc>
          <w:tcPr>
            <w:tcW w:w="3369" w:type="dxa"/>
            <w:gridSpan w:val="2"/>
            <w:tcBorders/>
            <w:vAlign w:val="center"/>
          </w:tcPr>
          <w:p>
            <w:pPr>
              <w:pStyle w:val="TableContents"/>
              <w:bidi w:val="0"/>
              <w:spacing w:before="0" w:after="283"/>
              <w:jc w:val="left"/>
              <w:rPr>
                <w:sz w:val="4"/>
                <w:szCs w:val="4"/>
              </w:rPr>
            </w:pPr>
            <w:r>
              <w:rPr>
                <w:sz w:val="4"/>
                <w:szCs w:val="4"/>
              </w:rPr>
            </w:r>
          </w:p>
        </w:tc>
        <w:tc>
          <w:tcPr>
            <w:tcW w:w="2290" w:type="dxa"/>
            <w:gridSpan w:val="2"/>
            <w:tcBorders/>
            <w:vAlign w:val="center"/>
          </w:tcPr>
          <w:p>
            <w:pPr>
              <w:pStyle w:val="TableContents"/>
              <w:bidi w:val="0"/>
              <w:spacing w:before="0" w:after="283"/>
              <w:jc w:val="left"/>
              <w:rPr>
                <w:sz w:val="4"/>
                <w:szCs w:val="4"/>
              </w:rPr>
            </w:pPr>
            <w:r>
              <w:rPr>
                <w:sz w:val="4"/>
                <w:szCs w:val="4"/>
              </w:rPr>
            </w:r>
          </w:p>
        </w:tc>
        <w:tc>
          <w:tcPr>
            <w:tcW w:w="3203" w:type="dxa"/>
            <w:gridSpan w:val="2"/>
            <w:tcBorders/>
            <w:vAlign w:val="center"/>
          </w:tcPr>
          <w:p>
            <w:pPr>
              <w:pStyle w:val="TableContents"/>
              <w:bidi w:val="0"/>
              <w:spacing w:before="0" w:after="283"/>
              <w:jc w:val="left"/>
              <w:rPr>
                <w:sz w:val="4"/>
                <w:szCs w:val="4"/>
              </w:rPr>
            </w:pPr>
            <w:r>
              <w:rPr>
                <w:sz w:val="4"/>
                <w:szCs w:val="4"/>
              </w:rPr>
            </w:r>
          </w:p>
        </w:tc>
      </w:tr>
      <w:tr>
        <w:trPr/>
        <w:tc>
          <w:tcPr>
            <w:tcW w:w="1343" w:type="dxa"/>
            <w:tcBorders/>
            <w:vAlign w:val="center"/>
          </w:tcPr>
          <w:p>
            <w:pPr>
              <w:pStyle w:val="TableContents"/>
              <w:bidi w:val="0"/>
              <w:spacing w:before="0" w:after="283"/>
              <w:jc w:val="left"/>
              <w:rPr/>
            </w:pPr>
            <w:r>
              <w:rPr/>
              <w:t>Tumor Cell Specificity</w:t>
            </w:r>
          </w:p>
        </w:tc>
        <w:tc>
          <w:tcPr>
            <w:tcW w:w="120" w:type="dxa"/>
            <w:tcBorders/>
            <w:vAlign w:val="center"/>
          </w:tcPr>
          <w:p>
            <w:pPr>
              <w:pStyle w:val="TableContents"/>
              <w:bidi w:val="0"/>
              <w:spacing w:before="0" w:after="283"/>
              <w:jc w:val="left"/>
              <w:rPr/>
            </w:pPr>
            <w:r>
              <w:rPr/>
              <w:t>  </w:t>
            </w:r>
          </w:p>
        </w:tc>
        <w:tc>
          <w:tcPr>
            <w:tcW w:w="3249" w:type="dxa"/>
            <w:tcBorders/>
            <w:vAlign w:val="center"/>
          </w:tcPr>
          <w:p>
            <w:pPr>
              <w:pStyle w:val="TableContents"/>
              <w:bidi w:val="0"/>
              <w:spacing w:before="0" w:after="283"/>
              <w:jc w:val="left"/>
              <w:rPr/>
            </w:pPr>
            <w:r>
              <w:rPr/>
              <w:t>Low</w:t>
            </w:r>
          </w:p>
        </w:tc>
        <w:tc>
          <w:tcPr>
            <w:tcW w:w="120" w:type="dxa"/>
            <w:tcBorders/>
            <w:vAlign w:val="center"/>
          </w:tcPr>
          <w:p>
            <w:pPr>
              <w:pStyle w:val="TableContents"/>
              <w:bidi w:val="0"/>
              <w:spacing w:before="0" w:after="283"/>
              <w:jc w:val="left"/>
              <w:rPr/>
            </w:pPr>
            <w:r>
              <w:rPr/>
              <w:t>  </w:t>
            </w:r>
          </w:p>
        </w:tc>
        <w:tc>
          <w:tcPr>
            <w:tcW w:w="2170" w:type="dxa"/>
            <w:tcBorders/>
            <w:vAlign w:val="center"/>
          </w:tcPr>
          <w:p>
            <w:pPr>
              <w:pStyle w:val="TableContents"/>
              <w:bidi w:val="0"/>
              <w:spacing w:before="0" w:after="283"/>
              <w:jc w:val="left"/>
              <w:rPr/>
            </w:pPr>
            <w:r>
              <w:rPr/>
              <w:t>High</w:t>
            </w:r>
          </w:p>
        </w:tc>
        <w:tc>
          <w:tcPr>
            <w:tcW w:w="120" w:type="dxa"/>
            <w:tcBorders/>
            <w:vAlign w:val="center"/>
          </w:tcPr>
          <w:p>
            <w:pPr>
              <w:pStyle w:val="TableContents"/>
              <w:bidi w:val="0"/>
              <w:spacing w:before="0" w:after="283"/>
              <w:jc w:val="left"/>
              <w:rPr/>
            </w:pPr>
            <w:r>
              <w:rPr/>
              <w:t>  </w:t>
            </w:r>
          </w:p>
        </w:tc>
        <w:tc>
          <w:tcPr>
            <w:tcW w:w="3083" w:type="dxa"/>
            <w:tcBorders/>
            <w:vAlign w:val="center"/>
          </w:tcPr>
          <w:p>
            <w:pPr>
              <w:pStyle w:val="TableContents"/>
              <w:bidi w:val="0"/>
              <w:spacing w:before="0" w:after="283"/>
              <w:jc w:val="left"/>
              <w:rPr/>
            </w:pPr>
            <w:r>
              <w:rPr/>
              <w:t>High</w:t>
            </w:r>
          </w:p>
        </w:tc>
      </w:tr>
      <w:tr>
        <w:trPr/>
        <w:tc>
          <w:tcPr>
            <w:tcW w:w="1343" w:type="dxa"/>
            <w:tcBorders/>
            <w:vAlign w:val="center"/>
          </w:tcPr>
          <w:p>
            <w:pPr>
              <w:pStyle w:val="TableContents"/>
              <w:bidi w:val="0"/>
              <w:spacing w:before="0" w:after="283"/>
              <w:jc w:val="left"/>
              <w:rPr>
                <w:sz w:val="4"/>
                <w:szCs w:val="4"/>
              </w:rPr>
            </w:pPr>
            <w:r>
              <w:rPr>
                <w:sz w:val="4"/>
                <w:szCs w:val="4"/>
              </w:rPr>
            </w:r>
          </w:p>
        </w:tc>
        <w:tc>
          <w:tcPr>
            <w:tcW w:w="3369" w:type="dxa"/>
            <w:gridSpan w:val="2"/>
            <w:tcBorders/>
            <w:vAlign w:val="center"/>
          </w:tcPr>
          <w:p>
            <w:pPr>
              <w:pStyle w:val="TableContents"/>
              <w:bidi w:val="0"/>
              <w:spacing w:before="0" w:after="283"/>
              <w:jc w:val="left"/>
              <w:rPr>
                <w:sz w:val="4"/>
                <w:szCs w:val="4"/>
              </w:rPr>
            </w:pPr>
            <w:r>
              <w:rPr>
                <w:sz w:val="4"/>
                <w:szCs w:val="4"/>
              </w:rPr>
            </w:r>
          </w:p>
        </w:tc>
        <w:tc>
          <w:tcPr>
            <w:tcW w:w="2290" w:type="dxa"/>
            <w:gridSpan w:val="2"/>
            <w:tcBorders/>
            <w:vAlign w:val="center"/>
          </w:tcPr>
          <w:p>
            <w:pPr>
              <w:pStyle w:val="TableContents"/>
              <w:bidi w:val="0"/>
              <w:spacing w:before="0" w:after="283"/>
              <w:jc w:val="left"/>
              <w:rPr>
                <w:sz w:val="4"/>
                <w:szCs w:val="4"/>
              </w:rPr>
            </w:pPr>
            <w:r>
              <w:rPr>
                <w:sz w:val="4"/>
                <w:szCs w:val="4"/>
              </w:rPr>
            </w:r>
          </w:p>
        </w:tc>
        <w:tc>
          <w:tcPr>
            <w:tcW w:w="3203" w:type="dxa"/>
            <w:gridSpan w:val="2"/>
            <w:tcBorders/>
            <w:vAlign w:val="center"/>
          </w:tcPr>
          <w:p>
            <w:pPr>
              <w:pStyle w:val="TableContents"/>
              <w:bidi w:val="0"/>
              <w:spacing w:before="0" w:after="283"/>
              <w:jc w:val="left"/>
              <w:rPr>
                <w:sz w:val="4"/>
                <w:szCs w:val="4"/>
              </w:rPr>
            </w:pPr>
            <w:r>
              <w:rPr>
                <w:sz w:val="4"/>
                <w:szCs w:val="4"/>
              </w:rPr>
            </w:r>
          </w:p>
        </w:tc>
      </w:tr>
      <w:tr>
        <w:trPr/>
        <w:tc>
          <w:tcPr>
            <w:tcW w:w="1343" w:type="dxa"/>
            <w:tcBorders/>
            <w:vAlign w:val="center"/>
          </w:tcPr>
          <w:p>
            <w:pPr>
              <w:pStyle w:val="TableContents"/>
              <w:bidi w:val="0"/>
              <w:spacing w:before="0" w:after="283"/>
              <w:jc w:val="left"/>
              <w:rPr/>
            </w:pPr>
            <w:r>
              <w:rPr/>
              <w:t>HLA Restriction</w:t>
            </w:r>
          </w:p>
        </w:tc>
        <w:tc>
          <w:tcPr>
            <w:tcW w:w="120" w:type="dxa"/>
            <w:tcBorders/>
            <w:vAlign w:val="center"/>
          </w:tcPr>
          <w:p>
            <w:pPr>
              <w:pStyle w:val="TableContents"/>
              <w:bidi w:val="0"/>
              <w:spacing w:before="0" w:after="283"/>
              <w:jc w:val="left"/>
              <w:rPr/>
            </w:pPr>
            <w:r>
              <w:rPr/>
              <w:t>  </w:t>
            </w:r>
          </w:p>
        </w:tc>
        <w:tc>
          <w:tcPr>
            <w:tcW w:w="3249" w:type="dxa"/>
            <w:tcBorders/>
            <w:vAlign w:val="center"/>
          </w:tcPr>
          <w:p>
            <w:pPr>
              <w:pStyle w:val="TableContents"/>
              <w:bidi w:val="0"/>
              <w:spacing w:before="0" w:after="283"/>
              <w:jc w:val="left"/>
              <w:rPr/>
            </w:pPr>
            <w:r>
              <w:rPr/>
              <w:t>No</w:t>
            </w:r>
          </w:p>
        </w:tc>
        <w:tc>
          <w:tcPr>
            <w:tcW w:w="120" w:type="dxa"/>
            <w:tcBorders/>
            <w:vAlign w:val="center"/>
          </w:tcPr>
          <w:p>
            <w:pPr>
              <w:pStyle w:val="TableContents"/>
              <w:bidi w:val="0"/>
              <w:spacing w:before="0" w:after="283"/>
              <w:jc w:val="left"/>
              <w:rPr/>
            </w:pPr>
            <w:r>
              <w:rPr/>
              <w:t>  </w:t>
            </w:r>
          </w:p>
        </w:tc>
        <w:tc>
          <w:tcPr>
            <w:tcW w:w="2170" w:type="dxa"/>
            <w:tcBorders/>
            <w:vAlign w:val="center"/>
          </w:tcPr>
          <w:p>
            <w:pPr>
              <w:pStyle w:val="TableContents"/>
              <w:bidi w:val="0"/>
              <w:spacing w:before="0" w:after="283"/>
              <w:jc w:val="left"/>
              <w:rPr/>
            </w:pPr>
            <w:r>
              <w:rPr/>
              <w:t>Yes</w:t>
            </w:r>
          </w:p>
        </w:tc>
        <w:tc>
          <w:tcPr>
            <w:tcW w:w="120" w:type="dxa"/>
            <w:tcBorders/>
            <w:vAlign w:val="center"/>
          </w:tcPr>
          <w:p>
            <w:pPr>
              <w:pStyle w:val="TableContents"/>
              <w:bidi w:val="0"/>
              <w:spacing w:before="0" w:after="283"/>
              <w:jc w:val="left"/>
              <w:rPr/>
            </w:pPr>
            <w:r>
              <w:rPr/>
              <w:t>  </w:t>
            </w:r>
          </w:p>
        </w:tc>
        <w:tc>
          <w:tcPr>
            <w:tcW w:w="3083" w:type="dxa"/>
            <w:tcBorders/>
            <w:vAlign w:val="center"/>
          </w:tcPr>
          <w:p>
            <w:pPr>
              <w:pStyle w:val="TableContents"/>
              <w:bidi w:val="0"/>
              <w:spacing w:before="0" w:after="283"/>
              <w:jc w:val="left"/>
              <w:rPr/>
            </w:pPr>
            <w:r>
              <w:rPr/>
              <w:t>No</w:t>
            </w:r>
          </w:p>
        </w:tc>
      </w:tr>
      <w:tr>
        <w:trPr/>
        <w:tc>
          <w:tcPr>
            <w:tcW w:w="1343" w:type="dxa"/>
            <w:tcBorders/>
            <w:vAlign w:val="center"/>
          </w:tcPr>
          <w:p>
            <w:pPr>
              <w:pStyle w:val="TableContents"/>
              <w:bidi w:val="0"/>
              <w:spacing w:before="0" w:after="283"/>
              <w:jc w:val="left"/>
              <w:rPr>
                <w:sz w:val="4"/>
                <w:szCs w:val="4"/>
              </w:rPr>
            </w:pPr>
            <w:r>
              <w:rPr>
                <w:sz w:val="4"/>
                <w:szCs w:val="4"/>
              </w:rPr>
            </w:r>
          </w:p>
        </w:tc>
        <w:tc>
          <w:tcPr>
            <w:tcW w:w="3369" w:type="dxa"/>
            <w:gridSpan w:val="2"/>
            <w:tcBorders/>
            <w:vAlign w:val="center"/>
          </w:tcPr>
          <w:p>
            <w:pPr>
              <w:pStyle w:val="TableContents"/>
              <w:bidi w:val="0"/>
              <w:spacing w:before="0" w:after="283"/>
              <w:jc w:val="left"/>
              <w:rPr>
                <w:sz w:val="4"/>
                <w:szCs w:val="4"/>
              </w:rPr>
            </w:pPr>
            <w:r>
              <w:rPr>
                <w:sz w:val="4"/>
                <w:szCs w:val="4"/>
              </w:rPr>
            </w:r>
          </w:p>
        </w:tc>
        <w:tc>
          <w:tcPr>
            <w:tcW w:w="2290" w:type="dxa"/>
            <w:gridSpan w:val="2"/>
            <w:tcBorders/>
            <w:vAlign w:val="center"/>
          </w:tcPr>
          <w:p>
            <w:pPr>
              <w:pStyle w:val="TableContents"/>
              <w:bidi w:val="0"/>
              <w:spacing w:before="0" w:after="283"/>
              <w:jc w:val="left"/>
              <w:rPr>
                <w:sz w:val="4"/>
                <w:szCs w:val="4"/>
              </w:rPr>
            </w:pPr>
            <w:r>
              <w:rPr>
                <w:sz w:val="4"/>
                <w:szCs w:val="4"/>
              </w:rPr>
            </w:r>
          </w:p>
        </w:tc>
        <w:tc>
          <w:tcPr>
            <w:tcW w:w="3203" w:type="dxa"/>
            <w:gridSpan w:val="2"/>
            <w:tcBorders/>
            <w:vAlign w:val="center"/>
          </w:tcPr>
          <w:p>
            <w:pPr>
              <w:pStyle w:val="TableContents"/>
              <w:bidi w:val="0"/>
              <w:spacing w:before="0" w:after="283"/>
              <w:jc w:val="left"/>
              <w:rPr>
                <w:sz w:val="4"/>
                <w:szCs w:val="4"/>
              </w:rPr>
            </w:pPr>
            <w:r>
              <w:rPr>
                <w:sz w:val="4"/>
                <w:szCs w:val="4"/>
              </w:rPr>
            </w:r>
          </w:p>
        </w:tc>
      </w:tr>
      <w:tr>
        <w:trPr/>
        <w:tc>
          <w:tcPr>
            <w:tcW w:w="1343" w:type="dxa"/>
            <w:tcBorders/>
            <w:vAlign w:val="center"/>
          </w:tcPr>
          <w:p>
            <w:pPr>
              <w:pStyle w:val="TableContents"/>
              <w:bidi w:val="0"/>
              <w:spacing w:before="0" w:after="283"/>
              <w:jc w:val="left"/>
              <w:rPr/>
            </w:pPr>
            <w:r>
              <w:rPr/>
              <w:t>Tumor Types</w:t>
            </w:r>
          </w:p>
        </w:tc>
        <w:tc>
          <w:tcPr>
            <w:tcW w:w="120" w:type="dxa"/>
            <w:tcBorders/>
            <w:vAlign w:val="center"/>
          </w:tcPr>
          <w:p>
            <w:pPr>
              <w:pStyle w:val="TableContents"/>
              <w:bidi w:val="0"/>
              <w:spacing w:before="0" w:after="283"/>
              <w:jc w:val="left"/>
              <w:rPr/>
            </w:pPr>
            <w:r>
              <w:rPr/>
              <w:t>  </w:t>
            </w:r>
          </w:p>
        </w:tc>
        <w:tc>
          <w:tcPr>
            <w:tcW w:w="32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Hematological malignancies (e.g., B-cell leukemia,</w:t>
            </w:r>
          </w:p>
          <w:p>
            <w:pPr>
              <w:pStyle w:val="TableContents"/>
              <w:bidi w:val="0"/>
              <w:spacing w:before="0" w:after="20"/>
              <w:jc w:val="left"/>
              <w:rPr>
                <w:rFonts w:ascii="Times New Roman" w:hAnsi="Times New Roman"/>
                <w:sz w:val="20"/>
              </w:rPr>
            </w:pPr>
            <w:r>
              <w:rPr>
                <w:rFonts w:ascii="Times New Roman" w:hAnsi="Times New Roman"/>
                <w:sz w:val="20"/>
              </w:rPr>
              <w:t>lymphoma) Solid tumors with limited efficacy</w:t>
            </w:r>
          </w:p>
        </w:tc>
        <w:tc>
          <w:tcPr>
            <w:tcW w:w="120" w:type="dxa"/>
            <w:tcBorders/>
            <w:vAlign w:val="center"/>
          </w:tcPr>
          <w:p>
            <w:pPr>
              <w:pStyle w:val="TableContents"/>
              <w:bidi w:val="0"/>
              <w:spacing w:before="0" w:after="283"/>
              <w:jc w:val="left"/>
              <w:rPr/>
            </w:pPr>
            <w:r>
              <w:rPr/>
              <w:t>  </w:t>
            </w:r>
          </w:p>
        </w:tc>
        <w:tc>
          <w:tcPr>
            <w:tcW w:w="2170" w:type="dxa"/>
            <w:tcBorders/>
            <w:vAlign w:val="center"/>
          </w:tcPr>
          <w:p>
            <w:pPr>
              <w:pStyle w:val="TableContents"/>
              <w:bidi w:val="0"/>
              <w:spacing w:before="0" w:after="283"/>
              <w:jc w:val="left"/>
              <w:rPr/>
            </w:pPr>
            <w:r>
              <w:rPr/>
              <w:t>Solid tumors and hematological malignancies</w:t>
            </w:r>
          </w:p>
        </w:tc>
        <w:tc>
          <w:tcPr>
            <w:tcW w:w="120" w:type="dxa"/>
            <w:tcBorders/>
            <w:vAlign w:val="center"/>
          </w:tcPr>
          <w:p>
            <w:pPr>
              <w:pStyle w:val="TableContents"/>
              <w:bidi w:val="0"/>
              <w:spacing w:before="0" w:after="283"/>
              <w:jc w:val="left"/>
              <w:rPr/>
            </w:pPr>
            <w:r>
              <w:rPr/>
              <w:t>  </w:t>
            </w:r>
          </w:p>
        </w:tc>
        <w:tc>
          <w:tcPr>
            <w:tcW w:w="3083" w:type="dxa"/>
            <w:tcBorders/>
            <w:vAlign w:val="center"/>
          </w:tcPr>
          <w:p>
            <w:pPr>
              <w:pStyle w:val="TableContents"/>
              <w:bidi w:val="0"/>
              <w:spacing w:before="0" w:after="283"/>
              <w:jc w:val="left"/>
              <w:rPr/>
            </w:pPr>
            <w:r>
              <w:rPr/>
              <w:t>Solid tumors, including melanoma, NSCLC, ovarian, cervical and sarcoma</w:t>
            </w:r>
          </w:p>
        </w:tc>
      </w:tr>
      <w:tr>
        <w:trPr/>
        <w:tc>
          <w:tcPr>
            <w:tcW w:w="1343" w:type="dxa"/>
            <w:tcBorders/>
            <w:vAlign w:val="center"/>
          </w:tcPr>
          <w:p>
            <w:pPr>
              <w:pStyle w:val="TableContents"/>
              <w:bidi w:val="0"/>
              <w:spacing w:before="0" w:after="283"/>
              <w:jc w:val="left"/>
              <w:rPr>
                <w:sz w:val="4"/>
                <w:szCs w:val="4"/>
              </w:rPr>
            </w:pPr>
            <w:r>
              <w:rPr>
                <w:sz w:val="4"/>
                <w:szCs w:val="4"/>
              </w:rPr>
            </w:r>
          </w:p>
        </w:tc>
        <w:tc>
          <w:tcPr>
            <w:tcW w:w="3369" w:type="dxa"/>
            <w:gridSpan w:val="2"/>
            <w:tcBorders/>
            <w:vAlign w:val="center"/>
          </w:tcPr>
          <w:p>
            <w:pPr>
              <w:pStyle w:val="TableContents"/>
              <w:bidi w:val="0"/>
              <w:spacing w:before="0" w:after="283"/>
              <w:jc w:val="left"/>
              <w:rPr>
                <w:sz w:val="4"/>
                <w:szCs w:val="4"/>
              </w:rPr>
            </w:pPr>
            <w:r>
              <w:rPr>
                <w:sz w:val="4"/>
                <w:szCs w:val="4"/>
              </w:rPr>
            </w:r>
          </w:p>
        </w:tc>
        <w:tc>
          <w:tcPr>
            <w:tcW w:w="2290" w:type="dxa"/>
            <w:gridSpan w:val="2"/>
            <w:tcBorders/>
            <w:vAlign w:val="center"/>
          </w:tcPr>
          <w:p>
            <w:pPr>
              <w:pStyle w:val="TableContents"/>
              <w:bidi w:val="0"/>
              <w:spacing w:before="0" w:after="283"/>
              <w:jc w:val="left"/>
              <w:rPr>
                <w:sz w:val="4"/>
                <w:szCs w:val="4"/>
              </w:rPr>
            </w:pPr>
            <w:r>
              <w:rPr>
                <w:sz w:val="4"/>
                <w:szCs w:val="4"/>
              </w:rPr>
            </w:r>
          </w:p>
        </w:tc>
        <w:tc>
          <w:tcPr>
            <w:tcW w:w="3203" w:type="dxa"/>
            <w:gridSpan w:val="2"/>
            <w:tcBorders/>
            <w:vAlign w:val="center"/>
          </w:tcPr>
          <w:p>
            <w:pPr>
              <w:pStyle w:val="TableContents"/>
              <w:bidi w:val="0"/>
              <w:spacing w:before="0" w:after="283"/>
              <w:jc w:val="left"/>
              <w:rPr>
                <w:sz w:val="4"/>
                <w:szCs w:val="4"/>
              </w:rPr>
            </w:pPr>
            <w:r>
              <w:rPr>
                <w:sz w:val="4"/>
                <w:szCs w:val="4"/>
              </w:rPr>
            </w:r>
          </w:p>
        </w:tc>
      </w:tr>
      <w:tr>
        <w:trPr/>
        <w:tc>
          <w:tcPr>
            <w:tcW w:w="1343" w:type="dxa"/>
            <w:tcBorders/>
            <w:vAlign w:val="center"/>
          </w:tcPr>
          <w:p>
            <w:pPr>
              <w:pStyle w:val="TableContents"/>
              <w:bidi w:val="0"/>
              <w:spacing w:before="0" w:after="283"/>
              <w:jc w:val="left"/>
              <w:rPr/>
            </w:pPr>
            <w:r>
              <w:rPr/>
              <w:t>Toxicity</w:t>
            </w:r>
          </w:p>
        </w:tc>
        <w:tc>
          <w:tcPr>
            <w:tcW w:w="120" w:type="dxa"/>
            <w:tcBorders/>
            <w:vAlign w:val="center"/>
          </w:tcPr>
          <w:p>
            <w:pPr>
              <w:pStyle w:val="TableContents"/>
              <w:bidi w:val="0"/>
              <w:spacing w:before="0" w:after="283"/>
              <w:jc w:val="left"/>
              <w:rPr/>
            </w:pPr>
            <w:r>
              <w:rPr/>
              <w:t>  </w:t>
            </w:r>
          </w:p>
        </w:tc>
        <w:tc>
          <w:tcPr>
            <w:tcW w:w="3249" w:type="dxa"/>
            <w:tcBorders/>
            <w:vAlign w:val="center"/>
          </w:tcPr>
          <w:p>
            <w:pPr>
              <w:pStyle w:val="TableContents"/>
              <w:bidi w:val="0"/>
              <w:spacing w:before="0" w:after="283"/>
              <w:jc w:val="left"/>
              <w:rPr/>
            </w:pPr>
            <w:r>
              <w:rPr/>
              <w:t>Cytokine release syndrome (CRS), neurotoxicity</w:t>
            </w:r>
          </w:p>
        </w:tc>
        <w:tc>
          <w:tcPr>
            <w:tcW w:w="120" w:type="dxa"/>
            <w:tcBorders/>
            <w:vAlign w:val="center"/>
          </w:tcPr>
          <w:p>
            <w:pPr>
              <w:pStyle w:val="TableContents"/>
              <w:bidi w:val="0"/>
              <w:spacing w:before="0" w:after="283"/>
              <w:jc w:val="left"/>
              <w:rPr/>
            </w:pPr>
            <w:r>
              <w:rPr/>
              <w:t>  </w:t>
            </w:r>
          </w:p>
        </w:tc>
        <w:tc>
          <w:tcPr>
            <w:tcW w:w="2170" w:type="dxa"/>
            <w:tcBorders/>
            <w:vAlign w:val="center"/>
          </w:tcPr>
          <w:p>
            <w:pPr>
              <w:pStyle w:val="TableContents"/>
              <w:bidi w:val="0"/>
              <w:spacing w:before="0" w:after="283"/>
              <w:jc w:val="left"/>
              <w:rPr/>
            </w:pPr>
            <w:r>
              <w:rPr/>
              <w:t>Off-target effects, CRS</w:t>
            </w:r>
          </w:p>
        </w:tc>
        <w:tc>
          <w:tcPr>
            <w:tcW w:w="120" w:type="dxa"/>
            <w:tcBorders/>
            <w:vAlign w:val="center"/>
          </w:tcPr>
          <w:p>
            <w:pPr>
              <w:pStyle w:val="TableContents"/>
              <w:bidi w:val="0"/>
              <w:spacing w:before="0" w:after="283"/>
              <w:jc w:val="left"/>
              <w:rPr/>
            </w:pPr>
            <w:r>
              <w:rPr/>
              <w:t>  </w:t>
            </w:r>
          </w:p>
        </w:tc>
        <w:tc>
          <w:tcPr>
            <w:tcW w:w="3083" w:type="dxa"/>
            <w:tcBorders/>
            <w:vAlign w:val="center"/>
          </w:tcPr>
          <w:p>
            <w:pPr>
              <w:pStyle w:val="TableContents"/>
              <w:bidi w:val="0"/>
              <w:spacing w:before="0" w:after="283"/>
              <w:jc w:val="left"/>
              <w:rPr/>
            </w:pPr>
            <w:r>
              <w:rPr/>
              <w:t>Lymphodepletion and IL-2-related toxicities</w:t>
            </w:r>
          </w:p>
        </w:tc>
      </w:tr>
    </w:tbl>
    <w:p>
      <w:pPr>
        <w:pStyle w:val="TextBody"/>
        <w:bidi w:val="0"/>
        <w:spacing w:before="260" w:after="0"/>
        <w:jc w:val="left"/>
        <w:rPr>
          <w:rFonts w:ascii="Times New Roman" w:hAnsi="Times New Roman"/>
          <w:i/>
          <w:sz w:val="20"/>
          <w:u w:val="single"/>
        </w:rPr>
      </w:pPr>
      <w:r>
        <w:rPr>
          <w:rFonts w:ascii="Times New Roman" w:hAnsi="Times New Roman"/>
          <w:i/>
          <w:sz w:val="20"/>
          <w:u w:val="single"/>
        </w:rPr>
        <w:t xml:space="preserve">TIL cell therapy for the treatment of solid tumors </w:t>
      </w:r>
    </w:p>
    <w:p>
      <w:pPr>
        <w:pStyle w:val="TextBody"/>
        <w:bidi w:val="0"/>
        <w:spacing w:before="120" w:after="0"/>
        <w:jc w:val="left"/>
        <w:rPr>
          <w:rFonts w:ascii="Times New Roman" w:hAnsi="Times New Roman"/>
          <w:sz w:val="20"/>
        </w:rPr>
      </w:pPr>
      <w:r>
        <w:rPr>
          <w:rFonts w:ascii="Times New Roman" w:hAnsi="Times New Roman"/>
          <w:sz w:val="20"/>
        </w:rPr>
        <w:t xml:space="preserve">One of the earliest demonstrations of the antitumor potential of cell therapies came from the work of Steven Rosenberg, M.D., Ph.D. and colleagues at the National Institutes of Health in the 1980s, before the discovery of ICIs. These researchers found that TIL from melanoma patients could be expanded </w:t>
      </w:r>
      <w:r>
        <w:rPr>
          <w:rFonts w:ascii="Times New Roman" w:hAnsi="Times New Roman"/>
          <w:i/>
          <w:sz w:val="20"/>
        </w:rPr>
        <w:t>ex vivo</w:t>
      </w:r>
      <w:r>
        <w:rPr>
          <w:rFonts w:ascii="Times New Roman" w:hAnsi="Times New Roman"/>
          <w:sz w:val="20"/>
        </w:rPr>
        <w:t xml:space="preserve"> in cell culture to boost their antitumor activity. TIL cell therapy offers a way to potentially avoid the limited effectiveness of CAR-T therapies in solid tumors while taking advantage of the ability of the TCR to more specifically recognize tumor cells. Because TIL are isolated from tumors, they are enriched with T cells that specifically recognize tumor cells and have demonstrated the ability to traffic to, and survive in, the tumor microenvironment. Furthermore, TIL contain polyclonal T cells that are capable of recognizing a spectrum of tumor-specific antigens that may be present in any given tumor. </w:t>
      </w:r>
    </w:p>
    <w:p>
      <w:pPr>
        <w:pStyle w:val="TextBody"/>
        <w:bidi w:val="0"/>
        <w:spacing w:before="240" w:after="0"/>
        <w:jc w:val="left"/>
        <w:rPr>
          <w:rFonts w:ascii="Times New Roman" w:hAnsi="Times New Roman"/>
          <w:sz w:val="20"/>
        </w:rPr>
      </w:pPr>
      <w:r>
        <w:rPr>
          <w:rFonts w:ascii="Times New Roman" w:hAnsi="Times New Roman"/>
          <w:sz w:val="20"/>
        </w:rPr>
        <w:t xml:space="preserve">The first FDA-approved TIL cell therapy, Amtagvi, received accelerated approval in 2024 to treat patients with unresectable or metastatic melanoma who have been previously treated with a PD-1 blocking antibody, and if BRAF V600 mutation positive, a BRAF inhibitor with or without a MEK inhibitor. Amtagvi was approved based on 31.5% ORR, including three complete responses. The median overall survival, or OS, from a follow-up analysis of patients in this trial was 13.9 months, with a five-year OS of 19.7%.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limitations of current TIL cell therapies </w:t>
      </w:r>
    </w:p>
    <w:p>
      <w:pPr>
        <w:pStyle w:val="TextBody"/>
        <w:bidi w:val="0"/>
        <w:spacing w:before="120" w:after="0"/>
        <w:jc w:val="left"/>
        <w:rPr>
          <w:rFonts w:ascii="Times New Roman" w:hAnsi="Times New Roman"/>
          <w:sz w:val="20"/>
        </w:rPr>
      </w:pPr>
      <w:r>
        <w:rPr>
          <w:rFonts w:ascii="Times New Roman" w:hAnsi="Times New Roman"/>
          <w:sz w:val="20"/>
        </w:rPr>
        <w:t xml:space="preserve">Traditional TIL cell therapies, such as Amtagvi, which use TIL that are not genetically modified, have a number of limitations that result in increased morbidity and mortality. These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Manufacturing challenges.</w:t>
            </w:r>
            <w:r>
              <w:rPr>
                <w:rFonts w:ascii="Times New Roman" w:hAnsi="Times New Roman"/>
                <w:sz w:val="20"/>
              </w:rPr>
              <w:t xml:space="preserve"> Non-engineered TIL cell therapies require that tumor tissue be obtained by surgical resection. The need for an invasive surgical procedure poses challenges such as ensuring a patient is eligible for anesthesia and surgery and ensuring availability of specialized surgeons (e.g. thoracic surgeons) for the area of surgical biopsy. These requirements result in significant tumor tissue harvest delays because it requires scheduling with a surgeon trained in the appropriate specialty. Furthermore, the number of TIL generated using these processes is not always sufficient to deliver effective therapy to patients. Of the 111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patients who underwent tumor resection in the Amtagvi registrational trial, 22 (20%) were not infused with Amtagvi for clinical or manufacturing reasons. Of the 89 patients who were infused, seven patients were excluded from the primary efficacy analysis because their infused product did not meet product specification or comparability criteria. An additional nine infused patients received Amtagvi at a dose below the lower bound of the recommended dosing range of 7.5 x 10 viable cells. Thus, 34% of patients were not included in the primary efficacy population within the recommended dosing range.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Use of IL2 for </w:t>
            </w:r>
            <w:r>
              <w:rPr>
                <w:rFonts w:ascii="Times New Roman" w:hAnsi="Times New Roman"/>
                <w:b/>
                <w:i/>
                <w:sz w:val="20"/>
              </w:rPr>
              <w:t>ex vivo</w:t>
            </w:r>
            <w:r>
              <w:rPr>
                <w:rFonts w:ascii="Times New Roman" w:hAnsi="Times New Roman"/>
                <w:sz w:val="20"/>
              </w:rPr>
              <w:t xml:space="preserve"> </w:t>
            </w:r>
            <w:r>
              <w:rPr>
                <w:rFonts w:ascii="Times New Roman" w:hAnsi="Times New Roman"/>
                <w:b/>
                <w:sz w:val="20"/>
              </w:rPr>
              <w:t>TIL expansion.</w:t>
            </w:r>
            <w:r>
              <w:rPr>
                <w:rFonts w:ascii="Times New Roman" w:hAnsi="Times New Roman"/>
                <w:sz w:val="20"/>
              </w:rPr>
              <w:t xml:space="preserve"> IL2 is a powerful cytokine that critically affects the features and effectiveness of T cells. IL2 drives T cell expansion and leads to their ability to maximally secrete interferon gamma, or IFN</w:t>
            </w:r>
            <w:r>
              <w:rPr>
                <w:rFonts w:ascii="SYMBOL" w:hAnsi="SYMBOL"/>
                <w:sz w:val="20"/>
              </w:rPr>
              <w:t>g</w:t>
            </w:r>
            <w:r>
              <w:rPr>
                <w:rFonts w:ascii="Times New Roman" w:hAnsi="Times New Roman"/>
                <w:sz w:val="20"/>
              </w:rPr>
              <w:t xml:space="preserve">, in response to antigen stimulation. Hence, IL2 is used throughout the manufacturing process for non-engineered TIL, including the REP. However, IL2 stimulation of T cells during the REP can cause T cell exhaustion and may translate to reduced T cell persistence after infusion. Use of IL2 also leads to expansion of Tregs which have the potential to suppress T cell cytotoxicity. Although the use of IL2 during the REP can drive rapid expansion of TIL, the cytotoxicity of the expanded product may be compromised.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Need for lymphodepletion.</w:t>
            </w:r>
            <w:r>
              <w:rPr>
                <w:rFonts w:ascii="Times New Roman" w:hAnsi="Times New Roman"/>
                <w:sz w:val="20"/>
              </w:rPr>
              <w:t xml:space="preserve"> Treatment with non-engineered TIL cell therapies requires that the patient first undergo standard lymphodepletion, which is generally administered using fludarabine and cyclophosphamide. Lymphodepletion serves a number of purposes including eliminating potentially suppressive endogenous T cells, reducing suppressive cytokines, and creating a regenerative immune niche that administered cells could colonize. It has been shown that lymphodepletion is essential for cellular immunotherapies of cancer. However, not all patients are eligible to undergo standard lymphodepletion. Because individuals with poor organ function, poor performance status or active infections are ineligible for the standard lymphodepletion procedure, these individuals are unable to receive non-engineered TIL cell therapies.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Requirement for inpatient IL2 dosing after TIL infusion. </w:t>
            </w:r>
            <w:r>
              <w:rPr>
                <w:rFonts w:ascii="Times New Roman" w:hAnsi="Times New Roman"/>
                <w:sz w:val="20"/>
              </w:rPr>
              <w:t xml:space="preserve">In conventional TIL regimens, physicians administer several doses of high-dose IL2 intravenously in the inpatient setting after delivering TIL cells. For this to be effective, high doses of IL2 are required due to the lower affinity of the IL2 receptor on cytotoxic T cells. High dose IL2 has been associated with life-threatening adverse events, such as capillary leak syndrome, hypotension and tachycardia.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Our Solution: Amsoki-cel </w:t>
      </w:r>
    </w:p>
    <w:p>
      <w:pPr>
        <w:pStyle w:val="TextBody"/>
        <w:bidi w:val="0"/>
        <w:spacing w:before="120" w:after="0"/>
        <w:jc w:val="left"/>
        <w:rPr>
          <w:rFonts w:ascii="Times New Roman" w:hAnsi="Times New Roman"/>
          <w:b/>
          <w:i/>
          <w:sz w:val="20"/>
        </w:rPr>
      </w:pPr>
      <w:r>
        <w:rPr>
          <w:rFonts w:ascii="Times New Roman" w:hAnsi="Times New Roman"/>
          <w:b/>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advancing amsoki-cel, an engineered cytoTIL cell therapy for the treatment of advanced melanoma and NSCLC. Amsoki-cel was developed using our proprietary cytoDRiVE platform technology and designed to overcome the limitations of existing therapies. A key differentiating feature of amsoki-cel is the introduction of a genetic construct that encodes a mbIL15 protein whose expression can be regulated using ACZ, an orally available FDA approved drug. The expression of IL15 by amsoki-cel eliminates the need for IL2 in the treatment regimen in both the REP phase of manufacturing and inpatient treatment. In a cohort of 15 patients with advanced melanoma and confirmed radiological progression post-ICI therapy, treatment with amsoki-cel at the RP2D led to an ORR of 67% with rapid and durable tumor regression. Also notable is that robust antitumor responses were obtained using low dose lymphodepletion and, in some patients, with core needle biopsies instead of surgical resections. There was no TRM and there were no DLTs or discontinuations due to adverse events. Amsoki-cel has Fast Track and RMAT designations from the FDA for the treatment of patients with unresectable or metastatic melanoma that is resistant to ICI therapy. In our Phase 1 clinical trial in NSCLC, early clinical results show robust tumor shrinkage and include multiple confirmed PRs. </w:t>
      </w:r>
    </w:p>
    <w:p>
      <w:pPr>
        <w:pStyle w:val="TextBody"/>
        <w:bidi w:val="0"/>
        <w:spacing w:before="240" w:after="0"/>
        <w:jc w:val="left"/>
        <w:rPr>
          <w:rFonts w:ascii="Times New Roman" w:hAnsi="Times New Roman"/>
          <w:sz w:val="20"/>
        </w:rPr>
      </w:pPr>
      <w:r>
        <w:rPr>
          <w:rFonts w:ascii="Times New Roman" w:hAnsi="Times New Roman"/>
          <w:sz w:val="20"/>
        </w:rPr>
        <w:t xml:space="preserve">Enrollment is ongoing in our registration-enabling cohort of our existing multicenter Agni-01 study for amsoki-cel in second-line advanced melanoma, with top-line data expected by year-end 2027. </w:t>
      </w:r>
      <w:r>
        <w:rPr>
          <w:rFonts w:ascii="Times New Roman" w:hAnsi="Times New Roman"/>
          <w:b/>
          <w:i/>
          <w:sz w:val="20"/>
        </w:rPr>
        <w:t xml:space="preserve">Engineering Amsoki-cel with mbIL15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By utilizing our cytoDRiVE technology and incorporating mbIL15 into amsoki-cel, we are able to eliminate the need for IL2 in the treatment regimen. IL15 and IL2 are structurally related cytokines that share common receptor subunits. Similar to IL2, IL15 expands cytotoxic T cells and NK cells. Unlike IL2, IL15 does not preferentially expand Tregs, which are associated with an immunosuppressive tumor microenvironment. A further advantage of IL15 is that it promotes survival and maintenance of long-lived memory CD8 T cells, including subsets with stem-cell like properties. By contrast, IL2 leads to higher activation of short-lived effector T cells which are predisposed to terminal exhaustion both during manufacturing and </w:t>
      </w:r>
      <w:r>
        <w:rPr>
          <w:rFonts w:ascii="Times New Roman" w:hAnsi="Times New Roman"/>
          <w:i/>
          <w:sz w:val="20"/>
        </w:rPr>
        <w:t>in vivo</w:t>
      </w:r>
      <w:r>
        <w:rPr>
          <w:rFonts w:ascii="Times New Roman" w:hAnsi="Times New Roman"/>
          <w:sz w:val="20"/>
        </w:rPr>
        <w:t xml:space="preserve"> after infusion. </w:t>
      </w:r>
    </w:p>
    <w:p>
      <w:pPr>
        <w:pStyle w:val="TextBody"/>
        <w:bidi w:val="0"/>
        <w:spacing w:before="240" w:after="0"/>
        <w:jc w:val="left"/>
        <w:rPr>
          <w:rFonts w:ascii="Times New Roman" w:hAnsi="Times New Roman"/>
          <w:sz w:val="20"/>
        </w:rPr>
      </w:pPr>
      <w:r>
        <w:rPr>
          <w:rFonts w:ascii="Times New Roman" w:hAnsi="Times New Roman"/>
          <w:sz w:val="20"/>
        </w:rPr>
        <w:t xml:space="preserve">Whereas IL2 has been approved by the FDA for the treatment of cancer, notwithstanding its association with significant toxicities, no systemic IL15 therapy has received FDA regulatory approval to date. Clinical experience with the administration of exogenous soluble IL15 found that it led to robust T cell proliferation, but its therapeutic benefit was limited with no responses among patients with melanoma. Additionally, a number of severe toxicities were observed including hypotension, thrombocytopenia and elevated liver enzymes. These limitations have prevented the clinical development of soluble exogenous IL15 in a therapeutic context. To leverage the benefits of IL15 while avoiding these undesired effects, amsoki-cel has membrane bound expression of IL15 with its levels regulated via our cytoDRiVE platform. </w:t>
      </w:r>
    </w:p>
    <w:p>
      <w:pPr>
        <w:pStyle w:val="TextBody"/>
        <w:bidi w:val="0"/>
        <w:spacing w:before="240" w:after="0"/>
        <w:jc w:val="left"/>
        <w:rPr>
          <w:rFonts w:ascii="Times New Roman" w:hAnsi="Times New Roman"/>
          <w:sz w:val="20"/>
        </w:rPr>
      </w:pPr>
      <w:r>
        <w:rPr>
          <w:rFonts w:ascii="Times New Roman" w:hAnsi="Times New Roman"/>
          <w:sz w:val="20"/>
        </w:rPr>
        <w:t xml:space="preserve">Amsoki-cel is engineered to express a proprietary IL15 construct with two key features: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IL15 is anchored to the membrane through a flexible linker, or mbIL15. The linker of mbIL15 has been engineered to avoid shedding of mbIL15 and thereby limit systemic exposure. Further, the linker length was optimized such that mbIL15 possesses the ability to both act </w:t>
            </w:r>
            <w:r>
              <w:rPr>
                <w:rFonts w:ascii="Times New Roman" w:hAnsi="Times New Roman"/>
                <w:i/>
                <w:sz w:val="20"/>
              </w:rPr>
              <w:t xml:space="preserve">in cis </w:t>
            </w:r>
            <w:r>
              <w:rPr>
                <w:rFonts w:ascii="Times New Roman" w:hAnsi="Times New Roman"/>
                <w:sz w:val="20"/>
              </w:rPr>
              <w:t xml:space="preserve">to directly activate transduced TIL cells, as shown in Figure 1 below (blue, left panel), and </w:t>
            </w:r>
            <w:r>
              <w:rPr>
                <w:rFonts w:ascii="Times New Roman" w:hAnsi="Times New Roman"/>
                <w:i/>
                <w:sz w:val="20"/>
              </w:rPr>
              <w:t>in trans</w:t>
            </w:r>
            <w:r>
              <w:rPr>
                <w:rFonts w:ascii="Times New Roman" w:hAnsi="Times New Roman"/>
                <w:sz w:val="20"/>
              </w:rPr>
              <w:t xml:space="preserve"> to activate other immune cells such as NK cells shown in Figure 1 below (red, right panel). Figure 1. mbIL15 activation of TIL and NK cells.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Figure 1. mbIL15 activation of TIL and NK cells.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5800" cy="399288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765800" cy="399288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The expression of mbIL15 is regulated by ACZ, an orally available FDA-approved drug</w:t>
            </w:r>
            <w:r>
              <w:rPr>
                <w:rFonts w:ascii="Times New Roman" w:hAnsi="Times New Roman"/>
                <w:sz w:val="20"/>
              </w:rPr>
              <w:t xml:space="preserve">. Our mbIL15 construct was designed to be regulated by cytoDRiVE. In the absence of ACZ, known as the “basal state” in the left panel in Figure 2 below, the DRD is degraded in the cell by the proteasome, thus limiting mbIL15 expression. As shown on the right panel of Figure 2 below, cytoDRiVE regulation enables the CA2-DRD construct to be stabilized in the presence of a paired ligand, ACZ, which enables dose-dependent, reversible mbIL15 expression on the TIL cell surface. ACZ is a CA2 inhibitor that functions as a diuretic for the treatment of edema and elevated intraocular pressure and is used to treat altitude sickness. It has been used in the clinic for over fifty years. This ability to alter the expression of mbIL15 using an oral drug is designed to dynamically regulate its expression to achieve an appropriate balance between efficacy while minimizing potential adverse events. Should a patient’s lymphocytes expand more than desired which may be associated with certain toxicities, mbIL15 expression can be suspended by stopping ACZ administration.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Figure 2. Regulation of mbIL15 activity using ACZ.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5800" cy="22987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765800" cy="2298700"/>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Proprietary Manufacturing Process </w:t>
      </w:r>
    </w:p>
    <w:p>
      <w:pPr>
        <w:pStyle w:val="TextBody"/>
        <w:bidi w:val="0"/>
        <w:spacing w:before="120" w:after="0"/>
        <w:jc w:val="left"/>
        <w:rPr>
          <w:rFonts w:ascii="Times New Roman" w:hAnsi="Times New Roman"/>
          <w:sz w:val="20"/>
        </w:rPr>
      </w:pPr>
      <w:r>
        <w:rPr>
          <w:rFonts w:ascii="Times New Roman" w:hAnsi="Times New Roman"/>
          <w:sz w:val="20"/>
        </w:rPr>
        <w:t xml:space="preserve">We designed our manufacturing process to ensure amsoki-cel would contain tumor-reactive TIL with high antitumor activity and phenotypically enriched for expansion and persistence. In addition, we have optimized our manufacturing process across the continuum of Pre-REP, activation, transduction of CA2-mbIL15 construct, REP, and cryopreservation to potentially allow for robustness, reproducibility and a high manufacturing success rate. Our manufacturing process for amsoki-cel delivers consistently robust cell yield and high process consistency with a greater than 95% demonstrated success rate. By leveraging our cytoDRiVE platform and our proprietary manufacturing process, we believe amsoki-cel has key attributes required to address the unmet need in the treatment of solid tumors and to meaningfully expand the targetable patient population.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Figure 3 below summarizes the various challenges in the manufacturing process of non-engineered TIL cell therapies and illustrates the potential opportunities to expand access and improve outcomes. </w:t>
      </w:r>
    </w:p>
    <w:p>
      <w:pPr>
        <w:pStyle w:val="TextBody"/>
        <w:bidi w:val="0"/>
        <w:spacing w:before="240" w:after="0"/>
        <w:jc w:val="left"/>
        <w:rPr>
          <w:rFonts w:ascii="Times New Roman" w:hAnsi="Times New Roman"/>
          <w:b/>
          <w:sz w:val="20"/>
        </w:rPr>
      </w:pPr>
      <w:r>
        <w:rPr>
          <w:rFonts w:ascii="Times New Roman" w:hAnsi="Times New Roman"/>
          <w:b/>
          <w:sz w:val="20"/>
        </w:rPr>
        <w:t xml:space="preserve">Figure 3. Manufacturing process of non-engineered TIL cell therapies.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5800" cy="25050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765800" cy="25050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Our manufacturing process can be divided into five stages, as summarized in Figure 4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Tissue acquisition.</w:t>
            </w:r>
            <w:r>
              <w:rPr>
                <w:rFonts w:ascii="Times New Roman" w:hAnsi="Times New Roman"/>
                <w:sz w:val="20"/>
              </w:rPr>
              <w:t xml:space="preserve"> Amsoki-cel is a patient-specific product that requires isolation of TIL from a patient’s tumor. We have used tumor tissue, both from surgical resections or from minimally invasive core needle biopsies to manufacture amsoki-cel in our clinical trials with no differential impact on cell dose or product phenotype. An advantage of core needle biopsies is that they can typically be obtained in an interventional radiology procedure under local anesthesia, which is faster than surgical excision. Surgical procedures may delay treatment by several weeks due to the need to coordinate schedules with a surgeon, anesthesiologist and operating room.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Pre-REP.</w:t>
            </w:r>
            <w:r>
              <w:rPr>
                <w:rFonts w:ascii="Times New Roman" w:hAnsi="Times New Roman"/>
                <w:sz w:val="20"/>
              </w:rPr>
              <w:t xml:space="preserve"> In Pre-REP stage, we isolate the TIL from the tissue sample and treat them with an antibody that serves as an agonist for 4-1BB. This process optimization has been shown to increase TIL expansion, enrich for putative tumor-specific clones and enhance antitumor cytotoxicity.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Activation and transduction. </w:t>
            </w:r>
            <w:r>
              <w:rPr>
                <w:rFonts w:ascii="Times New Roman" w:hAnsi="Times New Roman"/>
                <w:sz w:val="20"/>
              </w:rPr>
              <w:t xml:space="preserve">We transduce the patient’s TIL with a genetically inactivated viral vector containing our CA2-mbIL15 construct and activate them using a CD3 antibody.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REP. </w:t>
            </w:r>
            <w:r>
              <w:rPr>
                <w:rFonts w:ascii="Times New Roman" w:hAnsi="Times New Roman"/>
                <w:sz w:val="20"/>
              </w:rPr>
              <w:t xml:space="preserve">The expansion stage of TIL cell therapy manufacturing process typically involves two components: IL2 and feeder cells. We do not use IL2 in this stage to generate amsoki-cel and instead induce expression of our mbIL15 construct using ACZ. Also, whereas the feeder cells used to generate other TIL cell therapies consist of irradiated allogeneic peripheral blood mononuclear cells, or PBMCs, from healthy donors, amsoki-cel is manufactured using an irradiated engineered cell line that expresses both IL21 and 4-1BB ligand, or iFeeder cells, and use of this cell line improves our ability to expand TIL to generate amsoki-cel with a more favorable phenotype while reducing the cost and variability associated with using donor PBMCs. These REP process modifications drive further amplification of the CD8+ memory rich T cell phenotype.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Cryopreservation. </w:t>
            </w:r>
            <w:r>
              <w:rPr>
                <w:rFonts w:ascii="Times New Roman" w:hAnsi="Times New Roman"/>
                <w:sz w:val="20"/>
              </w:rPr>
              <w:t xml:space="preserve">Through optimization of our processes, we are able to cryopreserve amsoki-cel while maintaining potency. This provides us with the ability to ship our finished drug product from central manufacturing facilities to treatment centers.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Figure 4. Overview of the amsoki-cel</w:t>
      </w:r>
      <w:r>
        <w:rPr>
          <w:rFonts w:ascii="Times New Roman" w:hAnsi="Times New Roman"/>
          <w:sz w:val="20"/>
        </w:rPr>
        <w:t xml:space="preserve"> </w:t>
      </w:r>
      <w:r>
        <w:rPr>
          <w:rFonts w:ascii="Times New Roman" w:hAnsi="Times New Roman"/>
          <w:b/>
          <w:i/>
          <w:sz w:val="20"/>
        </w:rPr>
        <w:t>ex vivo</w:t>
      </w:r>
      <w:r>
        <w:rPr>
          <w:rFonts w:ascii="Times New Roman" w:hAnsi="Times New Roman"/>
          <w:sz w:val="20"/>
        </w:rPr>
        <w:t xml:space="preserve"> </w:t>
      </w:r>
      <w:r>
        <w:rPr>
          <w:rFonts w:ascii="Times New Roman" w:hAnsi="Times New Roman"/>
          <w:b/>
          <w:sz w:val="20"/>
        </w:rPr>
        <w:t xml:space="preserve">manufacturing stages. </w:t>
      </w:r>
    </w:p>
    <w:p>
      <w:pPr>
        <w:pStyle w:val="TextBody"/>
        <w:bidi w:val="0"/>
        <w:spacing w:before="0" w:after="0"/>
        <w:jc w:val="left"/>
        <w:rPr/>
      </w:pPr>
      <w:r>
        <w:rPr/>
        <w:t> </w:t>
      </w:r>
    </w:p>
    <w:p>
      <w:pPr>
        <w:pStyle w:val="TextBody"/>
        <w:bidi w:val="0"/>
        <w:spacing w:before="0" w:after="0"/>
        <w:jc w:val="center"/>
        <w:rPr/>
      </w:pPr>
      <w:r>
        <w:rPr/>
        <w:drawing>
          <wp:inline distT="0" distB="0" distL="0" distR="0">
            <wp:extent cx="4438650" cy="259143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438650" cy="2591435"/>
                    </a:xfrm>
                    <a:prstGeom prst="rect">
                      <a:avLst/>
                    </a:prstGeom>
                  </pic:spPr>
                </pic:pic>
              </a:graphicData>
            </a:graphic>
          </wp:inline>
        </w:drawing>
      </w:r>
      <w:r>
        <w:rPr/>
        <w:t xml:space="preserve"> </w:t>
      </w:r>
    </w:p>
    <w:p>
      <w:pPr>
        <w:pStyle w:val="TextBody"/>
        <w:bidi w:val="0"/>
        <w:spacing w:before="0" w:after="0"/>
        <w:jc w:val="left"/>
        <w:rPr/>
      </w:pPr>
      <w:r>
        <w:rPr/>
        <w:t> </w:t>
      </w:r>
    </w:p>
    <w:tbl>
      <w:tblPr>
        <w:tblW w:w="2725" w:type="dxa"/>
        <w:jc w:val="left"/>
        <w:tblInd w:w="0" w:type="dxa"/>
        <w:tblLayout w:type="fixed"/>
        <w:tblCellMar>
          <w:top w:w="0" w:type="dxa"/>
          <w:left w:w="0" w:type="dxa"/>
          <w:bottom w:w="0" w:type="dxa"/>
          <w:right w:w="0" w:type="dxa"/>
        </w:tblCellMar>
      </w:tblPr>
      <w:tblGrid>
        <w:gridCol w:w="155"/>
        <w:gridCol w:w="2570"/>
      </w:tblGrid>
      <w:tr>
        <w:trPr/>
        <w:tc>
          <w:tcPr>
            <w:tcW w:w="155" w:type="dxa"/>
            <w:tcBorders/>
            <w:vAlign w:val="center"/>
          </w:tcPr>
          <w:p>
            <w:pPr>
              <w:pStyle w:val="TableContents"/>
              <w:bidi w:val="0"/>
              <w:spacing w:before="0" w:after="283"/>
              <w:jc w:val="left"/>
              <w:rPr/>
            </w:pPr>
            <w:r>
              <w:rPr/>
              <w:t>*</w:t>
            </w:r>
          </w:p>
        </w:tc>
        <w:tc>
          <w:tcPr>
            <w:tcW w:w="2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Anti-CD3 Ab; retroviral vector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Melanoma Disease Background </w:t>
      </w:r>
    </w:p>
    <w:p>
      <w:pPr>
        <w:pStyle w:val="TextBody"/>
        <w:bidi w:val="0"/>
        <w:spacing w:before="120" w:after="0"/>
        <w:jc w:val="left"/>
        <w:rPr>
          <w:rFonts w:ascii="Times New Roman" w:hAnsi="Times New Roman"/>
          <w:sz w:val="20"/>
        </w:rPr>
      </w:pPr>
      <w:r>
        <w:rPr>
          <w:rFonts w:ascii="Times New Roman" w:hAnsi="Times New Roman"/>
          <w:sz w:val="20"/>
        </w:rPr>
        <w:t xml:space="preserve">Melanoma is the fifth most common malignancy in the United States and the most lethal form of skin cancer. The National Cancer Institute estimates that there were approximately 105,000 diagnoses of melanoma and approximately 8,500 deaths from melanoma in the United States in 2025. While most patients diagnosed with localized melanoma have an excellent prognosis, advanced melanoma is associated with widespread metastasis and has a five-year survival rate of only 34.6%. </w:t>
      </w:r>
    </w:p>
    <w:p>
      <w:pPr>
        <w:pStyle w:val="TextBody"/>
        <w:bidi w:val="0"/>
        <w:spacing w:before="240" w:after="0"/>
        <w:jc w:val="left"/>
        <w:rPr>
          <w:rFonts w:ascii="Times New Roman" w:hAnsi="Times New Roman"/>
          <w:sz w:val="20"/>
        </w:rPr>
      </w:pPr>
      <w:r>
        <w:rPr>
          <w:rFonts w:ascii="Times New Roman" w:hAnsi="Times New Roman"/>
          <w:sz w:val="20"/>
        </w:rPr>
        <w:t xml:space="preserve">The primary risk factor for developing melanoma is exposure to ultraviolet light, including sunlight and tanning beds. Ultraviolet light and other environmental insults can cause DNA damage, which in turn leads to an increased rate of mutations. Melanoma is one of the most highly mutated cancers. It has frequent driver mutations, such as mutations in the gene for BRAF, that directly contribute to tumorigenesis, as well as a wide array of passenger mutations, which accumulate but do not directly alter the propensity of the tumor to grow or spread. These mutations, both driver and passenger mutations, are a differentiating feature between melanoma cells and healthy cells that have led to the development of a number of therapies. </w:t>
      </w:r>
    </w:p>
    <w:p>
      <w:pPr>
        <w:pStyle w:val="TextBody"/>
        <w:bidi w:val="0"/>
        <w:spacing w:before="240" w:after="0"/>
        <w:jc w:val="left"/>
        <w:rPr>
          <w:rFonts w:ascii="Times New Roman" w:hAnsi="Times New Roman"/>
          <w:sz w:val="20"/>
        </w:rPr>
      </w:pPr>
      <w:r>
        <w:rPr>
          <w:rFonts w:ascii="Times New Roman" w:hAnsi="Times New Roman"/>
          <w:sz w:val="20"/>
        </w:rPr>
        <w:t xml:space="preserve">In patients who are diagnosed early and have few cancerous lesions, surgical excision can lead to long-term cures. In patients with more advanced and metastatic disease, unfortunately, surgical treatment has more limited benefit. Two types of systemic therapies are commonly used to treat these patients: ICIs and inhibitors of the BRAF pathway. Other approved systemic therapies, including combinations that target multiple immune checkpoints, have further expanded options for select patients. </w:t>
      </w:r>
    </w:p>
    <w:p>
      <w:pPr>
        <w:pStyle w:val="TextBody"/>
        <w:bidi w:val="0"/>
        <w:spacing w:before="240" w:after="0"/>
        <w:jc w:val="left"/>
        <w:rPr>
          <w:rFonts w:ascii="Times New Roman" w:hAnsi="Times New Roman"/>
          <w:sz w:val="20"/>
        </w:rPr>
      </w:pPr>
      <w:r>
        <w:rPr>
          <w:rFonts w:ascii="Times New Roman" w:hAnsi="Times New Roman"/>
          <w:sz w:val="20"/>
        </w:rPr>
        <w:t xml:space="preserve">Multiple immunotherapies including inhibitors of the PD-1/PD-L1 and CTLA-4 checkpoints have been approved to treat metastatic melanoma. These groundbreaking therapies have changed the treatment landscape for metastatic melanoma and dramatically improved both response and survival rates for patients. Treatment of patients with previously untreated unresectable melanoma with a combination of nivolumab and ipilimumab had an ORR of 58% and a median OS of 72.1 months. Grade 3/4 treatment-related AEs were reported in roughly 55% of patients, including 41.5% of patients with Grade 3/4 immune-related AEs. </w:t>
      </w:r>
    </w:p>
    <w:p>
      <w:pPr>
        <w:pStyle w:val="TextBody"/>
        <w:bidi w:val="0"/>
        <w:spacing w:before="240" w:after="0"/>
        <w:jc w:val="left"/>
        <w:rPr>
          <w:rFonts w:ascii="Times New Roman" w:hAnsi="Times New Roman"/>
          <w:sz w:val="20"/>
        </w:rPr>
      </w:pPr>
      <w:r>
        <w:rPr>
          <w:rFonts w:ascii="Times New Roman" w:hAnsi="Times New Roman"/>
          <w:sz w:val="20"/>
        </w:rPr>
        <w:t xml:space="preserve">Despite the immense improvement of survival upon ICI therapy, a significant subgroup of metastatic melanoma patients see no tumor response or subsequently lose initial response. Up to 60% of patients treated first-line with PD-1 monotherapy and up to 40% of those treated with PD-1 plus CTLA-4 combination do not respond to ICI treatment. 72% of patients do not respond to second-line CTLA-4 plus ICI combination therapy in the post ICI setting.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Approximately half of cutaneous melanomas have a mutation in the BRAF gene resulting in constitutive or always-on BRAF activity, which in turn promotes cancer cell proliferation. Treatment with inhibitors of BRAF has been shown to lead to an OS rate of about 70% at one year. Combination therapy using a BRAF inhibitor and a MEK inhibitor provides additional suppression of BRAF signaling and delays the development of resistance resulting in a slight increase in OS to about 75% at one year. However, responses to BRAF and MEK inhibitors have limited durability because resistance typically develops at around twelve months post-treatment. </w:t>
      </w:r>
    </w:p>
    <w:p>
      <w:pPr>
        <w:pStyle w:val="TextBody"/>
        <w:bidi w:val="0"/>
        <w:spacing w:before="240" w:after="0"/>
        <w:jc w:val="left"/>
        <w:rPr>
          <w:rFonts w:ascii="Times New Roman" w:hAnsi="Times New Roman"/>
          <w:sz w:val="20"/>
        </w:rPr>
      </w:pPr>
      <w:r>
        <w:rPr>
          <w:rFonts w:ascii="Times New Roman" w:hAnsi="Times New Roman"/>
          <w:sz w:val="20"/>
        </w:rPr>
        <w:t xml:space="preserve">Treatment options remain limited for patients with melanoma who are refractory to or have relapsed following treatments such as ICI and BRAF inhibitors. In recent years, additional therapies have been approved for certain patients in this setting, including Amtagvi and, more recently, Replimune’s Tudriqev in combination with nivolumab. In 2024, Amtagvi, the first FDA-approved TIL cell therapy, received accelerated approval for the treatment of these patients. The ORR in a single-arm open-label trial of Amtagvi in 73 patients was 31.5%. Non-engineered TIL, including Amtagvi, have multiple safety and logistical challenges, including regimen complexity and inpatient resource utilization, that impact broader adoption.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NSCLC Disease Background </w:t>
      </w:r>
    </w:p>
    <w:p>
      <w:pPr>
        <w:pStyle w:val="TextBody"/>
        <w:bidi w:val="0"/>
        <w:spacing w:before="120" w:after="0"/>
        <w:jc w:val="left"/>
        <w:rPr>
          <w:rFonts w:ascii="Times New Roman" w:hAnsi="Times New Roman"/>
          <w:sz w:val="20"/>
        </w:rPr>
      </w:pPr>
      <w:r>
        <w:rPr>
          <w:rFonts w:ascii="Times New Roman" w:hAnsi="Times New Roman"/>
          <w:sz w:val="20"/>
        </w:rPr>
        <w:t xml:space="preserve">Globally, an estimated 1.8 million people die of lung cancer each year. It is the leading cause of cancer-related death, accounting for approximately 18% of all cancer deaths. There were an estimated 227,000 new cases of lung cancer diagnosed and 125,000 deaths in the United States in 2025. NSCLC is the most common subtype of lung cancer, accounting for approximately 80 to 85% of lung cancers. The treatment paradigm for NSCLC has significantly changed over the past few years. Previously patients were primarily treated with radiation therapy or combinations of cytotoxic drugs. Recent developments have led to the emergence of targeted therapies based on alteration in the genes for epidermal growth factor receptor, or EGFR, and anaplastic lymphoma kinase gene, or ALK, and ICI for those without actionable gene mutations. </w:t>
      </w:r>
    </w:p>
    <w:p>
      <w:pPr>
        <w:pStyle w:val="TextBody"/>
        <w:bidi w:val="0"/>
        <w:spacing w:before="240" w:after="0"/>
        <w:jc w:val="left"/>
        <w:rPr>
          <w:rFonts w:ascii="Times New Roman" w:hAnsi="Times New Roman"/>
          <w:sz w:val="20"/>
        </w:rPr>
      </w:pPr>
      <w:r>
        <w:rPr>
          <w:rFonts w:ascii="Times New Roman" w:hAnsi="Times New Roman"/>
          <w:sz w:val="20"/>
        </w:rPr>
        <w:t xml:space="preserve">Prior to the introduction of ICI, the five-year OS rate for patients with metastatic NSCLC was approximately 5%. Current standard of care front-line treatment for patients with metastatic NSCLC and no targetable mutations consists of ICI therapy alone or in combination platinum-based chemotherapy with ICI with or without anti-angiogenic therapy; however, response rates are at between 48% to 58% based on histologic subtype. Even if achieved, responses are generally short-lived, and durable responses are relatively uncommon. Standard treatment after progression on ICI-based treatment typically entails single-agent chemotherapies, which have modest response rates (approximately 16%), and are typically not durable (median progression free survival, 2.9 months). An unmet need thus continues to exist for patients with metastatic NSCLC without actionable mutations whose disease is relapsed or refractory to ICI-based treatments. Similarly, in the case of patients with targetable mutations, the unmet need is for effective and safe therapy after the mutation targeted agents are no longer effective. </w:t>
      </w:r>
    </w:p>
    <w:p>
      <w:pPr>
        <w:pStyle w:val="TextBody"/>
        <w:bidi w:val="0"/>
        <w:spacing w:before="360" w:after="0"/>
        <w:jc w:val="left"/>
        <w:rPr>
          <w:rFonts w:ascii="Times New Roman" w:hAnsi="Times New Roman"/>
          <w:b/>
          <w:i/>
          <w:sz w:val="20"/>
        </w:rPr>
      </w:pPr>
      <w:r>
        <w:rPr>
          <w:rFonts w:ascii="Times New Roman" w:hAnsi="Times New Roman"/>
          <w:b/>
          <w:i/>
          <w:sz w:val="20"/>
        </w:rPr>
        <w:t xml:space="preserve">Clinical Trials with amsoki-cel </w:t>
      </w:r>
    </w:p>
    <w:p>
      <w:pPr>
        <w:pStyle w:val="TextBody"/>
        <w:bidi w:val="0"/>
        <w:spacing w:before="120" w:after="0"/>
        <w:jc w:val="left"/>
        <w:rPr>
          <w:rFonts w:ascii="Times New Roman" w:hAnsi="Times New Roman"/>
          <w:sz w:val="20"/>
        </w:rPr>
      </w:pPr>
      <w:r>
        <w:rPr>
          <w:rFonts w:ascii="Times New Roman" w:hAnsi="Times New Roman"/>
          <w:sz w:val="20"/>
        </w:rPr>
        <w:t xml:space="preserve">We are conducting Agni-01, an ongoing, multicenter Phase 1/2 clinical study evaluating cryopreserved amsoki-cel in patients with advanced solid tumors, including melanoma and NSCLC. In melanoma, dose optimization has established our recommended Phase 2 dose with encouraging antitumor activity observed in patients, and Phase 2 enrollment is ongoing to support a potential registrational path. In NSCLC, dose escalation through dose level three, or DL3, has been completed, with continued regimen optimization underway to inform a Phase 2 study. Collectively, our results to date demonstrate clinical activity supporting continued advancement of amsoki-cel in melanoma and NSCLC.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Clinical antitumor activity </w:t>
      </w:r>
    </w:p>
    <w:p>
      <w:pPr>
        <w:pStyle w:val="TextBody"/>
        <w:bidi w:val="0"/>
        <w:spacing w:before="120" w:after="0"/>
        <w:jc w:val="left"/>
        <w:rPr>
          <w:rFonts w:ascii="Times New Roman" w:hAnsi="Times New Roman"/>
          <w:i/>
          <w:sz w:val="20"/>
        </w:rPr>
      </w:pPr>
      <w:r>
        <w:rPr>
          <w:rFonts w:ascii="Times New Roman" w:hAnsi="Times New Roman"/>
          <w:i/>
          <w:sz w:val="20"/>
        </w:rPr>
        <w:t xml:space="preserve">Melanoma </w:t>
      </w:r>
    </w:p>
    <w:p>
      <w:pPr>
        <w:pStyle w:val="TextBody"/>
        <w:bidi w:val="0"/>
        <w:spacing w:before="120" w:after="0"/>
        <w:jc w:val="left"/>
        <w:rPr>
          <w:rFonts w:ascii="Times New Roman" w:hAnsi="Times New Roman"/>
          <w:sz w:val="20"/>
        </w:rPr>
      </w:pPr>
      <w:r>
        <w:rPr>
          <w:rFonts w:ascii="Times New Roman" w:hAnsi="Times New Roman"/>
          <w:sz w:val="20"/>
        </w:rPr>
        <w:t xml:space="preserve">Amsoki-cel was first tested in the clinic in a first-in-human Phase 1 trial initially with fresh non-cryopreserved (n=8) and then cryopreserved (n=9) amsoki-cel product at The University of Texas M.D. Anderson Cancer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Center. This study treated 17 patients with advanced melanoma who had relapsed or who were refractory to ICI therapy. After lymphodepletion, patients received a single intravenous infusion of amsoki-cel followed by oral treatment(s) with ACZ to drive the expression of mbIL15 using our cytoDRiVE technology. The Phase 1 trial was designed to optimize the cell dose cap of amsoki-cel as well as the dosing regimen of ACZ. The primary and secondary endpoints for this trial were safety and tolerability of amsoki-cel and investigator-assessed preliminary efficacy, respectively, and both endpoints were met. Despite the exploratory nature of this trial, an ORR of 40%, including two CRs, was observed in the first ten evaluable patients, providing strong evidence of the antitumor potential of amsoki-cel. The safety profile indicated no DLTs or Grade 4 nonhematologic treatment related adverse events and three Grade 3 nonhematologic treatment-emergent adverse events in two patients (abdominal pain, ALT elevation, syncope) and no substantive difference between fresh and cryopreserved products. </w:t>
      </w:r>
    </w:p>
    <w:p>
      <w:pPr>
        <w:pStyle w:val="TextBody"/>
        <w:bidi w:val="0"/>
        <w:spacing w:before="240" w:after="0"/>
        <w:jc w:val="left"/>
        <w:rPr>
          <w:rFonts w:ascii="Times New Roman" w:hAnsi="Times New Roman"/>
          <w:sz w:val="20"/>
        </w:rPr>
      </w:pPr>
      <w:r>
        <w:rPr>
          <w:rFonts w:ascii="Times New Roman" w:hAnsi="Times New Roman"/>
          <w:sz w:val="20"/>
        </w:rPr>
        <w:t xml:space="preserve">We then initiated Agni-01, a multicenter, company-sponsored Phase 1/2 trial of cryopreserved amsoki-cel in patients with treatment relapsed or refractory advanced melanoma. We identified three parameters to further optimize in the Phase 1 portion of this trial: the maximal number of amsoki-cel cells to be infused; the daily and cumulative dose of ACZ; and the dosing schedule for ACZ. As shown in Figure 5 below, in the DL1 cohort, which consisted of three patients, amsoki-cel dose was capped at 30 × 109 cells and ACZ 250 mg daily for up to 14 days. In DL2, which consisted of two patients, amsoki-cel dose was capped at 100 × 109 cells and ACZ 250 mg daily for up to 14 days. DL3, which consisted of 15 patients across the Phase 1 and Phase 2 arms, targeted amsoki-cel dose cap of 100 × 109 cells and ACZ 500 mg daily for two 7-day periods (Week 1 and Week 3), separated by a 7-day break with no ACZ. Patients in DL3 received 7 days of ACZ at 6-week intervals starting approximately at week 5-6. In addition, for patients in DL1, DL2 and DL3, protocol guided treatment consisted of additional 7-day periods of ACZ at 6 week intervals starting approximately weeks 5 to 6. DL3 was found to lead to maximal TIL expansion in patients while minimizing toxicities and was chosen as the recommended Phase 2 dose, or RP2D. </w:t>
      </w:r>
    </w:p>
    <w:p>
      <w:pPr>
        <w:pStyle w:val="TextBody"/>
        <w:bidi w:val="0"/>
        <w:spacing w:before="240" w:after="0"/>
        <w:jc w:val="left"/>
        <w:rPr>
          <w:rFonts w:ascii="Times New Roman" w:hAnsi="Times New Roman"/>
          <w:b/>
          <w:sz w:val="20"/>
        </w:rPr>
      </w:pPr>
      <w:r>
        <w:rPr>
          <w:rFonts w:ascii="Times New Roman" w:hAnsi="Times New Roman"/>
          <w:b/>
          <w:sz w:val="20"/>
        </w:rPr>
        <w:t xml:space="preserve">Figure 5. Design of the Agni-01 Phase 1/2 trial in melanoma. </w:t>
      </w:r>
    </w:p>
    <w:p>
      <w:pPr>
        <w:pStyle w:val="TextBody"/>
        <w:bidi w:val="0"/>
        <w:spacing w:before="0" w:after="0"/>
        <w:jc w:val="left"/>
        <w:rPr/>
      </w:pPr>
      <w:r>
        <w:rPr/>
        <w:t> </w:t>
      </w:r>
    </w:p>
    <w:p>
      <w:pPr>
        <w:pStyle w:val="TextBody"/>
        <w:bidi w:val="0"/>
        <w:spacing w:before="0" w:after="0"/>
        <w:jc w:val="center"/>
        <w:rPr/>
      </w:pPr>
      <w:r>
        <w:rPr/>
        <w:drawing>
          <wp:inline distT="0" distB="0" distL="0" distR="0">
            <wp:extent cx="5443220" cy="362648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443220" cy="362648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Ten of the fifteen patients treated with DL3 / RP2D dosing achieved either a complete (n=2) or partial response (n=8), resulting in an ORR of 67%. We believe that the demonstrated frequency of antitumor responses observed to date with amsoki-cel is attributable to both our mbIL15 cytoDRiVE engineering and our differentiated manufacturing processes. </w:t>
      </w:r>
    </w:p>
    <w:p>
      <w:pPr>
        <w:pStyle w:val="TextBody"/>
        <w:bidi w:val="0"/>
        <w:spacing w:before="240" w:after="0"/>
        <w:jc w:val="left"/>
        <w:rPr>
          <w:rFonts w:ascii="Times New Roman" w:hAnsi="Times New Roman"/>
          <w:sz w:val="20"/>
        </w:rPr>
      </w:pPr>
      <w:r>
        <w:rPr>
          <w:rFonts w:ascii="Times New Roman" w:hAnsi="Times New Roman"/>
          <w:sz w:val="20"/>
        </w:rPr>
        <w:t xml:space="preserve">Amsoki-cel treatment was associated with significant antitumor activity across these 15 patients with ongoing responses in eight patients as of January 22, 2026 (~18 weeks median follow-up). Of note, robust antitumor activity was observed using amsoki-cel created from surgical resections as well as from core needle biopsies independent of the anatomic site of tumor procurement or doses manufactured and infused. We believe that the ability to use core needle biopsies for patients as the source of their TIL provides the opportunity to significantly shorten the time from the decision of the clinician to treat with amsoki-cel to the ability to deliver the manufactured product to patients. We believe core needle biopsies will further enhance adoption and improve patient outcomes with increased operational efficiency relative to approaches that typically rely on surgical tumor resection. Our optimized regimen enables outpatient administration of low dose lymphodepletion. All the melanoma patients treated with amsoki-cel at the RP2D had four-day low dose lymphodepletion regimen consisting of cyclophosphamide 750 mg/m2/day for three days and Fludarabine 30 mg/m2/day for four days. On average, this lymphodepletion regimen represents an approximate 50% reduction in cyclophosphamide dose. </w:t>
      </w:r>
    </w:p>
    <w:p>
      <w:pPr>
        <w:pStyle w:val="TextBody"/>
        <w:bidi w:val="0"/>
        <w:spacing w:before="360" w:after="0"/>
        <w:jc w:val="left"/>
        <w:rPr>
          <w:rFonts w:ascii="Times New Roman" w:hAnsi="Times New Roman"/>
          <w:i/>
          <w:sz w:val="20"/>
        </w:rPr>
      </w:pPr>
      <w:r>
        <w:rPr>
          <w:rFonts w:ascii="Times New Roman" w:hAnsi="Times New Roman"/>
          <w:i/>
          <w:sz w:val="20"/>
        </w:rPr>
        <w:t xml:space="preserve">NSCLC </w:t>
      </w:r>
    </w:p>
    <w:p>
      <w:pPr>
        <w:pStyle w:val="TextBody"/>
        <w:bidi w:val="0"/>
        <w:spacing w:before="120" w:after="0"/>
        <w:jc w:val="left"/>
        <w:rPr>
          <w:rFonts w:ascii="Times New Roman" w:hAnsi="Times New Roman"/>
          <w:sz w:val="20"/>
        </w:rPr>
      </w:pPr>
      <w:r>
        <w:rPr>
          <w:rFonts w:ascii="Times New Roman" w:hAnsi="Times New Roman"/>
          <w:sz w:val="20"/>
        </w:rPr>
        <w:t xml:space="preserve">The Agni-01 trial is currently evaluating the potential of various dosing regimens of amsoki-cel in both melanoma and NSCLC as summarized in Figure 6 below. In our NSCLC cohort, one patient received amsoki-cel at DL1, one patient at DL2 and four patients at DL3. The patients treated at DL3 could not tolerate similar ACZ dosing intensity as in melanoma DL3 patients due to inflammatory pulmonary toxicity or pneumonitis leading to ACZ withdrawal. We addressed this issue by introducing an intermediate cell dose cap of 60 billion cells. At this dose cap, the tolerability issues due to ACZ were alleviated. In addition, we have augmented the extended ACZ redosing regimen and dosed patients with ACZ for seven days every other week after week three. By contrast, in the melanoma DL3 cohort, ACZ was administered every six weeks beyond week three. </w:t>
      </w:r>
    </w:p>
    <w:p>
      <w:pPr>
        <w:pStyle w:val="TextBody"/>
        <w:bidi w:val="0"/>
        <w:spacing w:before="360" w:after="0"/>
        <w:jc w:val="left"/>
        <w:rPr>
          <w:rFonts w:ascii="Times New Roman" w:hAnsi="Times New Roman"/>
          <w:b/>
          <w:sz w:val="20"/>
        </w:rPr>
      </w:pPr>
      <w:r>
        <w:rPr>
          <w:rFonts w:ascii="Times New Roman" w:hAnsi="Times New Roman"/>
          <w:b/>
          <w:sz w:val="20"/>
        </w:rPr>
        <w:t xml:space="preserve">Figure 6. Melanoma and NSCLC patient dosing in the Agni-01 trial. </w:t>
      </w:r>
    </w:p>
    <w:p>
      <w:pPr>
        <w:pStyle w:val="TextBody"/>
        <w:bidi w:val="0"/>
        <w:spacing w:before="0" w:after="0"/>
        <w:jc w:val="left"/>
        <w:rPr/>
      </w:pPr>
      <w:r>
        <w:rPr/>
        <w:t> </w:t>
      </w:r>
    </w:p>
    <w:p>
      <w:pPr>
        <w:pStyle w:val="TextBody"/>
        <w:bidi w:val="0"/>
        <w:spacing w:before="0" w:after="0"/>
        <w:jc w:val="center"/>
        <w:rPr/>
      </w:pPr>
      <w:r>
        <w:rPr/>
        <w:drawing>
          <wp:inline distT="0" distB="0" distL="0" distR="0">
            <wp:extent cx="5374640" cy="337883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374640" cy="337883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have also modified the low-dose lymphodepletion regimen used with amsoki-cel in NSCLC to include a single dose of gemcitabine which enables a further 66% reduction in cyclophosphamide dose as compared to the current low dose lymphodepletion with the intent of improving tolerability. Optimization of dosing and treatment regimen are still under investigation in NSCLC. </w:t>
      </w:r>
    </w:p>
    <w:p>
      <w:pPr>
        <w:pStyle w:val="TextBody"/>
        <w:bidi w:val="0"/>
        <w:spacing w:before="240" w:after="0"/>
        <w:jc w:val="left"/>
        <w:rPr>
          <w:rFonts w:ascii="Times New Roman" w:hAnsi="Times New Roman"/>
          <w:sz w:val="20"/>
        </w:rPr>
      </w:pPr>
      <w:r>
        <w:rPr>
          <w:rFonts w:ascii="Times New Roman" w:hAnsi="Times New Roman"/>
          <w:sz w:val="20"/>
        </w:rPr>
        <w:t xml:space="preserve">Of the six efficacy evaluable patients across both DL3 regimens shown in Figure 7 below, there were two cases where rapid tumor shrinkage was observed by week six. In patient 43L (DL3 intermediate cell dose cap), levels of circulating tumor DNA, or ctDNA, were undetectable on day 14 and day 42. Three patients who received an intermediate cell dose of amsoki-cel did not require prolonged corticosteroid dosing for inflammatory adverse events, they demonstrated lymphocyte expansion in peripheral blood and were able to receive augmented longitudinal ACZ redosing. </w:t>
      </w:r>
    </w:p>
    <w:p>
      <w:pPr>
        <w:pStyle w:val="TextBody"/>
        <w:bidi w:val="0"/>
        <w:spacing w:before="360" w:after="0"/>
        <w:jc w:val="left"/>
        <w:rPr>
          <w:rFonts w:ascii="Times New Roman" w:hAnsi="Times New Roman"/>
          <w:b/>
          <w:sz w:val="20"/>
        </w:rPr>
      </w:pPr>
      <w:r>
        <w:rPr>
          <w:rFonts w:ascii="Times New Roman" w:hAnsi="Times New Roman"/>
          <w:b/>
          <w:sz w:val="20"/>
        </w:rPr>
        <w:t xml:space="preserve">Figure 7. Initial antitumor activity in NSCLC patients treated with amsoki-cel.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5800" cy="307848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765800" cy="3078480"/>
                    </a:xfrm>
                    <a:prstGeom prst="rect">
                      <a:avLst/>
                    </a:prstGeom>
                  </pic:spPr>
                </pic:pic>
              </a:graphicData>
            </a:graphic>
          </wp:inline>
        </w:drawing>
      </w:r>
      <w:r>
        <w:rPr/>
        <w:t xml:space="preserve">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Safety and tolerability </w:t>
      </w:r>
    </w:p>
    <w:p>
      <w:pPr>
        <w:pStyle w:val="TextBody"/>
        <w:bidi w:val="0"/>
        <w:spacing w:before="120" w:after="0"/>
        <w:jc w:val="left"/>
        <w:rPr>
          <w:rFonts w:ascii="Times New Roman" w:hAnsi="Times New Roman"/>
          <w:i/>
          <w:sz w:val="20"/>
        </w:rPr>
      </w:pPr>
      <w:r>
        <w:rPr>
          <w:rFonts w:ascii="Times New Roman" w:hAnsi="Times New Roman"/>
          <w:i/>
          <w:sz w:val="20"/>
        </w:rPr>
        <w:t xml:space="preserve">Melanoma </w:t>
      </w:r>
    </w:p>
    <w:p>
      <w:pPr>
        <w:pStyle w:val="TextBody"/>
        <w:bidi w:val="0"/>
        <w:spacing w:before="120" w:after="0"/>
        <w:jc w:val="left"/>
        <w:rPr>
          <w:rFonts w:ascii="Times New Roman" w:hAnsi="Times New Roman"/>
          <w:sz w:val="20"/>
        </w:rPr>
      </w:pPr>
      <w:r>
        <w:rPr>
          <w:rFonts w:ascii="Times New Roman" w:hAnsi="Times New Roman"/>
          <w:sz w:val="20"/>
        </w:rPr>
        <w:t xml:space="preserve">In all trials observed to date, amsoki-cel was generally well-tolerated with no TRM, DLTs or discontinuation due to AEs. In addition, no cases of immune effector-cell associated neurotoxicity syndromes, or ICANS, or capillary leak syndromes have been observed. The most frequently reported events are consistent with the reversible myelosuppression expected with lymphodepletion or electrolyte abnormalities secondary to the known diuretic effect of ACZ, all of which were managed with standard of care supportive measures. Adverse events considered specifically associated with amsoki-cel were predominantly low-grade and responsive to protocol-guided ACZ interruption, dose adjustment, or with supportive treatment. </w:t>
      </w:r>
    </w:p>
    <w:p>
      <w:pPr>
        <w:pStyle w:val="TextBody"/>
        <w:bidi w:val="0"/>
        <w:spacing w:before="360" w:after="0"/>
        <w:jc w:val="left"/>
        <w:rPr>
          <w:rFonts w:ascii="Times New Roman" w:hAnsi="Times New Roman"/>
          <w:i/>
          <w:sz w:val="20"/>
        </w:rPr>
      </w:pPr>
      <w:r>
        <w:rPr>
          <w:rFonts w:ascii="Times New Roman" w:hAnsi="Times New Roman"/>
          <w:i/>
          <w:sz w:val="20"/>
        </w:rPr>
        <w:t xml:space="preserve">NSCLC </w:t>
      </w:r>
    </w:p>
    <w:p>
      <w:pPr>
        <w:pStyle w:val="TextBody"/>
        <w:bidi w:val="0"/>
        <w:spacing w:before="120" w:after="0"/>
        <w:jc w:val="left"/>
        <w:rPr>
          <w:rFonts w:ascii="Times New Roman" w:hAnsi="Times New Roman"/>
          <w:sz w:val="20"/>
        </w:rPr>
      </w:pPr>
      <w:r>
        <w:rPr>
          <w:rFonts w:ascii="Times New Roman" w:hAnsi="Times New Roman"/>
          <w:sz w:val="20"/>
        </w:rPr>
        <w:t xml:space="preserve">In ten Phase 1 NSCLC patients infused with amsoki-cel, there was no TRM. Expected differences from melanoma were consistent with disease pathophysiology and co-morbidities associated with lung cancer. Consistent with the underlying pulmonary comorbidities, the primary distinction was Grade ≥3 pneumonitis, occurring in three patients (30%), with all cases resolving prior to discharge. One subject in DL3 experienced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Grade 3 ICANS, which resolved to baseline following protocol directed management. Grade 3 cytokine release syndrome, or CRS, was observed in four patients (40%). Additional frequent or severe adverse events were aligned with reversible lymphodepletion-related myelosuppression or laboratory changes attributable to the known diuretic effects of ACZ. </w:t>
      </w:r>
    </w:p>
    <w:p>
      <w:pPr>
        <w:pStyle w:val="TextBody"/>
        <w:bidi w:val="0"/>
        <w:spacing w:before="360" w:after="0"/>
        <w:jc w:val="left"/>
        <w:rPr>
          <w:rFonts w:ascii="Times New Roman" w:hAnsi="Times New Roman"/>
          <w:i/>
          <w:sz w:val="20"/>
        </w:rPr>
      </w:pPr>
      <w:r>
        <w:rPr>
          <w:rFonts w:ascii="Times New Roman" w:hAnsi="Times New Roman"/>
          <w:i/>
          <w:sz w:val="20"/>
        </w:rPr>
        <w:t xml:space="preserve">Established AE Profile of Non-engineered TIL </w:t>
      </w:r>
    </w:p>
    <w:p>
      <w:pPr>
        <w:pStyle w:val="TextBody"/>
        <w:bidi w:val="0"/>
        <w:spacing w:before="120" w:after="0"/>
        <w:jc w:val="left"/>
        <w:rPr>
          <w:rFonts w:ascii="Times New Roman" w:hAnsi="Times New Roman"/>
          <w:i/>
          <w:sz w:val="20"/>
        </w:rPr>
      </w:pPr>
      <w:r>
        <w:rPr>
          <w:rFonts w:ascii="Times New Roman" w:hAnsi="Times New Roman"/>
          <w:i/>
          <w:sz w:val="20"/>
        </w:rPr>
        <w:t xml:space="preserve">Melanoma </w:t>
      </w:r>
    </w:p>
    <w:p>
      <w:pPr>
        <w:pStyle w:val="TextBody"/>
        <w:bidi w:val="0"/>
        <w:spacing w:before="120" w:after="0"/>
        <w:jc w:val="left"/>
        <w:rPr>
          <w:rFonts w:ascii="Times New Roman" w:hAnsi="Times New Roman"/>
          <w:sz w:val="20"/>
        </w:rPr>
      </w:pPr>
      <w:r>
        <w:rPr>
          <w:rFonts w:ascii="Times New Roman" w:hAnsi="Times New Roman"/>
          <w:sz w:val="20"/>
        </w:rPr>
        <w:t xml:space="preserve">The Amtagvi label carries a boxed warning for multiple serious risks, including a 7.5% rate of TRM, prolonged severe cytopenia, internal organ hemorrhage, and severe infections. Amtagvi requires the use of high dose IL2, which has been associated with risks including capillary leak syndrome and neurologic toxicities. Capillary leak syndrome occurred in 13.5% and encephalopathy in 17.3% of Amtagvi treated patients. During Amtagvi’s registrational clinical trial, grade ≥ 3 febrile neutropenia was seen in 46.8% of patients and 23.6% of patients were transferred to the intensive care unit, or ICU, post-infusion. Many patients in this trial experienced an extended hospital length-of-stay. The boxed warning restricts use of Amtagvi to use only in the inpatient setting with the availability of cardiopulmonary or intensive care specialists. These fatal treatment-related adverse effects are potentially attributed to the multicomponent regimen including standard-dose lymphodepletion and IL2. </w:t>
      </w:r>
    </w:p>
    <w:p>
      <w:pPr>
        <w:pStyle w:val="TextBody"/>
        <w:bidi w:val="0"/>
        <w:spacing w:before="360" w:after="0"/>
        <w:jc w:val="left"/>
        <w:rPr>
          <w:rFonts w:ascii="Times New Roman" w:hAnsi="Times New Roman"/>
          <w:i/>
          <w:sz w:val="20"/>
        </w:rPr>
      </w:pPr>
      <w:r>
        <w:rPr>
          <w:rFonts w:ascii="Times New Roman" w:hAnsi="Times New Roman"/>
          <w:i/>
          <w:sz w:val="20"/>
        </w:rPr>
        <w:t xml:space="preserve">NSCLC </w:t>
      </w:r>
    </w:p>
    <w:p>
      <w:pPr>
        <w:pStyle w:val="TextBody"/>
        <w:bidi w:val="0"/>
        <w:spacing w:before="120" w:after="0"/>
        <w:jc w:val="left"/>
        <w:rPr>
          <w:rFonts w:ascii="Times New Roman" w:hAnsi="Times New Roman"/>
          <w:sz w:val="20"/>
        </w:rPr>
      </w:pPr>
      <w:r>
        <w:rPr>
          <w:rFonts w:ascii="Times New Roman" w:hAnsi="Times New Roman"/>
          <w:sz w:val="20"/>
        </w:rPr>
        <w:t xml:space="preserve">The largest dataset on non-engineered TIL safety in NSCLC comes from the FDA’s review of 59 patients treated with the lifileucel regimen (as part of the Amtagvi BLA assessment). Grade ≥4 respiratory disorders occurred more frequently in NSCLC than in melanoma cohorts (15.3% vs. 6.9%). In addition, about 12% of NSCLC patients died from respiratory complications within 30 days of starting treatment. Two additional patients died of hemophagocytic lymphohistiocytosis. Other notable adverse events included febrile neutropenia (28.8%) and dyspnea (52.5%).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Pharmacodynamic evidence for the role of mbIL15 in amsoki-cel treatment </w:t>
      </w:r>
    </w:p>
    <w:p>
      <w:pPr>
        <w:pStyle w:val="TextBody"/>
        <w:bidi w:val="0"/>
        <w:spacing w:before="120" w:after="0"/>
        <w:jc w:val="left"/>
        <w:rPr>
          <w:rFonts w:ascii="Times New Roman" w:hAnsi="Times New Roman"/>
          <w:sz w:val="20"/>
        </w:rPr>
      </w:pPr>
      <w:r>
        <w:rPr>
          <w:rFonts w:ascii="Times New Roman" w:hAnsi="Times New Roman"/>
          <w:sz w:val="20"/>
        </w:rPr>
        <w:t xml:space="preserve">The pharmacodynamic features of amsoki-cel, including the nature of mbIL15 that limits shedding to avoid systemic exposure, and the regulatable nature of mbIL15 due to the optimized ACZ dose and schedule drives the early expansion and persistence of amsoki-cel in patients after infusion, and may potentially explain the favorable AE profile. </w:t>
      </w:r>
    </w:p>
    <w:p>
      <w:pPr>
        <w:pStyle w:val="TextBody"/>
        <w:bidi w:val="0"/>
        <w:spacing w:before="240" w:after="0"/>
        <w:jc w:val="left"/>
        <w:rPr>
          <w:rFonts w:ascii="Times New Roman" w:hAnsi="Times New Roman"/>
          <w:sz w:val="20"/>
        </w:rPr>
      </w:pPr>
      <w:r>
        <w:rPr>
          <w:rFonts w:ascii="Times New Roman" w:hAnsi="Times New Roman"/>
          <w:sz w:val="20"/>
        </w:rPr>
        <w:t xml:space="preserve">Amsoki-cel is designed to express mbIL15 using our cytoDRiVE drug-regulated expression technology, which we believe is a key aspect of our safety and tolerability profile. Levels of soluble IL15 were elevated at the time of amsoki-cel administration as expected due to lymphodepletion and persisted for the subsequent several days. As shown in the left panel in Figure 8, each line in the graphic is representative of a patient with melanoma, the presence of elevated levels of IL15 in plasma at the time of the first administration of amsoki-cel and ACZ is consistent with its induction as a response to lymphodepletion. There was no correlation between activation of mbIL15 expression with ACZ and levels of IL15 in plasma. One of the benefits of lymphodepletion before administration of TIL cell therapy is the reduction in immune suppressor cells which have the potential to counteract the TIL antitumor activity. Another factor that contributes to the importance of lymphodepletion to the success of immune cell therapies is a surge in cytokines, in particular IL15 that occurs in response to immune activation caused by lymphodepletion-related cell death. There was no evidence that mbIL15 expression contributed to IL15 in plasma.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Figure 8. In patients with melanoma, treatment with amsoki-cel and ACZ does not lead to an increase in IL15 levels in plasma (left panel), and amsoki-cel at RP2D persisted in peripheral blood for 42 days (right panel). </w:t>
      </w:r>
    </w:p>
    <w:p>
      <w:pPr>
        <w:pStyle w:val="TextBody"/>
        <w:bidi w:val="0"/>
        <w:spacing w:before="0" w:after="0"/>
        <w:jc w:val="left"/>
        <w:rPr/>
      </w:pPr>
      <w:r>
        <w:rPr/>
        <w:t> </w:t>
      </w:r>
    </w:p>
    <w:tbl>
      <w:tblPr>
        <w:tblW w:w="9066" w:type="dxa"/>
        <w:jc w:val="left"/>
        <w:tblInd w:w="0" w:type="dxa"/>
        <w:tblLayout w:type="fixed"/>
        <w:tblCellMar>
          <w:top w:w="0" w:type="dxa"/>
          <w:left w:w="0" w:type="dxa"/>
          <w:bottom w:w="0" w:type="dxa"/>
          <w:right w:w="0" w:type="dxa"/>
        </w:tblCellMar>
      </w:tblPr>
      <w:tblGrid>
        <w:gridCol w:w="5148"/>
        <w:gridCol w:w="60"/>
        <w:gridCol w:w="3858"/>
      </w:tblGrid>
      <w:tr>
        <w:trPr/>
        <w:tc>
          <w:tcPr>
            <w:tcW w:w="51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58" w:type="dxa"/>
            <w:tcBorders/>
            <w:vAlign w:val="center"/>
          </w:tcPr>
          <w:p>
            <w:pPr>
              <w:pStyle w:val="TableContents"/>
              <w:bidi w:val="0"/>
              <w:spacing w:before="0" w:after="283"/>
              <w:jc w:val="left"/>
              <w:rPr>
                <w:sz w:val="4"/>
                <w:szCs w:val="4"/>
              </w:rPr>
            </w:pPr>
            <w:r>
              <w:rPr>
                <w:sz w:val="4"/>
                <w:szCs w:val="4"/>
              </w:rPr>
            </w:r>
          </w:p>
        </w:tc>
      </w:tr>
      <w:tr>
        <w:trPr/>
        <w:tc>
          <w:tcPr>
            <w:tcW w:w="5148" w:type="dxa"/>
            <w:tcBorders/>
            <w:vAlign w:val="center"/>
          </w:tcPr>
          <w:p>
            <w:pPr>
              <w:pStyle w:val="TableContents"/>
              <w:bidi w:val="0"/>
              <w:spacing w:before="0" w:after="283"/>
              <w:jc w:val="left"/>
              <w:rPr/>
            </w:pPr>
            <w:r>
              <w:rPr/>
              <w:drawing>
                <wp:inline distT="0" distB="0" distL="0" distR="0">
                  <wp:extent cx="3221355" cy="180403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221355" cy="180403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58" w:type="dxa"/>
            <w:tcBorders/>
            <w:vAlign w:val="center"/>
          </w:tcPr>
          <w:p>
            <w:pPr>
              <w:pStyle w:val="TableContents"/>
              <w:bidi w:val="0"/>
              <w:spacing w:before="0" w:after="283"/>
              <w:jc w:val="left"/>
              <w:rPr/>
            </w:pPr>
            <w:r>
              <w:rPr/>
              <w:drawing>
                <wp:inline distT="0" distB="0" distL="0" distR="0">
                  <wp:extent cx="2402205" cy="179133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402205" cy="1791335"/>
                          </a:xfrm>
                          <a:prstGeom prst="rect">
                            <a:avLst/>
                          </a:prstGeom>
                        </pic:spPr>
                      </pic:pic>
                    </a:graphicData>
                  </a:graphic>
                </wp:inline>
              </w:drawing>
            </w:r>
            <w:r>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shown in the right panel in Figure 8, we observed that the persistence of amsoki-cel in peripheral blood was higher using the RP2D dosing regimen in which the two initial seven day periods of ACZ were separated by a week. This dosing regimen enabled a higher overall dose of ACZ to be delivered, which was better tolerated than the continuous two-week dosing regimens in DL1 and DL2. These results demonstrate the regulated expression of mbIL15 using our cytoDRiVE technology without causing high systemic plasma IL15 levels after amsoki-cel infusion and ACZ administration. Consistent with the longer persistence of amsoki-cel, we observed higher antitumor activity in patients with melanoma who received the RP2D dose than DL1 or DL2. </w:t>
      </w:r>
    </w:p>
    <w:p>
      <w:pPr>
        <w:pStyle w:val="TextBody"/>
        <w:bidi w:val="0"/>
        <w:spacing w:before="240" w:after="0"/>
        <w:jc w:val="left"/>
        <w:rPr>
          <w:rFonts w:ascii="Times New Roman" w:hAnsi="Times New Roman"/>
          <w:sz w:val="20"/>
        </w:rPr>
      </w:pPr>
      <w:r>
        <w:rPr>
          <w:rFonts w:ascii="Times New Roman" w:hAnsi="Times New Roman"/>
          <w:sz w:val="20"/>
        </w:rPr>
        <w:t xml:space="preserve">As shown in Figure 9 below, patients with melanoma dosed with amsoki-cel and then treated with two seven-day periods of ACZ separated by a week of no treatment did not experience elevations in serum levels of IL6, a cytokine that serves as a biomarker of classical CRS caused by other immunotherapies. Therefore, the treatment of CRS occurring with amsoki-cel is different than those occurring with CAR-T therapies and with T-cell engagers, and does not warrant the use of tocilizumab. Treatment may involve transient interruption in ACZ dosing and/or short course of corticosteroids as guided by the protocol. </w:t>
      </w:r>
    </w:p>
    <w:p>
      <w:pPr>
        <w:pStyle w:val="TextBody"/>
        <w:bidi w:val="0"/>
        <w:spacing w:before="240" w:after="0"/>
        <w:jc w:val="left"/>
        <w:rPr>
          <w:rFonts w:ascii="Times New Roman" w:hAnsi="Times New Roman"/>
          <w:b/>
          <w:sz w:val="20"/>
        </w:rPr>
      </w:pPr>
      <w:r>
        <w:rPr>
          <w:rFonts w:ascii="Times New Roman" w:hAnsi="Times New Roman"/>
          <w:b/>
          <w:sz w:val="20"/>
        </w:rPr>
        <w:t xml:space="preserve">Figure 9. In patients with melanoma, treatment with amsoki-cel and ACZ does not lead to an increase in IL6 levels in plasma. </w:t>
      </w:r>
    </w:p>
    <w:p>
      <w:pPr>
        <w:pStyle w:val="TextBody"/>
        <w:bidi w:val="0"/>
        <w:spacing w:before="0" w:after="0"/>
        <w:jc w:val="left"/>
        <w:rPr/>
      </w:pPr>
      <w:r>
        <w:rPr/>
        <w:t> </w:t>
      </w:r>
    </w:p>
    <w:p>
      <w:pPr>
        <w:pStyle w:val="TextBody"/>
        <w:bidi w:val="0"/>
        <w:spacing w:before="0" w:after="0"/>
        <w:jc w:val="center"/>
        <w:rPr/>
      </w:pPr>
      <w:r>
        <w:rPr/>
        <w:drawing>
          <wp:inline distT="0" distB="0" distL="0" distR="0">
            <wp:extent cx="3778250" cy="170434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3778250" cy="170434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Clinical Development Strategy for amsoki-cel </w:t>
      </w:r>
    </w:p>
    <w:p>
      <w:pPr>
        <w:pStyle w:val="TextBody"/>
        <w:bidi w:val="0"/>
        <w:spacing w:before="120" w:after="0"/>
        <w:jc w:val="left"/>
        <w:rPr>
          <w:rFonts w:ascii="Times New Roman" w:hAnsi="Times New Roman"/>
          <w:i/>
          <w:sz w:val="20"/>
        </w:rPr>
      </w:pPr>
      <w:r>
        <w:rPr>
          <w:rFonts w:ascii="Times New Roman" w:hAnsi="Times New Roman"/>
          <w:i/>
          <w:sz w:val="20"/>
        </w:rPr>
        <w:t xml:space="preserve">Melanoma </w:t>
      </w:r>
    </w:p>
    <w:p>
      <w:pPr>
        <w:pStyle w:val="TextBody"/>
        <w:bidi w:val="0"/>
        <w:spacing w:before="120" w:after="0"/>
        <w:jc w:val="left"/>
        <w:rPr>
          <w:rFonts w:ascii="Times New Roman" w:hAnsi="Times New Roman"/>
          <w:sz w:val="20"/>
        </w:rPr>
      </w:pPr>
      <w:r>
        <w:rPr>
          <w:rFonts w:ascii="Times New Roman" w:hAnsi="Times New Roman"/>
          <w:sz w:val="20"/>
        </w:rPr>
        <w:t xml:space="preserve">We commenced enrollment in the registration-enabling cohort of our existing multicenter Agni-01 study for amsoki-cel in second-line advanced melanoma, with topline data expected by year-end 2027. </w:t>
      </w:r>
    </w:p>
    <w:p>
      <w:pPr>
        <w:pStyle w:val="TextBody"/>
        <w:bidi w:val="0"/>
        <w:spacing w:before="240" w:after="0"/>
        <w:jc w:val="left"/>
        <w:rPr>
          <w:rFonts w:ascii="Times New Roman" w:hAnsi="Times New Roman"/>
          <w:sz w:val="20"/>
        </w:rPr>
      </w:pPr>
      <w:r>
        <w:rPr>
          <w:rFonts w:ascii="Times New Roman" w:hAnsi="Times New Roman"/>
          <w:sz w:val="20"/>
        </w:rPr>
        <w:t xml:space="preserve">Based on our RMAT designation and Iovance’s precedent with Amtagvi, as well as the data we have generated in our ongoing Phase 2 trial, we believe that a convincing argument could be made for the FDA to set us on a path toward potential accelerated approval of amsoki-cel in advanced melanoma. A registration-enabling study is a clinical trial that is intended to obtain sufficient efficacy and safety data to support an NDA or BLA submission to obtain regulatory approval. Although registration-enabling clinical studies are often Phase 3 trials, the FDA has approved drugs based on Phase 2 registration-enabling clinical studies through its accelerated approval program, provided the product is eligible and meets the conditions of accelerated approval. </w:t>
      </w:r>
    </w:p>
    <w:p>
      <w:pPr>
        <w:pStyle w:val="TextBody"/>
        <w:bidi w:val="0"/>
        <w:spacing w:before="240" w:after="0"/>
        <w:jc w:val="left"/>
        <w:rPr>
          <w:rFonts w:ascii="Times New Roman" w:hAnsi="Times New Roman"/>
          <w:sz w:val="20"/>
        </w:rPr>
      </w:pPr>
      <w:r>
        <w:rPr>
          <w:rFonts w:ascii="Times New Roman" w:hAnsi="Times New Roman"/>
          <w:sz w:val="20"/>
        </w:rPr>
        <w:t xml:space="preserve">We plan to enroll approximately 100 patients in a registration-enabling cohort in the existing multicenter study in melanoma and expect data from this trial by year-end 2027. The registration-enabling cohort will be a single-arm open label study in patients with advanced melanoma progressing after immune checkpoint inhibitor-based therapy with blinded independent reviewer assessed ORR as the primary endpoint. Secondary endpoints include safety, duration of response (DOR), progression-free survival (PFS) and overall survival (OS). </w:t>
      </w:r>
    </w:p>
    <w:p>
      <w:pPr>
        <w:pStyle w:val="TextBody"/>
        <w:bidi w:val="0"/>
        <w:spacing w:before="240" w:after="0"/>
        <w:jc w:val="left"/>
        <w:rPr>
          <w:rFonts w:ascii="Times New Roman" w:hAnsi="Times New Roman"/>
          <w:sz w:val="20"/>
        </w:rPr>
      </w:pPr>
      <w:r>
        <w:rPr>
          <w:rFonts w:ascii="Times New Roman" w:hAnsi="Times New Roman"/>
          <w:sz w:val="20"/>
        </w:rPr>
        <w:t xml:space="preserve">Given the tolerability and antitumor activity observed to date in melanoma, we believe that there is potential for amsoki-cel to be used as a first-line treatment as well. We intend to evaluate this by enrolling a cohort of patients in this setting in our ongoing Phase 2 melanoma trial. </w:t>
      </w:r>
    </w:p>
    <w:p>
      <w:pPr>
        <w:pStyle w:val="TextBody"/>
        <w:bidi w:val="0"/>
        <w:spacing w:before="360" w:after="0"/>
        <w:jc w:val="left"/>
        <w:rPr>
          <w:rFonts w:ascii="Times New Roman" w:hAnsi="Times New Roman"/>
          <w:i/>
          <w:sz w:val="20"/>
        </w:rPr>
      </w:pPr>
      <w:r>
        <w:rPr>
          <w:rFonts w:ascii="Times New Roman" w:hAnsi="Times New Roman"/>
          <w:i/>
          <w:sz w:val="20"/>
        </w:rPr>
        <w:t xml:space="preserve">NSCLC </w:t>
      </w:r>
    </w:p>
    <w:p>
      <w:pPr>
        <w:pStyle w:val="TextBody"/>
        <w:bidi w:val="0"/>
        <w:spacing w:before="120" w:after="0"/>
        <w:jc w:val="left"/>
        <w:rPr>
          <w:rFonts w:ascii="Times New Roman" w:hAnsi="Times New Roman"/>
          <w:sz w:val="20"/>
        </w:rPr>
      </w:pPr>
      <w:r>
        <w:rPr>
          <w:rFonts w:ascii="Times New Roman" w:hAnsi="Times New Roman"/>
          <w:sz w:val="20"/>
        </w:rPr>
        <w:t xml:space="preserve">In NSCLC, we continue to enroll patients in our Phase 1 trial, and we expect additional clinical data to become available in the first half of 2027. Our current trial in NSCLC is focused on patients who have previously been treated with ICI. The primary endpoint is the incidence of dose limiting toxicities, and investigator-assessed ORR is a secondary endpoint.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the observed treatment burden of amsoki-cel compared to other TIL cell therapies may provide an opportunity to evaluate the potential of amsoki-cel earlier in the course of disease. </w:t>
      </w:r>
    </w:p>
    <w:p>
      <w:pPr>
        <w:pStyle w:val="TextBody"/>
        <w:bidi w:val="0"/>
        <w:spacing w:before="360" w:after="0"/>
        <w:jc w:val="left"/>
        <w:rPr>
          <w:rFonts w:ascii="Times New Roman" w:hAnsi="Times New Roman"/>
          <w:b/>
          <w:sz w:val="20"/>
        </w:rPr>
      </w:pPr>
      <w:r>
        <w:rPr>
          <w:rFonts w:ascii="Times New Roman" w:hAnsi="Times New Roman"/>
          <w:b/>
          <w:sz w:val="20"/>
        </w:rPr>
        <w:t xml:space="preserve">Market Opportunity </w:t>
      </w:r>
    </w:p>
    <w:p>
      <w:pPr>
        <w:pStyle w:val="TextBody"/>
        <w:bidi w:val="0"/>
        <w:spacing w:before="120" w:after="0"/>
        <w:jc w:val="left"/>
        <w:rPr>
          <w:rFonts w:ascii="Times New Roman" w:hAnsi="Times New Roman"/>
          <w:i/>
          <w:sz w:val="20"/>
        </w:rPr>
      </w:pPr>
      <w:r>
        <w:rPr>
          <w:rFonts w:ascii="Times New Roman" w:hAnsi="Times New Roman"/>
          <w:i/>
          <w:sz w:val="20"/>
        </w:rPr>
        <w:t xml:space="preserve">Melanoma </w:t>
      </w:r>
    </w:p>
    <w:p>
      <w:pPr>
        <w:pStyle w:val="TextBody"/>
        <w:bidi w:val="0"/>
        <w:spacing w:before="120" w:after="0"/>
        <w:jc w:val="left"/>
        <w:rPr>
          <w:rFonts w:ascii="Times New Roman" w:hAnsi="Times New Roman"/>
          <w:sz w:val="20"/>
        </w:rPr>
      </w:pPr>
      <w:r>
        <w:rPr>
          <w:rFonts w:ascii="Times New Roman" w:hAnsi="Times New Roman"/>
          <w:sz w:val="20"/>
        </w:rPr>
        <w:t xml:space="preserve">Advanced melanoma remains a significant driver of mortality despite substantial therapeutic advances. A large fraction of patients treated with frontline ICIs develop primary or acquired resistance to ICIs, resulting in a meaningful pool of patients requiring additional lines of treatment. </w:t>
      </w:r>
    </w:p>
    <w:p>
      <w:pPr>
        <w:pStyle w:val="TextBody"/>
        <w:bidi w:val="0"/>
        <w:spacing w:before="240" w:after="0"/>
        <w:jc w:val="left"/>
        <w:rPr>
          <w:rFonts w:ascii="Times New Roman" w:hAnsi="Times New Roman"/>
          <w:sz w:val="20"/>
        </w:rPr>
      </w:pPr>
      <w:r>
        <w:rPr>
          <w:rFonts w:ascii="Times New Roman" w:hAnsi="Times New Roman"/>
          <w:sz w:val="20"/>
        </w:rPr>
        <w:t xml:space="preserve">Based on market research that we commissioned, we estimate that approximately 10,000 patients in the United States were eligible for second-line treatment of unresectable or metastatic melanoma in 2023. Not all patients in this pool are appropriate candidates for cell therapies, and real-world attrition is driven by (i) adequate baseline fitness and health status, (ii) disease progression that allows sufficient time to complete the treatment journey, and (iii) access to a qualified caregiver, resulting in an estimated cell therapy treatable population of approximately 65% of this patient subgroup. Within this cell therapy treatable population, additional factors further narrow eligibility for TIL cell therapies, including ability to tolerate lymphodepletion, feasibility of tumor procurement via surgical resection or core needle biopsy, and clinical stability during the manufacturing and scheduling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Currently, an estimated 25% of 2L+ melanoma patients are eligible to receive Amtagvi; however given amsoki-cel’s potentially differentiated profile we believe we will be able to address around 50% of these same patients. Amtagvi, the only approved TIL cell therapy for patients with unresectable or metastatic melanoma previously treated with an ICI, had an ORR of 31.5%. Meanwhile, we observed a 67% ORR in advanced melanoma with amsoki-cel. In addition, the antitumor activity of amsoki-cel has been associated with a low rate of serious adverse events including no cases of TRM or capillary leak syndrome. We believe the need to use high doses of cyclophosphamide for lymphodepletion and high dose IL2 limits the number of patients who are eligible to receive Amtagvi. </w:t>
      </w:r>
    </w:p>
    <w:p>
      <w:pPr>
        <w:pStyle w:val="TextBody"/>
        <w:bidi w:val="0"/>
        <w:spacing w:before="240" w:after="0"/>
        <w:jc w:val="left"/>
        <w:rPr>
          <w:rFonts w:ascii="Times New Roman" w:hAnsi="Times New Roman"/>
          <w:sz w:val="20"/>
        </w:rPr>
      </w:pPr>
      <w:r>
        <w:rPr>
          <w:rFonts w:ascii="Times New Roman" w:hAnsi="Times New Roman"/>
          <w:sz w:val="20"/>
        </w:rPr>
        <w:t xml:space="preserve">We believe there is an opportunity for amsoki-cel to deliver significant clinical benefit in the large population of patients who have previously been treated with ICI. The tolerability of amsoki-cel, as well as the ability to create amsoki-cel using core needle biopsies and to deliver an outpatient administration of low-dose lymphodepletion provide the potential to advance our medicine into earlier lines of therapy, an option that is not as readily available for current therapies with significant toxicities and treatment challenges. </w:t>
      </w:r>
    </w:p>
    <w:p>
      <w:pPr>
        <w:pStyle w:val="TextBody"/>
        <w:bidi w:val="0"/>
        <w:spacing w:before="240" w:after="0"/>
        <w:jc w:val="left"/>
        <w:rPr>
          <w:rFonts w:ascii="Times New Roman" w:hAnsi="Times New Roman"/>
          <w:sz w:val="20"/>
        </w:rPr>
      </w:pPr>
      <w:r>
        <w:rPr>
          <w:rFonts w:ascii="Times New Roman" w:hAnsi="Times New Roman"/>
          <w:sz w:val="20"/>
        </w:rPr>
        <w:t xml:space="preserve">A key limitation for cell therapies has been the inability to scale both the manufacturing and the number of clinical sites where the therapy is available. In addition to our current CDMO that is supporting our ongoing clinical trials, using our expertise we collaborate with CDMOs to scale our manufacturing capacity not only for clinical trials but for our subsequent commercialization. We believe these efforts will allow us to provide improved patient and physician experience through reliable treatment delivery and broader site activation. We have learned from the launch of Amtagvi that there is a viable path to bringing TIL cell therapy to market. Iovance has already qualified 85 treatment centers across the United States to treat patients with Amtagvi. By Iovance’s estimate, 95% of addressable patients are within 200 miles of a treatment center qualified to treat patients with TIL cell therapy and there are more than 85 treatment centers as of December 31, 2025. Amtagvi has achieved rapid market access across 250 million covered lives, mostly covered by private payers with 3-week financial turnaround, and recommendation by the National Comprehensive Cancer Network. The expansion of qualified centers and demonstrated commercial uptake indicate that the operational and reimbursement framework for TIL cell therapy delivery is becoming increasingly established. </w:t>
      </w:r>
    </w:p>
    <w:p>
      <w:pPr>
        <w:pStyle w:val="TextBody"/>
        <w:bidi w:val="0"/>
        <w:spacing w:before="360" w:after="0"/>
        <w:jc w:val="left"/>
        <w:rPr>
          <w:rFonts w:ascii="Times New Roman" w:hAnsi="Times New Roman"/>
          <w:i/>
          <w:sz w:val="20"/>
        </w:rPr>
      </w:pPr>
      <w:r>
        <w:rPr>
          <w:rFonts w:ascii="Times New Roman" w:hAnsi="Times New Roman"/>
          <w:i/>
          <w:sz w:val="20"/>
        </w:rPr>
        <w:t xml:space="preserve">NSCLC </w:t>
      </w:r>
    </w:p>
    <w:p>
      <w:pPr>
        <w:pStyle w:val="TextBody"/>
        <w:bidi w:val="0"/>
        <w:spacing w:before="120" w:after="0"/>
        <w:jc w:val="left"/>
        <w:rPr>
          <w:rFonts w:ascii="Times New Roman" w:hAnsi="Times New Roman"/>
          <w:sz w:val="20"/>
        </w:rPr>
      </w:pPr>
      <w:r>
        <w:rPr>
          <w:rFonts w:ascii="Times New Roman" w:hAnsi="Times New Roman"/>
          <w:sz w:val="20"/>
        </w:rPr>
        <w:t xml:space="preserve">There were an estimated 227,000 new cases of lung cancer diagnosed and 125,000 deaths in the United States in 2025. NSCLC is the most common subtype of lung cancer, accounting for approximately 80 to 85% of those cases. Some patients will progress to the later stages of the disease, and other patients already have locally advanced or metastatic disease at the time of diagnosis. There are approximately 90,000 patients with advanced/metastatic NSCLC per year. Current standard of care front-line treatment for patients with metastatic NSCLC and no targetable mutations consists of single-agent ICI therapy or combination platinum-based chemotherapy with ICI or anti-angiogenic therapy. Most patients receiving ICI therapy do not have durable responses. Standard treatment after progression on ICI-based treatment typically entails single-agent chemotherapies, which have modest response rates (approximately 16%), and are typically not durable (median PFS, 2.9 months). For example, in a randomized Phase 3 trial in previously treated metastatic NSCLC, docetaxel demonstrated an objective response rate of 12.8%. Even incremental improvements in overall response rate and durability of responses could be clinically meaningful, especially relative to first-line treatment responses in other settings like melanoma. There are approximately 36,000 patients who will progress into the second line setting representing a significant unmet need for more efficacious therapies that can deliver durable responses, especially for chemotherapy-free alternatives with superior tolerability. Given the substantially larger incidence, we believe the commercial opportunity in advanced NSCLC is up to 5 times larger than that of advanced melanoma. If approved, we believe we will be able to leverage our manufacturing infrastructure and commercial capabilities, initially from our melanoma program, to drive significant market adoption of amsoki-cel for the treatment of NSCLC.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Our cytoDRiVE Platform—a Key Component of Our Next Generation Therapies </w:t>
      </w:r>
    </w:p>
    <w:p>
      <w:pPr>
        <w:pStyle w:val="TextBody"/>
        <w:bidi w:val="0"/>
        <w:spacing w:before="120" w:after="0"/>
        <w:jc w:val="left"/>
        <w:rPr>
          <w:rFonts w:ascii="Times New Roman" w:hAnsi="Times New Roman"/>
          <w:sz w:val="20"/>
        </w:rPr>
      </w:pPr>
      <w:r>
        <w:rPr>
          <w:rFonts w:ascii="Times New Roman" w:hAnsi="Times New Roman"/>
          <w:sz w:val="20"/>
        </w:rPr>
        <w:t xml:space="preserve">A key element of our cytoDRiVE platform is the ability to express mbIL15 in amsoki-cel and to dynamically regulate its expression in patients. cytoDRiVE is designed to leverage the tendency for intracellular misfolded and unstable proteins to be degraded by the cellular proteasome system. To build cytoDRiVE constructs, we create mutant versions of small molecule binding domains that are stable in the presence of their ligands but have a propensity to be degraded in their absence. Through the fusion of one of these binding domains, which we refer to as DRD, to a protein of interest, such as mbIL15, we impart the ability to control expression of the protein of interest by a small molecule ligand. While no immunogenicity or safety issues have been detected with CA2 and mbIL15 (DRD-protein pairing) in amsoki-cel clinical or laboratory studies to date, the potential for immunogenicity or other serious side effects have not yet been studied for other future DRD-protein pairs. By carefully selecting the DRD, we can use FDA-approved, orally available drugs to control the stability of our cytoDRiVE constructs. We believe that this makes cytoDRiVE a flexible, multipurpose approach for delivering regulators of expression of proteins. </w:t>
      </w:r>
    </w:p>
    <w:p>
      <w:pPr>
        <w:pStyle w:val="TextBody"/>
        <w:bidi w:val="0"/>
        <w:spacing w:before="240" w:after="0"/>
        <w:jc w:val="left"/>
        <w:rPr>
          <w:rFonts w:ascii="Times New Roman" w:hAnsi="Times New Roman"/>
          <w:sz w:val="20"/>
        </w:rPr>
      </w:pPr>
      <w:r>
        <w:rPr>
          <w:rFonts w:ascii="Times New Roman" w:hAnsi="Times New Roman"/>
          <w:sz w:val="20"/>
        </w:rPr>
        <w:t xml:space="preserve">As illustrated in Figure 10 below, in absence of ligand binding, the unstable DRD (red) is recognized by the cellular unfolded protein system and the DRD and fused protein of interest (orange) are targeted for degradation, eliminating the expression of the protein of interest. In the presence of a small molecule ligand (yellow), the DRD is stabilized, avoiding degradation and allowing the protein of interest to be expressed. </w:t>
      </w:r>
    </w:p>
    <w:p>
      <w:pPr>
        <w:pStyle w:val="TextBody"/>
        <w:bidi w:val="0"/>
        <w:spacing w:before="240" w:after="0"/>
        <w:jc w:val="left"/>
        <w:rPr>
          <w:rFonts w:ascii="Times New Roman" w:hAnsi="Times New Roman"/>
          <w:b/>
          <w:sz w:val="20"/>
        </w:rPr>
      </w:pPr>
      <w:r>
        <w:rPr>
          <w:rFonts w:ascii="Times New Roman" w:hAnsi="Times New Roman"/>
          <w:b/>
          <w:sz w:val="20"/>
        </w:rPr>
        <w:t xml:space="preserve">Figure 10. Ligand-dependent regulation of the cellular unfolded protein system. </w:t>
      </w:r>
    </w:p>
    <w:p>
      <w:pPr>
        <w:pStyle w:val="TextBody"/>
        <w:bidi w:val="0"/>
        <w:spacing w:before="0" w:after="0"/>
        <w:jc w:val="left"/>
        <w:rPr/>
      </w:pPr>
      <w:r>
        <w:rPr/>
        <w:t> </w:t>
      </w:r>
    </w:p>
    <w:p>
      <w:pPr>
        <w:pStyle w:val="TextBody"/>
        <w:bidi w:val="0"/>
        <w:spacing w:before="0" w:after="0"/>
        <w:jc w:val="center"/>
        <w:rPr/>
      </w:pPr>
      <w:r>
        <w:rPr/>
        <w:drawing>
          <wp:inline distT="0" distB="0" distL="0" distR="0">
            <wp:extent cx="3582670" cy="25844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582670" cy="25844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amsoki-cel, we fused a CA2 DRD to a proprietary mbIL15 construct. The CA2 DRD was engineered with mutations to reduce its stability in the absence of ligand binding. We use ACZ, an FDA approved oral CA2 inhibitor, with no known anti-neoplastic activity as a stabilizing ligand to regulate mbIL15 expression on the cell surface of amsoki-cel. ACZ is generally well-tolerated, penetrates the blood brain barrier and has a favorable pharmacokinetic profile. It does not interfere with T cell function and is widely available as a generic product. </w:t>
      </w:r>
    </w:p>
    <w:p>
      <w:pPr>
        <w:pStyle w:val="TextBody"/>
        <w:bidi w:val="0"/>
        <w:spacing w:before="360" w:after="0"/>
        <w:jc w:val="left"/>
        <w:rPr>
          <w:rFonts w:ascii="Times New Roman" w:hAnsi="Times New Roman"/>
          <w:b/>
          <w:i/>
          <w:sz w:val="20"/>
        </w:rPr>
      </w:pPr>
      <w:r>
        <w:rPr>
          <w:rFonts w:ascii="Times New Roman" w:hAnsi="Times New Roman"/>
          <w:b/>
          <w:i/>
          <w:sz w:val="20"/>
        </w:rPr>
        <w:t xml:space="preserve">Next Generation Cellular Therapies: Future Oncology Applications of our cytoDRiVE Platform </w:t>
      </w:r>
    </w:p>
    <w:p>
      <w:pPr>
        <w:pStyle w:val="TextBody"/>
        <w:bidi w:val="0"/>
        <w:spacing w:before="120" w:after="0"/>
        <w:jc w:val="left"/>
        <w:rPr>
          <w:rFonts w:ascii="Times New Roman" w:hAnsi="Times New Roman"/>
          <w:sz w:val="20"/>
        </w:rPr>
      </w:pPr>
      <w:r>
        <w:rPr>
          <w:rFonts w:ascii="Times New Roman" w:hAnsi="Times New Roman"/>
          <w:sz w:val="20"/>
        </w:rPr>
        <w:t xml:space="preserve">We are actively exploring future applications of our cytoDRiVE platform to enhance the ability of our product candidates to treat less TIL infiltrated (colder) tumors. Two examples from our early-stage research programs illustrate the application of cytoDRiVE to enhance immune-cell antitumor activity, including co-regulated expression of Lymphotoxin-like, inducible, competes with herpesvirus glycoprotein D for HVEM, a receptor expressed by T lymphocytes, or LIGHT, and mbIL15, and spatio-temporal regulation of IL12 using T cell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activation dependent elements. Further, we believe the flexibility of our platform may allow cytoDRiVE to be incorporated into a range of engineered immune cell therapies beyond TIL and potentially into other non-oncology settings where controlled protein expression is desirable. We are evaluating collaboration and partnership opportunities to continue development of these promising early-stage research programs.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Regulated expression of LIGHT and mbIL15 </w:t>
      </w:r>
    </w:p>
    <w:p>
      <w:pPr>
        <w:pStyle w:val="TextBody"/>
        <w:bidi w:val="0"/>
        <w:spacing w:before="120" w:after="0"/>
        <w:jc w:val="left"/>
        <w:rPr>
          <w:rFonts w:ascii="Times New Roman" w:hAnsi="Times New Roman"/>
          <w:sz w:val="20"/>
        </w:rPr>
      </w:pPr>
      <w:r>
        <w:rPr>
          <w:rFonts w:ascii="Times New Roman" w:hAnsi="Times New Roman"/>
          <w:sz w:val="20"/>
        </w:rPr>
        <w:t xml:space="preserve">LIGHT is a member of the tumor necrosis factor super family, or TNFSF, that interacts with the lymphotoxin beta receptor, or LTbR, and regulates the formation of lymphoid organs. In preclinical studies, LIGHT expression within a tumor has been linked to the formation of tertiary lymphoid structures and vascular normalization, both of which are associated with favorable prognosis in many tumor types. Figure 11 below shows the application of cytoDRiVE to develop cytoTIL15-LIGHT cells, where the CA2 DRD co-regulates both mbIL15 and LIGHT. In a fibrotic tumor model where non-engineered TIL are unlikely to show benefit, co-expression of mbIL15 and LIGHT upon induction with ACZ leads to better tumor control compared to mbIL15 or LIGHT alone. </w:t>
      </w:r>
    </w:p>
    <w:p>
      <w:pPr>
        <w:pStyle w:val="TextBody"/>
        <w:bidi w:val="0"/>
        <w:spacing w:before="240" w:after="0"/>
        <w:jc w:val="left"/>
        <w:rPr>
          <w:rFonts w:ascii="Times New Roman" w:hAnsi="Times New Roman"/>
          <w:b/>
          <w:sz w:val="20"/>
        </w:rPr>
      </w:pPr>
      <w:r>
        <w:rPr>
          <w:rFonts w:ascii="Times New Roman" w:hAnsi="Times New Roman"/>
          <w:b/>
          <w:sz w:val="20"/>
        </w:rPr>
        <w:t xml:space="preserve">Figure 11. Dual regulated expression of LIGHT and mbIL15 inhibited growth in a fibrotic colon cancer model. </w:t>
      </w:r>
    </w:p>
    <w:p>
      <w:pPr>
        <w:pStyle w:val="TextBody"/>
        <w:bidi w:val="0"/>
        <w:spacing w:before="0" w:after="0"/>
        <w:jc w:val="left"/>
        <w:rPr/>
      </w:pPr>
      <w:r>
        <w:rPr/>
        <w:t> </w:t>
      </w:r>
    </w:p>
    <w:p>
      <w:pPr>
        <w:pStyle w:val="TextBody"/>
        <w:bidi w:val="0"/>
        <w:spacing w:before="0" w:after="0"/>
        <w:jc w:val="center"/>
        <w:rPr/>
      </w:pPr>
      <w:r>
        <w:rPr/>
        <w:drawing>
          <wp:inline distT="0" distB="0" distL="0" distR="0">
            <wp:extent cx="5890895" cy="208026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890895" cy="2080260"/>
                    </a:xfrm>
                    <a:prstGeom prst="rect">
                      <a:avLst/>
                    </a:prstGeom>
                  </pic:spPr>
                </pic:pic>
              </a:graphicData>
            </a:graphic>
          </wp:inline>
        </w:drawing>
      </w:r>
      <w:r>
        <w:rPr/>
        <w:t xml:space="preserve">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Spatial and temporal regulation of IL12 </w:t>
      </w:r>
    </w:p>
    <w:p>
      <w:pPr>
        <w:pStyle w:val="TextBody"/>
        <w:bidi w:val="0"/>
        <w:spacing w:before="120" w:after="0"/>
        <w:jc w:val="left"/>
        <w:rPr>
          <w:rFonts w:ascii="Times New Roman" w:hAnsi="Times New Roman"/>
          <w:sz w:val="20"/>
        </w:rPr>
      </w:pPr>
      <w:r>
        <w:rPr>
          <w:rFonts w:ascii="Times New Roman" w:hAnsi="Times New Roman"/>
          <w:sz w:val="20"/>
        </w:rPr>
        <w:t xml:space="preserve">IL12 is a potent cytokine known to remodel immunosuppressive tumor microenvironments and promote antitumor immunity through diverse innate and adaptive immune mechanisms. Early clinical trials in the mid-1990s showed that systemic delivery of IL12 incurred dose-limiting toxicities. </w:t>
      </w:r>
    </w:p>
    <w:p>
      <w:pPr>
        <w:pStyle w:val="TextBody"/>
        <w:bidi w:val="0"/>
        <w:spacing w:before="240" w:after="0"/>
        <w:jc w:val="left"/>
        <w:rPr>
          <w:rFonts w:ascii="Times New Roman" w:hAnsi="Times New Roman"/>
          <w:sz w:val="20"/>
        </w:rPr>
      </w:pPr>
      <w:r>
        <w:rPr>
          <w:rFonts w:ascii="Times New Roman" w:hAnsi="Times New Roman"/>
          <w:sz w:val="20"/>
        </w:rPr>
        <w:t xml:space="preserve">We combined our cytoDRiVE technology with NFAT-dependent transcription to enable the ability to temporally control mb-IL12 expression following T cell recognition of tumor (spatial regulation). In these cells, the expression of a cytoDRiVE construct containing the gene for mbIL12 fused to DRD is under control of an NFAT responsive promoter, a genetic element that drives transcription only upon activation of T cells, such as when T cells recognize tumor. Only upon T cell activation is the IL12/DRD fusion protein synthesized, but is rapidly degraded if the DRD ligand is not present, providing a second level of control. </w:t>
      </w:r>
    </w:p>
    <w:p>
      <w:pPr>
        <w:pStyle w:val="TextBody"/>
        <w:bidi w:val="0"/>
        <w:spacing w:before="240" w:after="0"/>
        <w:jc w:val="left"/>
        <w:rPr>
          <w:rFonts w:ascii="Times New Roman" w:hAnsi="Times New Roman"/>
          <w:sz w:val="20"/>
        </w:rPr>
      </w:pPr>
      <w:r>
        <w:rPr>
          <w:rFonts w:ascii="Times New Roman" w:hAnsi="Times New Roman"/>
          <w:sz w:val="20"/>
        </w:rPr>
        <w:t xml:space="preserve">We assessed the tolerability and antitumor activity of this construct in a B16-F10 tumor model in mice as shown in Figure 12 below. Survival in this model with no treatment was between 20 and 25 days. Treatment with control T cells increased survival by a few days in both the untreated mice (gray in the figure below) or control-treated mice (black in the figure below). Treatment with NFAT (only) regulated expression of soluble IL12 (purple in the figure below) resulted in early mortality for half of treated mice due to toxicities associated with IL12. Treatment with cells engineered with our NFAT/cytoDRiVE mbIL12 led to 100% survival to the end of the study at day 35 (orange in the figure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Figure 12. Spatial and temporal regulation of IL12 increased survival in a B16-F10 tumor model. </w:t>
      </w:r>
    </w:p>
    <w:p>
      <w:pPr>
        <w:pStyle w:val="TextBody"/>
        <w:bidi w:val="0"/>
        <w:spacing w:before="0" w:after="0"/>
        <w:jc w:val="left"/>
        <w:rPr/>
      </w:pPr>
      <w:r>
        <w:rPr/>
        <w:t> </w:t>
      </w:r>
    </w:p>
    <w:p>
      <w:pPr>
        <w:pStyle w:val="TextBody"/>
        <w:bidi w:val="0"/>
        <w:spacing w:before="0" w:after="0"/>
        <w:jc w:val="center"/>
        <w:rPr/>
      </w:pPr>
      <w:r>
        <w:rPr/>
        <w:drawing>
          <wp:inline distT="0" distB="0" distL="0" distR="0">
            <wp:extent cx="5910580" cy="298831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910580" cy="2988310"/>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i/>
          <w:sz w:val="20"/>
        </w:rPr>
      </w:pPr>
      <w:r>
        <w:rPr>
          <w:rFonts w:ascii="Times New Roman" w:hAnsi="Times New Roman"/>
          <w:b/>
          <w:i/>
          <w:sz w:val="20"/>
        </w:rPr>
        <w:t xml:space="preserve">Potential Applications of our CytoDRiVE Platform Outside of Oncology </w:t>
      </w:r>
    </w:p>
    <w:p>
      <w:pPr>
        <w:pStyle w:val="TextBody"/>
        <w:bidi w:val="0"/>
        <w:spacing w:before="120" w:after="0"/>
        <w:jc w:val="left"/>
        <w:rPr>
          <w:rFonts w:ascii="Times New Roman" w:hAnsi="Times New Roman"/>
          <w:sz w:val="20"/>
        </w:rPr>
      </w:pPr>
      <w:r>
        <w:rPr>
          <w:rFonts w:ascii="Times New Roman" w:hAnsi="Times New Roman"/>
          <w:sz w:val="20"/>
        </w:rPr>
        <w:t xml:space="preserve">While our current focus is on the application of cytoDRiVE to enhance the antitumor activity of cell therapies, potential applications of cytoDRiVE are not limited to specific classes of proteins of interest or to particular cell types. cytoDRiVE technology has the potential to broaden the reach cell therapies and for diseases outside of oncology, such as autoimmune disorders. By enabling temporal control of protein activity or expression with activation-dependent regulatory elements, cytoDRiVE is designed to provide controlled expression of potent cytokines or other immune-modulating proteins. We believe this flexibility may allow cytoDRiVE to be incorporated into a range of engineered immune cell therapies beyond TIL and potentially into other non-oncology settings where controlled protein expression is desirable. </w:t>
      </w:r>
    </w:p>
    <w:p>
      <w:pPr>
        <w:pStyle w:val="TextBody"/>
        <w:bidi w:val="0"/>
        <w:spacing w:before="360" w:after="0"/>
        <w:jc w:val="left"/>
        <w:rPr>
          <w:rFonts w:ascii="Times New Roman" w:hAnsi="Times New Roman"/>
          <w:b/>
          <w:sz w:val="20"/>
        </w:rPr>
      </w:pPr>
      <w:r>
        <w:rPr>
          <w:rFonts w:ascii="Times New Roman" w:hAnsi="Times New Roman"/>
          <w:b/>
          <w:sz w:val="20"/>
        </w:rPr>
        <w:t xml:space="preserve">Manufacturing </w:t>
      </w:r>
    </w:p>
    <w:p>
      <w:pPr>
        <w:pStyle w:val="TextBody"/>
        <w:bidi w:val="0"/>
        <w:spacing w:before="120" w:after="0"/>
        <w:jc w:val="left"/>
        <w:rPr>
          <w:rFonts w:ascii="Times New Roman" w:hAnsi="Times New Roman"/>
          <w:sz w:val="20"/>
        </w:rPr>
      </w:pPr>
      <w:r>
        <w:rPr>
          <w:rFonts w:ascii="Times New Roman" w:hAnsi="Times New Roman"/>
          <w:sz w:val="20"/>
        </w:rPr>
        <w:t xml:space="preserve">We do not own or operate GMP manufacturing facilities for the production of amsoki-cel and currently have no plans to build our own clinical or commercial GMP manufacturing capabilities. We have a proprietary manufacturing process and collaborate with leading CDMOs to manufacture amsoki-cel and, if we receive regulatory approval, we intend to rely on such third parties for commercial GMP manufacture. Our manufacturing process for amsoki-cel consistently delivers a robust cell yield with a greater than 95% demonstrated manufacturing success rate in meeting the current product release criteria. These release criteria often evolve based on increased manufacturing experience and based on regulatory input. This may affect the manufacturing success rate over time. We believe our manufacturing capacity strategy will support drug supply for our future clinical trials and commercial demand for amsoki-cel for the treatment of advanced melanoma, if approved. We do not have long-term supply agreements, and we purchase our required drug product on a development manufacturing services agreement or purchase order basis. We expect to continue to rely on third-party manufacturers for the commercial supply of any of our product candidates for which we obtain marketing approval. We have personnel with significant technical, manufacturing, analytical, quality, regulatory, including cGMP, and project management experience to oversee our third-party manufacturers and to manage manufacturing and quality data and information for regulatory compliance purposes. </w:t>
      </w:r>
    </w:p>
    <w:p>
      <w:pPr>
        <w:pStyle w:val="TextBody"/>
        <w:bidi w:val="0"/>
        <w:spacing w:before="240" w:after="0"/>
        <w:jc w:val="left"/>
        <w:rPr>
          <w:rFonts w:ascii="Times New Roman" w:hAnsi="Times New Roman"/>
          <w:sz w:val="20"/>
        </w:rPr>
      </w:pPr>
      <w:r>
        <w:rPr>
          <w:rFonts w:ascii="Times New Roman" w:hAnsi="Times New Roman"/>
          <w:sz w:val="20"/>
        </w:rPr>
        <w:t xml:space="preserve">Our product candidates for clinical trial use must be manufactured in compliance with cGMP regulations. The cGMP regulations include requirements relating to personnel, buildings and facilities, equipment, control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components and drug product containers and closures, production and process controls, packaging and labeling controls, holding and distribution, laboratory controls, records and reports, and returned or salvaged products. </w:t>
      </w:r>
    </w:p>
    <w:p>
      <w:pPr>
        <w:pStyle w:val="TextBody"/>
        <w:bidi w:val="0"/>
        <w:spacing w:before="360" w:after="0"/>
        <w:jc w:val="left"/>
        <w:rPr>
          <w:rFonts w:ascii="Times New Roman" w:hAnsi="Times New Roman"/>
          <w:b/>
          <w:sz w:val="20"/>
        </w:rPr>
      </w:pPr>
      <w:r>
        <w:rPr>
          <w:rFonts w:ascii="Times New Roman" w:hAnsi="Times New Roman"/>
          <w:b/>
          <w:sz w:val="20"/>
        </w:rPr>
        <w:t xml:space="preserve">Commercialization </w:t>
      </w:r>
    </w:p>
    <w:p>
      <w:pPr>
        <w:pStyle w:val="TextBody"/>
        <w:bidi w:val="0"/>
        <w:spacing w:before="120" w:after="0"/>
        <w:jc w:val="left"/>
        <w:rPr>
          <w:rFonts w:ascii="Times New Roman" w:hAnsi="Times New Roman"/>
          <w:sz w:val="20"/>
        </w:rPr>
      </w:pPr>
      <w:r>
        <w:rPr>
          <w:rFonts w:ascii="Times New Roman" w:hAnsi="Times New Roman"/>
          <w:sz w:val="20"/>
        </w:rPr>
        <w:t xml:space="preserve">We have exclusive commercial rights to our product candidates globally. Given our stage of development, we have not yet established a commercial organization or sales and distribution capabilities. A key challenge for cell therapies, such as amsoki-cel, is the ability to scale both the manufacturing and the number of clinical sites where the therapy is available. We have transferred our expertise and knowledge to CDMOs, which manufacture amsoki-cel for our clinical trials and will also do so for commercialization, if approved by FDA. </w:t>
      </w:r>
    </w:p>
    <w:p>
      <w:pPr>
        <w:pStyle w:val="TextBody"/>
        <w:bidi w:val="0"/>
        <w:spacing w:before="240" w:after="0"/>
        <w:jc w:val="left"/>
        <w:rPr>
          <w:rFonts w:ascii="Times New Roman" w:hAnsi="Times New Roman"/>
          <w:sz w:val="20"/>
        </w:rPr>
      </w:pPr>
      <w:r>
        <w:rPr>
          <w:rFonts w:ascii="Times New Roman" w:hAnsi="Times New Roman"/>
          <w:sz w:val="20"/>
        </w:rPr>
        <w:t xml:space="preserve">We plan to independently commercialize our products, if approved, in the United States and other regions where we determine it makes commercial sense to do so. At the appropriate time, we will build the required commercial infrastructure including recruiting a sales force and a medical affairs team. As product candidates advance through our pipeline, our plans may change. </w:t>
      </w:r>
    </w:p>
    <w:p>
      <w:pPr>
        <w:pStyle w:val="TextBody"/>
        <w:bidi w:val="0"/>
        <w:spacing w:before="36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The biotechnology industry is intensely competitive and subject to rapid and significant technological change. Our competitors include multinational pharmaceutical companies, specialized biotechnology companies, universities, and other research institutions. Ultimately, the diseases our product candidate and any future product candidates target, and for which we may receive marketing authorization, will determine our competition. Our product candidate, if approved, will have to compete with existing therapies and new therapies that may become available in the future. Many of our competitors have substantially greater financial, technical, human and other resources than we do and may be better equipped to develop, manufacture and market technologically superior products. In addition, many of these competitors have significantly greater experience than we have in undertaking nonclinical studies and human clinical trials of new pharmaceutical products and in obtaining regulatory approvals of human therapeutic products. Accordingly, our competitors may succeed in obtaining FDA approval for superior products. Many of our competitors have established distribution channels for the commercialization of their products, whereas we have no such channel or capabilities. In addition, many competitors have greater name recognition and more extensive collaborative relationships. Smaller and earlier-stage companies may also prove to be significant competitors, particularly through collaborative arrangements with large, established companies. </w:t>
      </w:r>
    </w:p>
    <w:p>
      <w:pPr>
        <w:pStyle w:val="TextBody"/>
        <w:bidi w:val="0"/>
        <w:spacing w:before="240" w:after="0"/>
        <w:jc w:val="left"/>
        <w:rPr>
          <w:rFonts w:ascii="Times New Roman" w:hAnsi="Times New Roman"/>
          <w:sz w:val="20"/>
        </w:rPr>
      </w:pPr>
      <w:r>
        <w:rPr>
          <w:rFonts w:ascii="Times New Roman" w:hAnsi="Times New Roman"/>
          <w:sz w:val="20"/>
        </w:rPr>
        <w:t xml:space="preserve">Our competitors may obtain regulatory approval of their products more rapidly than we do or may obtain patent protection or other intellectual property rights that limit our ability to develop or commercialize our product candidate or any future product candidates. Our competitors may also develop drugs that are more effective, more convenient, more widely used and less costly or have a better safety profile than our products and these competitors may also be more successful than we are in manufacturing and marketing their products. If we are unable to compete effectively against these companies, then we may not be able to commercialize our product candidate or any future product candidates or achieve a competitive position in the market. This would adversely affect our ability to generate revenue. Our competitors also compete with us in recruiting and retaining qualified scientific, management and commercial personnel, establishing clinical trial sites and patient registration for clinical trials, as well as in acquiring technologies complementary to, or necessary for, our programs. </w:t>
      </w:r>
    </w:p>
    <w:p>
      <w:pPr>
        <w:pStyle w:val="TextBody"/>
        <w:bidi w:val="0"/>
        <w:spacing w:before="240" w:after="0"/>
        <w:jc w:val="left"/>
        <w:rPr>
          <w:rFonts w:ascii="Times New Roman" w:hAnsi="Times New Roman"/>
          <w:sz w:val="20"/>
        </w:rPr>
      </w:pPr>
      <w:r>
        <w:rPr>
          <w:rFonts w:ascii="Times New Roman" w:hAnsi="Times New Roman"/>
          <w:sz w:val="20"/>
        </w:rPr>
        <w:t xml:space="preserve">We believe the key competitive factors affecting the success of our product candidate, amsoki-cel, if approved, are likely to include efficacy, safety, manufacturing, treatment logistics, patient eligibility, physician adoption, and the availability of reimbursement. </w:t>
      </w:r>
    </w:p>
    <w:p>
      <w:pPr>
        <w:pStyle w:val="TextBody"/>
        <w:bidi w:val="0"/>
        <w:spacing w:before="240" w:after="0"/>
        <w:jc w:val="left"/>
        <w:rPr>
          <w:rFonts w:ascii="Times New Roman" w:hAnsi="Times New Roman"/>
          <w:sz w:val="20"/>
        </w:rPr>
      </w:pPr>
      <w:r>
        <w:rPr>
          <w:rFonts w:ascii="Times New Roman" w:hAnsi="Times New Roman"/>
          <w:sz w:val="20"/>
        </w:rPr>
        <w:t xml:space="preserve">Patients with melanoma are treated using a range of therapeutic approaches, including surgery, radiation therapy, chemotherapy, targeted therapies, ICIs, biologic therapies such as monoclonal antibodies, and emerging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immunotherapies, including cell-based therapies. Accordingly, we believe amsoki-cel, if approved, would face competition from pharmaceutical, biotechnology and other companies developing therapies for cancer, including for patients with melanoma or NSCLC whose disease has progressed following prior treatment with checkpoint inhibitors and chemotherapy. There are a large number of companies developing or marketing treatments for cancer, including many major pharmaceutical and biotechnology companies. We may compete with other cell therapy or immunotherapy companies such as Iovance Biotherapeutics Inc. (Amtagvi), Replimune Group, Inc., AbelZeta Inc., Biosyngen Pte Ltd, GRIT Biotechnology Co., Ltd., Shanghai Juncell Therapeutics Co., Ltd., Immatics N.V., Immunocore Holdings plc, Intima Bioscience, Inc., KSQ Therapeutics, Inc., Marker Therapeutics, Inc., TILT Biotherapeutics Ltd, and others. In addition, numerous compounds are in clinical development for cancer treatment. Any of these compounds may prove to be safer, more effective, more convenient, more broadly applicable or more commercially successful than our product candidates. </w:t>
      </w:r>
    </w:p>
    <w:p>
      <w:pPr>
        <w:pStyle w:val="TextBody"/>
        <w:bidi w:val="0"/>
        <w:spacing w:before="36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We strive to protect and strengthen our proprietary platforms and technologies, product candidates, inventions, improvements, and other intellectual property that are commercially relevant to the success of our business by, among other things, acquiring, maintaining, and defending patent rights, whether developed internally or licensed from third parties, and preserving the confidentiality of our trade secrets and know-how. We also rely on trade secrets, know-how and continuing technological innovation to develop and maintain our proprietary and intellectual property position. Additional regulatory protection may also be available via data exclusivity, market exclusivity, and patent term extensions on a jurisdiction-by-jurisdiction basis. Our commercial success may depend, in part, on our ability to protect and strengthen the intellectual property rights relevant to our proprietary platforms and technologies, and to operate without infringing on any valid and enforceable third-party intellectual property rights. </w:t>
      </w:r>
    </w:p>
    <w:p>
      <w:pPr>
        <w:pStyle w:val="TextBody"/>
        <w:bidi w:val="0"/>
        <w:spacing w:before="240" w:after="0"/>
        <w:jc w:val="left"/>
        <w:rPr>
          <w:rFonts w:ascii="Times New Roman" w:hAnsi="Times New Roman"/>
          <w:sz w:val="20"/>
        </w:rPr>
      </w:pPr>
      <w:r>
        <w:rPr>
          <w:rFonts w:ascii="Times New Roman" w:hAnsi="Times New Roman"/>
          <w:sz w:val="20"/>
        </w:rPr>
        <w:t xml:space="preserve">The patent position of most biopharmaceutical companies is highly uncertain, involves complex legal and factual questions, and has in recent years been the subject of much litigation, resulting in court decisions, including U.S. Supreme Court decisions, which have increased uncertainties as to the ability to enforce patent rights in the future. Because of this, some of our current and future patent applications may not result in patents being issued. Additionally, the laws of foreign countries may not protect our rights to the same degree as the laws of the United States, or vice versa. </w:t>
      </w:r>
    </w:p>
    <w:p>
      <w:pPr>
        <w:pStyle w:val="TextBody"/>
        <w:bidi w:val="0"/>
        <w:spacing w:before="240" w:after="0"/>
        <w:jc w:val="left"/>
        <w:rPr>
          <w:rFonts w:ascii="Times New Roman" w:hAnsi="Times New Roman"/>
          <w:sz w:val="20"/>
        </w:rPr>
      </w:pPr>
      <w:r>
        <w:rPr>
          <w:rFonts w:ascii="Times New Roman" w:hAnsi="Times New Roman"/>
          <w:sz w:val="20"/>
        </w:rPr>
        <w:t>As of March 1, 2026 our owned and in-licensed patent portfolio from the Board of Regents of the University of Texas System consists of 7 granted US patents, 20 pending US patent applications, 28 foreign granted patents and 91 pending foreign patent applications. As of March 1, 2026, we have 26 registered trademarks and 4 pending trademark applications. Additionally, we have had no outstanding litigation related to our intellectual property nor any threat to initiate claims against us. Our owned patents, patent applications and licensed intellectual property from the Board of Regents of the University of Texas System on behalf of M.D. Anderson cover various aspects of our programs and technology, including our cytoDRiVE platform and amsoki-cel as further described herein. Owned patents and patent applications include composition of matter and methods of making and using various aspects of the cytoDRiVE platform and amsoki-cel. We have issued patents in the United States, Japan, Singapore, Korea, Mexico, Australia, Europe, Canada, and China and pending applications in those and other jurisdictions such as Israel, and India. The intellectual property licensed from M.D. Anderson includes amsoki-cel, specifically around the manufacturing process and know-how. Under the M.D. Anderson License Agreement, ownership of improvements is determined based on inventorship. In particular, the licensed intellectual property represents one component of our broader development program. Specifically, we currently rely in part on the in-license from M.D. Anderson for the development and commercialization of amsoki-cel, but we are not materially dependent on the license from M.D. Anderson for our continued development and commercialization efforts for amsoki-cel. We do not believe the termination of the M.D. Anderson License Agreement would materially delay our currently planned development timelines for amsoki-cel. In addition, we believe we would otherwise mitigate any immaterial impact of such a termination. For additional information about the M.D. Anderson License Agreement, please see the sections titled “</w:t>
      </w:r>
      <w:r>
        <w:rPr>
          <w:rFonts w:ascii="Times New Roman" w:hAnsi="Times New Roman"/>
          <w:i/>
          <w:sz w:val="20"/>
        </w:rPr>
        <w:t>Rest of the World Government Regulation-M.D. Anderson License Agreement</w:t>
      </w:r>
      <w:r>
        <w:rPr>
          <w:rFonts w:ascii="Times New Roman" w:hAnsi="Times New Roman"/>
          <w:sz w:val="20"/>
        </w:rPr>
        <w:t>”</w:t>
      </w:r>
      <w:r>
        <w:rPr>
          <w:rFonts w:ascii="Times New Roman" w:hAnsi="Times New Roman"/>
          <w:i/>
          <w:sz w:val="20"/>
        </w:rPr>
        <w:t xml:space="preserve">, </w:t>
      </w:r>
      <w:r>
        <w:rPr>
          <w:rFonts w:ascii="Times New Roman" w:hAnsi="Times New Roman"/>
          <w:sz w:val="20"/>
        </w:rPr>
        <w:t>“</w:t>
      </w:r>
      <w:r>
        <w:rPr>
          <w:rFonts w:ascii="Times New Roman" w:hAnsi="Times New Roman"/>
          <w:i/>
          <w:sz w:val="20"/>
        </w:rPr>
        <w:t>Management’s Discussion and Analysis of Financial Condition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and Results of Operations of</w:t>
      </w:r>
      <w:r>
        <w:rPr>
          <w:rFonts w:ascii="Times New Roman" w:hAnsi="Times New Roman"/>
          <w:sz w:val="20"/>
        </w:rPr>
        <w:t xml:space="preserve"> </w:t>
      </w:r>
      <w:r>
        <w:rPr>
          <w:rFonts w:ascii="Times New Roman" w:hAnsi="Times New Roman"/>
          <w:i/>
          <w:sz w:val="20"/>
        </w:rPr>
        <w:t>Obsidian-License and Collaboration Agreements-Collaboration and License Agreement with University of</w:t>
      </w:r>
      <w:r>
        <w:rPr>
          <w:rFonts w:ascii="Times New Roman" w:hAnsi="Times New Roman"/>
          <w:sz w:val="20"/>
        </w:rPr>
        <w:t xml:space="preserve"> </w:t>
      </w:r>
      <w:r>
        <w:rPr>
          <w:rFonts w:ascii="Times New Roman" w:hAnsi="Times New Roman"/>
          <w:i/>
          <w:sz w:val="20"/>
        </w:rPr>
        <w:t>Texas M.D. Anderson Cancer Center</w:t>
      </w:r>
      <w:r>
        <w:rPr>
          <w:rFonts w:ascii="Times New Roman" w:hAnsi="Times New Roman"/>
          <w:sz w:val="20"/>
        </w:rPr>
        <w:t xml:space="preserve">” and Notes 9 and 10 to the Consolidated Financial Statements of Obsidian. </w:t>
      </w:r>
    </w:p>
    <w:p>
      <w:pPr>
        <w:pStyle w:val="TextBody"/>
        <w:bidi w:val="0"/>
        <w:spacing w:before="240" w:after="0"/>
        <w:jc w:val="left"/>
        <w:rPr>
          <w:rFonts w:ascii="Times New Roman" w:hAnsi="Times New Roman"/>
          <w:sz w:val="20"/>
        </w:rPr>
      </w:pPr>
      <w:r>
        <w:rPr>
          <w:rFonts w:ascii="Times New Roman" w:hAnsi="Times New Roman"/>
          <w:sz w:val="20"/>
        </w:rPr>
        <w:t xml:space="preserve">In the future, there may be the need to engage in litigation to enforce patents issued or licensed to us, to protect our trade secrets or know-how or to defend against claims of infringement of the rights of others. Litigation is costly and could divert our attention and resources from other business functions and responsibilities. Furthermore, even if we were to prevail and our patents were found to be valid and infringed, a court could refuse to grant injunctive relief against the infringer and instead grant us monetary damages and/or ongoing royalties. Such compensation could be insufficient to adequately offset the damages to our business caused by the infringer’s competition in the market. Furthermore, adverse determinations in litigation could subject us to significant liabilities to third parties, could require us to seek licenses and/or pay significant royalties to such third parties and could also prevent us from manufacturing, selling or using our product, platform, or technologies, any of which could severely harm our business. </w:t>
      </w:r>
    </w:p>
    <w:p>
      <w:pPr>
        <w:pStyle w:val="TextBody"/>
        <w:bidi w:val="0"/>
        <w:spacing w:before="240" w:after="0"/>
        <w:jc w:val="left"/>
        <w:rPr>
          <w:rFonts w:ascii="Times New Roman" w:hAnsi="Times New Roman"/>
          <w:sz w:val="20"/>
        </w:rPr>
      </w:pPr>
      <w:r>
        <w:rPr>
          <w:rFonts w:ascii="Times New Roman" w:hAnsi="Times New Roman"/>
          <w:sz w:val="20"/>
        </w:rPr>
        <w:t xml:space="preserve">Although we rely on intellectual property rights as well as contractual protections to establish and protect our proprietary rights, we believe that factors such as the technological and creative skills of our personnel, the discovery of new solutions, features and functionality, and ongoing enhancements to our platform are also essential to establishing and maintaining our competitive and technological advantage. </w:t>
      </w:r>
    </w:p>
    <w:p>
      <w:pPr>
        <w:pStyle w:val="TextBody"/>
        <w:bidi w:val="0"/>
        <w:spacing w:before="240" w:after="0"/>
        <w:jc w:val="left"/>
        <w:rPr>
          <w:rFonts w:ascii="Times New Roman" w:hAnsi="Times New Roman"/>
          <w:sz w:val="20"/>
        </w:rPr>
      </w:pPr>
      <w:r>
        <w:rPr>
          <w:rFonts w:ascii="Times New Roman" w:hAnsi="Times New Roman"/>
          <w:sz w:val="20"/>
        </w:rPr>
        <w:t xml:space="preserve">We control the access to and use of our proprietary platforms, technologies, and other confidential information through the use of internal and external controls, including contractual protections with employees, contractors and partners. Our employees, consultants and other third parties are required to enter into confidentiality and proprietary rights agreements with us and we control and monitor access to our proprietary technology, documentation, and other confidential information. We require all employees and independent contractors to sign agreements assigning to us any inventions, trade secrets, works of authorship, developments, processes and other intellectual property generated by them on our behalf and under which they agree to protect our confidential information. In addition, as needed, we enter into confidentiality agreements with our partners. </w:t>
      </w:r>
    </w:p>
    <w:p>
      <w:pPr>
        <w:pStyle w:val="TextBody"/>
        <w:bidi w:val="0"/>
        <w:spacing w:before="360" w:after="0"/>
        <w:jc w:val="left"/>
        <w:rPr>
          <w:rFonts w:ascii="Times New Roman" w:hAnsi="Times New Roman"/>
          <w:b/>
          <w:sz w:val="20"/>
        </w:rPr>
      </w:pPr>
      <w:r>
        <w:rPr>
          <w:rFonts w:ascii="Times New Roman" w:hAnsi="Times New Roman"/>
          <w:b/>
          <w:sz w:val="20"/>
        </w:rPr>
        <w:t xml:space="preserve">Government Regulation and Product Approval </w:t>
      </w:r>
    </w:p>
    <w:p>
      <w:pPr>
        <w:pStyle w:val="TextBody"/>
        <w:bidi w:val="0"/>
        <w:spacing w:before="120" w:after="0"/>
        <w:jc w:val="left"/>
        <w:rPr>
          <w:rFonts w:ascii="Times New Roman" w:hAnsi="Times New Roman"/>
          <w:sz w:val="20"/>
        </w:rPr>
      </w:pPr>
      <w:r>
        <w:rPr>
          <w:rFonts w:ascii="Times New Roman" w:hAnsi="Times New Roman"/>
          <w:sz w:val="20"/>
        </w:rPr>
        <w:t xml:space="preserve">Government authorities in the United States (at the federal, state and local level) and in other countries extensively regulate, among other things, the research, development, testing, manufacturing, quality control, safety, effectiveness, approval, labeling, packaging, storage, record-keeping, promotion, advertising, distribution, post-approval monitoring and reporting, marketing and export and import of biopharmaceutical products such as those we are developing. </w:t>
      </w:r>
    </w:p>
    <w:p>
      <w:pPr>
        <w:pStyle w:val="TextBody"/>
        <w:bidi w:val="0"/>
        <w:spacing w:before="240" w:after="0"/>
        <w:jc w:val="left"/>
        <w:rPr>
          <w:rFonts w:ascii="Times New Roman" w:hAnsi="Times New Roman"/>
          <w:sz w:val="20"/>
        </w:rPr>
      </w:pPr>
      <w:r>
        <w:rPr>
          <w:rFonts w:ascii="Times New Roman" w:hAnsi="Times New Roman"/>
          <w:sz w:val="20"/>
        </w:rPr>
        <w:t xml:space="preserve">Our product candidates must be approved by the FDA before they may be legally marketed in the United States and by the appropriate foreign regulatory authority before they may be legally marketed in foreign countries. Generally, our activities in other countries will be subject to regulation that is similar in nature and scope as that imposed in the United States, although there can be important differences. Additionally, some significant aspects of regulation in the European Union are addressed in a centralized way, but country-specific regulation remains essential in many respects. The process for obtaining regulatory approvals and the subsequent compliance with federal, state, local and foreign statutes and regulations require the expenditure of substantial time and financial resources. </w:t>
      </w:r>
    </w:p>
    <w:p>
      <w:pPr>
        <w:pStyle w:val="TextBody"/>
        <w:bidi w:val="0"/>
        <w:spacing w:before="360" w:after="0"/>
        <w:jc w:val="left"/>
        <w:rPr>
          <w:rFonts w:ascii="Times New Roman" w:hAnsi="Times New Roman"/>
          <w:b/>
          <w:sz w:val="20"/>
        </w:rPr>
      </w:pPr>
      <w:r>
        <w:rPr>
          <w:rFonts w:ascii="Times New Roman" w:hAnsi="Times New Roman"/>
          <w:b/>
          <w:sz w:val="20"/>
        </w:rPr>
        <w:t xml:space="preserve">U.S. Product Development Process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the FDA regulates biological products, or biologics, under the Federal Food, Drug and Cosmetic Act, or FDCA, the Public Health Service Act, or PHSA, and their implementing regulations. The process required by the FDA before a biological product may be marketed in the United States generally involves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completion of nonclinical laboratory tests and animal studies according to good laboratory practices, requirements, or GLPs, and applicable requirements for the humane use of laboratory animals or other applicable regulations;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submission to the FDA of an Investigational New Drug application, or IND, which must become effective before human clinical trials may begin; </w:t>
            </w:r>
          </w:p>
        </w:tc>
      </w:tr>
    </w:tbl>
    <w:p>
      <w:pPr>
        <w:pStyle w:val="TextBody"/>
        <w:bidi w:val="0"/>
        <w:spacing w:before="0" w:after="0"/>
        <w:jc w:val="left"/>
        <w:rPr/>
      </w:pPr>
      <w:r>
        <w:rPr/>
        <w:t> </w:t>
      </w:r>
    </w:p>
    <w:tbl>
      <w:tblPr>
        <w:tblW w:w="9265" w:type="dxa"/>
        <w:jc w:val="left"/>
        <w:tblInd w:w="0" w:type="dxa"/>
        <w:tblLayout w:type="fixed"/>
        <w:tblCellMar>
          <w:top w:w="0" w:type="dxa"/>
          <w:left w:w="0" w:type="dxa"/>
          <w:bottom w:w="0" w:type="dxa"/>
          <w:right w:w="0" w:type="dxa"/>
        </w:tblCellMar>
      </w:tblPr>
      <w:tblGrid>
        <w:gridCol w:w="75"/>
        <w:gridCol w:w="110"/>
        <w:gridCol w:w="60"/>
        <w:gridCol w:w="9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approval by an independent Institutional Review Board or ethics committee before a clinical trial commences;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performance of adequate and well-controlled human clinical trials according to the FDA’s regulations as well as international standards for good clinical practice, or GCP, and any additional requirements for the protection of human research patients and their health information, to establish the safety, purity and potency of the proposed biological product for its intended use;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submission to the FDA of a biologics license application, or BLA, seeking marketing approval with such application providing substantial evidence of safety, purity, and potency from results of nonclinical testing and clinical trials; </w:t>
            </w:r>
          </w:p>
        </w:tc>
      </w:tr>
    </w:tbl>
    <w:p>
      <w:pPr>
        <w:pStyle w:val="TextBody"/>
        <w:bidi w:val="0"/>
        <w:spacing w:before="0" w:after="0"/>
        <w:jc w:val="left"/>
        <w:rPr/>
      </w:pPr>
      <w:r>
        <w:rPr/>
        <w:t> </w:t>
      </w:r>
    </w:p>
    <w:tbl>
      <w:tblPr>
        <w:tblW w:w="8365" w:type="dxa"/>
        <w:jc w:val="left"/>
        <w:tblInd w:w="0" w:type="dxa"/>
        <w:tblLayout w:type="fixed"/>
        <w:tblCellMar>
          <w:top w:w="0" w:type="dxa"/>
          <w:left w:w="0" w:type="dxa"/>
          <w:bottom w:w="0" w:type="dxa"/>
          <w:right w:w="0" w:type="dxa"/>
        </w:tblCellMar>
      </w:tblPr>
      <w:tblGrid>
        <w:gridCol w:w="75"/>
        <w:gridCol w:w="110"/>
        <w:gridCol w:w="60"/>
        <w:gridCol w:w="8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determination by the FDA within 60 days of its receipt of a BLA to file the application for review; </w:t>
            </w:r>
          </w:p>
        </w:tc>
      </w:tr>
    </w:tbl>
    <w:p>
      <w:pPr>
        <w:pStyle w:val="TextBody"/>
        <w:bidi w:val="0"/>
        <w:spacing w:before="0" w:after="0"/>
        <w:jc w:val="left"/>
        <w:rPr/>
      </w:pPr>
      <w:r>
        <w:rPr/>
        <w:t> </w:t>
      </w:r>
    </w:p>
    <w:tbl>
      <w:tblPr>
        <w:tblW w:w="6595" w:type="dxa"/>
        <w:jc w:val="left"/>
        <w:tblInd w:w="0" w:type="dxa"/>
        <w:tblLayout w:type="fixed"/>
        <w:tblCellMar>
          <w:top w:w="0" w:type="dxa"/>
          <w:left w:w="0" w:type="dxa"/>
          <w:bottom w:w="0" w:type="dxa"/>
          <w:right w:w="0" w:type="dxa"/>
        </w:tblCellMar>
      </w:tblPr>
      <w:tblGrid>
        <w:gridCol w:w="75"/>
        <w:gridCol w:w="110"/>
        <w:gridCol w:w="60"/>
        <w:gridCol w:w="63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an FDA Advisory Committee review, if applicable;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an FDA inspection of the manufacturing facility or facilities where the biological product is produced to assess compliance with current good manufacturing practice regulations, or cGMPs, and, if applicable, cGTPs,to assure that the facilities, methods and controls are adequate to preserve the biological product’s identity, strength, quality and purity;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potential FDA audit of the nonclinical study and clinical trial sites that generated the data in support of the BLA to confirm compliance with GCPs and data integrity, among other things; and </w:t>
            </w:r>
          </w:p>
        </w:tc>
      </w:tr>
    </w:tbl>
    <w:p>
      <w:pPr>
        <w:pStyle w:val="TextBody"/>
        <w:bidi w:val="0"/>
        <w:spacing w:before="0" w:after="0"/>
        <w:jc w:val="left"/>
        <w:rPr/>
      </w:pPr>
      <w:r>
        <w:rPr/>
        <w:t> </w:t>
      </w:r>
    </w:p>
    <w:tbl>
      <w:tblPr>
        <w:tblW w:w="4465" w:type="dxa"/>
        <w:jc w:val="left"/>
        <w:tblInd w:w="0" w:type="dxa"/>
        <w:tblLayout w:type="fixed"/>
        <w:tblCellMar>
          <w:top w:w="0" w:type="dxa"/>
          <w:left w:w="0" w:type="dxa"/>
          <w:bottom w:w="0" w:type="dxa"/>
          <w:right w:w="0" w:type="dxa"/>
        </w:tblCellMar>
      </w:tblPr>
      <w:tblGrid>
        <w:gridCol w:w="75"/>
        <w:gridCol w:w="110"/>
        <w:gridCol w:w="60"/>
        <w:gridCol w:w="42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FDA review and approval, or licensure, of the BLA.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Before testing any biological product candidate, including our product candidates, in humans, the product candidate enters the preclinical testing stage. Preclinical tests, also referred to as nonclinical studies, include laboratory evaluations of product chemistry, toxicity and formulation, as well as animal studies to assess the potential safety and activity of the product candidate. The conduct of the preclinical tests must comply with federal regulations and requirements including GLPs. </w:t>
      </w:r>
    </w:p>
    <w:p>
      <w:pPr>
        <w:pStyle w:val="TextBody"/>
        <w:bidi w:val="0"/>
        <w:spacing w:before="240" w:after="0"/>
        <w:jc w:val="left"/>
        <w:rPr>
          <w:rFonts w:ascii="Times New Roman" w:hAnsi="Times New Roman"/>
          <w:sz w:val="20"/>
        </w:rPr>
      </w:pPr>
      <w:r>
        <w:rPr>
          <w:rFonts w:ascii="Times New Roman" w:hAnsi="Times New Roman"/>
          <w:sz w:val="20"/>
        </w:rPr>
        <w:t xml:space="preserve">The clinical trial sponsor must submit the results of the preclinical tests, together with manufacturing information, analytical data, any available clinical data or literature and a proposed clinical protocol, to the FDA as part of the IND. Some nonclinical testing may continue even after the IND is submitted and clinical trials are initiated. An IND is an exemption that allows a biological product candidate to be shipped in interstate commerce for use in an investigational clinical trial and a request for FDA authorization to administer a biological product candidate to humans. An IND must become effective before human clinical trials may begin. The IND automatically becomes effective 30 days after receipt by the FDA, unless the FDA raises safety concerns or questions regarding the proposed clinical trials and places the trial on a clinical hold within that 30-day time period. In such a case, the IND sponsor and the FDA must resolve any outstanding concerns before the clinical trial can begin. The FDA may also impose clinical holds on a biological product candidate’s IND at any time before or during clinical trials due to safety concerns or non-compliance. If the FDA imposes a clinical hold, trials may not recommence without FDA authorization and then only under terms authorized by the FDA.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submission of an IND to the FDA before initiation of a clinical trial in the United States, certain human clinical trials involving recombinant or synthetic nucleic acid molecules are subject to oversight at the local level as set forth in the National Institutes of Health Guidelines for Research Involving Recombinant or Synthetic Nucleic Acid Molecules, or NIH Guidelines. Under the NIH Guidelines, recombinant and synthetic nucleic acids are defined as: (i) molecules that are constructed by joining nucleic acid molecules and that can replicate in a living cell (i.e., recombinant nucleic acids); (ii) nucleic acid molecules that are chemically or by other means synthesized or amplified, including those that are chemically or otherwise modified but can base pair with naturally occurring nucleic acid molecules (i.e., synthetic nucleic acids); or (iii) molecules that result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from the replication of those described in (i) or (ii). Specifically, under the NIH Guidelines, supervision of human gene transfer trials includes evaluation and assessment by an Institutional Biosafety Committee, or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companies and other institutions not otherwise subject to the NIH Guidelines may voluntarily follow them. </w:t>
      </w:r>
    </w:p>
    <w:p>
      <w:pPr>
        <w:pStyle w:val="TextBody"/>
        <w:bidi w:val="0"/>
        <w:spacing w:before="240" w:after="0"/>
        <w:jc w:val="left"/>
        <w:rPr>
          <w:rFonts w:ascii="Times New Roman" w:hAnsi="Times New Roman"/>
          <w:sz w:val="20"/>
        </w:rPr>
      </w:pPr>
      <w:r>
        <w:rPr>
          <w:rFonts w:ascii="Times New Roman" w:hAnsi="Times New Roman"/>
          <w:sz w:val="20"/>
        </w:rPr>
        <w:t xml:space="preserve">Clinical trials involve the administration of the biological product candidate to subjects under the supervision of qualified investigators, generally physicians not employed by or under the trial sponsor’s control.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subjects provide informed consent. Further, each clinical trial must be reviewed and approved by an independent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w:t>
      </w:r>
    </w:p>
    <w:p>
      <w:pPr>
        <w:pStyle w:val="TextBody"/>
        <w:bidi w:val="0"/>
        <w:spacing w:before="240" w:after="0"/>
        <w:jc w:val="left"/>
        <w:rPr>
          <w:rFonts w:ascii="Times New Roman" w:hAnsi="Times New Roman"/>
          <w:sz w:val="20"/>
        </w:rPr>
      </w:pPr>
      <w:r>
        <w:rPr>
          <w:rFonts w:ascii="Times New Roman" w:hAnsi="Times New Roman"/>
          <w:sz w:val="20"/>
        </w:rPr>
        <w:t xml:space="preserve">Information about certain clinical trials must be submitted within specific timeframes to the National Institutes of Health, or NIH, for public dissemination on their </w:t>
      </w:r>
      <w:r>
        <w:rPr>
          <w:rFonts w:ascii="Times New Roman" w:hAnsi="Times New Roman"/>
          <w:i/>
          <w:sz w:val="20"/>
        </w:rPr>
        <w:t>www.clinicaltrials.gov</w:t>
      </w:r>
      <w:r>
        <w:rPr>
          <w:rFonts w:ascii="Times New Roman" w:hAnsi="Times New Roman"/>
          <w:sz w:val="20"/>
        </w:rPr>
        <w:t xml:space="preserve"> website. Information related to the product, patient population, phase of investigation, study sites and investigators and other aspects of the clinical trial is made public as part of the registration of the clinical trial. Although sponsors are obligated to disclose the results of their clinical trials after completion, disclosure of the results can be delayed in some cases for some time. Failure to timely register a covered clinical study or to submit study results as provided for in the law can give rise to civil monetary penalties and also prevent the non-compliant party from receiving future grant funds from the federal government. Manufacturers or distributors of biological product candidates being developed for the diagnosis, monitoring, or treatment of one or more serious diseases or conditions must also have a publicly available policy on evaluating and responding to expanded access requests. </w:t>
      </w:r>
    </w:p>
    <w:p>
      <w:pPr>
        <w:pStyle w:val="TextBody"/>
        <w:bidi w:val="0"/>
        <w:spacing w:before="240" w:after="0"/>
        <w:jc w:val="left"/>
        <w:rPr>
          <w:rFonts w:ascii="Times New Roman" w:hAnsi="Times New Roman"/>
          <w:sz w:val="20"/>
        </w:rPr>
      </w:pPr>
      <w:r>
        <w:rPr>
          <w:rFonts w:ascii="Times New Roman" w:hAnsi="Times New Roman"/>
          <w:sz w:val="20"/>
        </w:rPr>
        <w:t xml:space="preserve">Human clinical trials are typically conducted in three sequential phases that may overlap or be combined: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Phase 1. The biological product candidate is initially introduced into healthy human subjects or patients with the target disease or condition and tested for safety. These studies are designed to test the safety, dosage tolerance, absorption, metabolism, and distribution of the biological product candidate in humans, the side effects associated with increasing doses, and, if possible, to gain early evidence on effectiveness.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Phase 2. The biological product candidate is evaluated in a limited patient population with a specified disease or condition to identify possible adverse effects and safety risks, to preliminarily evaluate the efficacy of the product for the specific targeted diseases or condition and to determine dosage tolerance, optimal dosage and dosing schedule. Multiple Phase 2 clinical trials may be conducted to obtain information prior to beginning larger and more expensive Phase 3 clinical trials.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Phase 3. Clinical trials are undertaken to further evaluate dosage, clinical efficacy, potency, and safety in an expanded patient population, generally at geographically dispersed clinical trial sites, and to generate enough data to statistically evaluate the efficacy and safety of the biological product candidate for approval. These clinical trials are intended to establish the overall risk to benefit ratio of the product and provide an adequate basis for product approval.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 </w:t>
      </w:r>
    </w:p>
    <w:p>
      <w:pPr>
        <w:pStyle w:val="TextBody"/>
        <w:bidi w:val="0"/>
        <w:spacing w:before="240" w:after="0"/>
        <w:jc w:val="left"/>
        <w:rPr>
          <w:rFonts w:ascii="Times New Roman" w:hAnsi="Times New Roman"/>
          <w:sz w:val="20"/>
        </w:rPr>
      </w:pPr>
      <w:r>
        <w:rPr>
          <w:rFonts w:ascii="Times New Roman" w:hAnsi="Times New Roman"/>
          <w:sz w:val="20"/>
        </w:rPr>
        <w:t xml:space="preserve">During all phases of clinical development, regulatory authorities require extensive monitoring and auditing of all clinical activities, clinical data, and clinical trial investigators. Annual progress reports detailing the results of the clinical trials and other developments related to the IND must be submitted to the FDA. Written IND safety reports must be promptly submitted to the FDA, and the trial’s investigators for serious and unexpected adverse events, findings from other studies suggesting a significant risk to humans exposed to the same or similar product, findings from, animal or in vitro testing suggesting a significant risk to humans, and any clinically important increased incidence of a serious suspected adverse reaction over that listed in the clinical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7 calendar days after the sponsor’s initial receipt of the information.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during the development of a new biological product, sponsors are given opportunities to meet with the FDA at certain points, including prior to submission of an IND, at the end of Phase 2, and before a BLA is submitted. Meetings at other times may be requested. These meetings can provide an opportunity for the sponsor to share information about the data gathered to date, for the FDA to provide advice, and for the sponsor and the FDA to reach alignment on the next phase of development. Sponsors typically use the meetings at the end of the Phase 2 trial to discuss Phase 2 clinical results and present plans for the pivotal Phase 3 clinical trials that they believe will support approval of the product candidate.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clinical trials, companies usually complete additional studies and must also develop additional information about the physical characteristics of the biological product as well as finalize a process for manufacturing the product in commercial quantities in accordance with cGMP requirements, and cGTP requirements, as applicable. To help reduce the risk of the introduction of adventitious agents with use of biological products, the PHSA emphasizes the importance of manufacturing control for products whose attributes cannot be precisely defined. The manufacturing process must be capable of consistently producing quality batches of the biological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 </w:t>
      </w:r>
    </w:p>
    <w:p>
      <w:pPr>
        <w:pStyle w:val="TextBody"/>
        <w:bidi w:val="0"/>
        <w:spacing w:before="360" w:after="0"/>
        <w:jc w:val="left"/>
        <w:rPr>
          <w:rFonts w:ascii="Times New Roman" w:hAnsi="Times New Roman"/>
          <w:b/>
          <w:sz w:val="20"/>
        </w:rPr>
      </w:pPr>
      <w:r>
        <w:rPr>
          <w:rFonts w:ascii="Times New Roman" w:hAnsi="Times New Roman"/>
          <w:b/>
          <w:sz w:val="20"/>
        </w:rPr>
        <w:t xml:space="preserve">U.S. Review and Approval Processes </w:t>
      </w:r>
    </w:p>
    <w:p>
      <w:pPr>
        <w:pStyle w:val="TextBody"/>
        <w:bidi w:val="0"/>
        <w:spacing w:before="120" w:after="0"/>
        <w:jc w:val="left"/>
        <w:rPr>
          <w:rFonts w:ascii="Times New Roman" w:hAnsi="Times New Roman"/>
          <w:sz w:val="20"/>
        </w:rPr>
      </w:pPr>
      <w:r>
        <w:rPr>
          <w:rFonts w:ascii="Times New Roman" w:hAnsi="Times New Roman"/>
          <w:sz w:val="20"/>
        </w:rPr>
        <w:t xml:space="preserve">After the completion of clinical trials, all required testing of a biological product candidate in accordance with all applicable regulatory requirements, the results of product development, nonclinical studies, and clinical trials are submitted to the FDA as part of a BLA requesting approval to market the biological product candidate for one or more indications. FDA approval of a BLA must be obtained before commercial marketing of the biological product begins. The BLA must include results of all relevant data available from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the use of the product candidate, or from a number of alternative sources, including studies initiated by independent investigators.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Prescription Drug User Fee Act, or PDUFA, each BLA must be accompanied by a significant user fee. The FDA adjusts the PDUFA user fees on an annual basis. PDUFA also imposes an annual program fee for approved and marketed biological products. Fee waivers or reductions are available in certain circumstances, including a waiver of the application fee for the first application filed by a small business. Additionally, no user fees are assessed on BLAs for products designated as orphan drugs, unless the product also includes a non-orphan indication. </w:t>
      </w:r>
    </w:p>
    <w:p>
      <w:pPr>
        <w:pStyle w:val="TextBody"/>
        <w:bidi w:val="0"/>
        <w:spacing w:before="240" w:after="0"/>
        <w:jc w:val="left"/>
        <w:rPr>
          <w:rFonts w:ascii="Times New Roman" w:hAnsi="Times New Roman"/>
          <w:sz w:val="20"/>
        </w:rPr>
      </w:pPr>
      <w:r>
        <w:rPr>
          <w:rFonts w:ascii="Times New Roman" w:hAnsi="Times New Roman"/>
          <w:sz w:val="20"/>
        </w:rPr>
        <w:t xml:space="preserve">Within 60 days following submission of the application, the FDA reviews a submitted BLA to determine if it is substantially complete before the FDA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If the submission is accepted for filing and substantive review, the FDA’s goal is to review standard applications within ten months after the filing date, or, if the application qualifies for priority review, six months after the filing date. In both standard and priority reviews, the review process may also be extended, such as by the sponsor’s submission of a major amendment, which extends the goal date by three months. </w:t>
      </w:r>
    </w:p>
    <w:p>
      <w:pPr>
        <w:pStyle w:val="TextBody"/>
        <w:bidi w:val="0"/>
        <w:spacing w:before="240" w:after="0"/>
        <w:jc w:val="left"/>
        <w:rPr>
          <w:rFonts w:ascii="Times New Roman" w:hAnsi="Times New Roman"/>
          <w:sz w:val="20"/>
        </w:rPr>
      </w:pPr>
      <w:r>
        <w:rPr>
          <w:rFonts w:ascii="Times New Roman" w:hAnsi="Times New Roman"/>
          <w:sz w:val="20"/>
        </w:rPr>
        <w:t xml:space="preserve">The FDA reviews the BLA to determine, among other things, whether the proposed product is safe, pure and potent for the proposed indication, and the facility in which it is manufactured, processed, packed or held meets standards designed to assure and preserve the product’s identity, safety, strength, quality, potency and purity.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w:t>
      </w:r>
    </w:p>
    <w:p>
      <w:pPr>
        <w:pStyle w:val="TextBody"/>
        <w:bidi w:val="0"/>
        <w:spacing w:before="240" w:after="0"/>
        <w:jc w:val="left"/>
        <w:rPr>
          <w:rFonts w:ascii="Times New Roman" w:hAnsi="Times New Roman"/>
          <w:sz w:val="20"/>
        </w:rPr>
      </w:pPr>
      <w:r>
        <w:rPr>
          <w:rFonts w:ascii="Times New Roman" w:hAnsi="Times New Roman"/>
          <w:sz w:val="20"/>
        </w:rPr>
        <w:t xml:space="preserve">Before approving a BLA, the FDA will generally inspect the facilities at which the product is manufactured. The FDA will not approve the product unless it determines that the manufacturing processes and facilities are in compliance with cGMP requirements, and cGTPs, as applicable, and adequate to assure consistent production of the product within required specifications. Additionally, before approving a BLA, the FDA will typically inspect one or more clinical sites to assure that the clinical trials were conducted in compliance with IND requirements and GCP requirements. To assure cGMP and GCP compliance, an applicant must incur significant expenditure of time, money and effort in the areas of training, record keeping, production, and quality control.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submission of relevant data and information, the FDA may ultimately decide that the BLA does not satisfy its regulatory criteria for approval and deny approval. If the FDA decides not to approve the BLA in its present form, the FDA will issue a complete response letter that describes all of the specific deficiencies in the BLA identified by the FDA. Should the FDA determine that the data supporting the application are inadequate to support approval, the FDA may issue the complete response letter without first conducting required inspections, testing submitted product lots, or reviewing proposed labeling.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 Even if additional data and information are submitted following receipt of a complete response letter, the FDA may decide that the BLA does not satisfy the criteria for approval. In September 2025, the FDA began publishing complete response letters soon after issuing them to the respective sponsors, breaking with long standing agency tradition of publishing complete response letters with approval documentation after the product is approved. </w:t>
      </w:r>
    </w:p>
    <w:p>
      <w:pPr>
        <w:pStyle w:val="TextBody"/>
        <w:bidi w:val="0"/>
        <w:spacing w:before="240" w:after="0"/>
        <w:jc w:val="left"/>
        <w:rPr>
          <w:rFonts w:ascii="Times New Roman" w:hAnsi="Times New Roman"/>
          <w:sz w:val="20"/>
        </w:rPr>
      </w:pPr>
      <w:r>
        <w:rPr>
          <w:rFonts w:ascii="Times New Roman" w:hAnsi="Times New Roman"/>
          <w:sz w:val="20"/>
        </w:rPr>
        <w:t xml:space="preserve">When the FDA determines the sponsor’s BLA and the biological product candidate meet the standards for approval, it will issue an approval, or licensure, letter. If a product receives regulatory approval, the approval may be limited to specific diseases and dosages or the indications for use may otherwise be limited, which could restrict the commercial value of the product. For example, the FDA may approve the BLA with a Risk Evaluation and Mitigation Strategy, or REMS, to ensure the benefits of the product outweigh its risks. A REMS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 a safety strategy to manage a known or potential serious risk associated with a biological product and to enable patients to have continued access by managing their safe use, and could include medication guides, physician communication plans, or elements to assure safe use, such as restricted distribution methods, patient registries and other risk minimization tools. Further, the FDA may require that certain contraindications, warnings or precautions be included in the product labeling. In addition, the FDA may require post marketing clinical trials, sometimes referred to as Phase 4 clinical trials, designed to further assess a biological product’s safety and effectiveness, and testing and surveillance programs to monitor the safety of approved products that have been commercialized, and may further limit marketing of the product based on the results of these post-marketing studies.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the Pediatric Research Equity Act, or PREA, a BLA or supplement to a BLA must contain data to assess the safety and effectiveness of the product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product for an indication for which orphan designation has been granted. However, if only one indication for a product has orphan designation, a pediatric assessment may still be required for any applications to market that same product for the non-orphan indication(s). </w:t>
      </w:r>
    </w:p>
    <w:p>
      <w:pPr>
        <w:pStyle w:val="TextBody"/>
        <w:bidi w:val="0"/>
        <w:spacing w:before="360" w:after="0"/>
        <w:jc w:val="left"/>
        <w:rPr>
          <w:rFonts w:ascii="Times New Roman" w:hAnsi="Times New Roman"/>
          <w:b/>
          <w:sz w:val="20"/>
        </w:rPr>
      </w:pPr>
      <w:r>
        <w:rPr>
          <w:rFonts w:ascii="Times New Roman" w:hAnsi="Times New Roman"/>
          <w:b/>
          <w:sz w:val="20"/>
        </w:rPr>
        <w:t xml:space="preserve">Orphan Drug Designation and Exclusivity </w:t>
      </w:r>
    </w:p>
    <w:p>
      <w:pPr>
        <w:pStyle w:val="TextBody"/>
        <w:bidi w:val="0"/>
        <w:spacing w:before="120" w:after="0"/>
        <w:jc w:val="left"/>
        <w:rPr>
          <w:rFonts w:ascii="Times New Roman" w:hAnsi="Times New Roman"/>
          <w:sz w:val="20"/>
        </w:rPr>
      </w:pPr>
      <w:r>
        <w:rPr>
          <w:rFonts w:ascii="Times New Roman" w:hAnsi="Times New Roman"/>
          <w:sz w:val="20"/>
        </w:rPr>
        <w:t xml:space="preserve">Under the Orphan Drug Act, the FDA may grant orphan designation to a drug or biological product candidate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 </w:t>
      </w:r>
    </w:p>
    <w:p>
      <w:pPr>
        <w:pStyle w:val="TextBody"/>
        <w:bidi w:val="0"/>
        <w:spacing w:before="240" w:after="0"/>
        <w:jc w:val="left"/>
        <w:rPr>
          <w:rFonts w:ascii="Times New Roman" w:hAnsi="Times New Roman"/>
          <w:sz w:val="20"/>
        </w:rPr>
      </w:pPr>
      <w:r>
        <w:rPr>
          <w:rFonts w:ascii="Times New Roman" w:hAnsi="Times New Roman"/>
          <w:sz w:val="20"/>
        </w:rPr>
        <w:t xml:space="preserve">If a product that has orphan drug designation subsequently receives the first FDA approval for the disease or condition for which it has such designation, the product is entitled to orphan product exclusivity, which means that the FDA may not approve any other applications, including a full BLA, to market the same biologic for the same approved use or indication for seven years, except in limited circumstances, such as a showing of clinical superiority to the product with orphan drug exclusivity, or where the original applicant cannot produce sufficient quantities of product. Orphan drug exclusivity does not prevent FDA from approving a different drug or biologic for the same approved use or indication, or the same drug or biologic for a different approved use or indication. Among the other benefits of orphan drug designation are tax credits for certain research and a waiver of the BLA application user fee. </w:t>
      </w:r>
    </w:p>
    <w:p>
      <w:pPr>
        <w:pStyle w:val="TextBody"/>
        <w:bidi w:val="0"/>
        <w:spacing w:before="240" w:after="0"/>
        <w:jc w:val="left"/>
        <w:rPr>
          <w:rFonts w:ascii="Times New Roman" w:hAnsi="Times New Roman"/>
          <w:sz w:val="20"/>
        </w:rPr>
      </w:pPr>
      <w:r>
        <w:rPr>
          <w:rFonts w:ascii="Times New Roman" w:hAnsi="Times New Roman"/>
          <w:sz w:val="20"/>
        </w:rPr>
        <w:t xml:space="preserve">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 </w:t>
      </w:r>
    </w:p>
    <w:p>
      <w:pPr>
        <w:pStyle w:val="TextBody"/>
        <w:bidi w:val="0"/>
        <w:spacing w:before="360" w:after="0"/>
        <w:jc w:val="left"/>
        <w:rPr>
          <w:rFonts w:ascii="Times New Roman" w:hAnsi="Times New Roman"/>
          <w:b/>
          <w:sz w:val="20"/>
        </w:rPr>
      </w:pPr>
      <w:r>
        <w:rPr>
          <w:rFonts w:ascii="Times New Roman" w:hAnsi="Times New Roman"/>
          <w:b/>
          <w:sz w:val="20"/>
        </w:rPr>
        <w:t xml:space="preserve">Expedited Development and Review Programs </w:t>
      </w:r>
    </w:p>
    <w:p>
      <w:pPr>
        <w:pStyle w:val="TextBody"/>
        <w:bidi w:val="0"/>
        <w:spacing w:before="120" w:after="0"/>
        <w:jc w:val="left"/>
        <w:rPr>
          <w:rFonts w:ascii="Times New Roman" w:hAnsi="Times New Roman"/>
          <w:sz w:val="20"/>
        </w:rPr>
      </w:pPr>
      <w:r>
        <w:rPr>
          <w:rFonts w:ascii="Times New Roman" w:hAnsi="Times New Roman"/>
          <w:sz w:val="20"/>
        </w:rPr>
        <w:t xml:space="preserve">The FDA has a fast track designation program that is intended to expedite or facilitate the process for reviewing new products that meet certain criteria. Specifically, new products are eligible for fast track designation if they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As part of the fast track program, the FDA may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 </w:t>
      </w:r>
    </w:p>
    <w:p>
      <w:pPr>
        <w:pStyle w:val="TextBody"/>
        <w:bidi w:val="0"/>
        <w:spacing w:before="240" w:after="0"/>
        <w:jc w:val="left"/>
        <w:rPr>
          <w:rFonts w:ascii="Times New Roman" w:hAnsi="Times New Roman"/>
          <w:sz w:val="20"/>
        </w:rPr>
      </w:pPr>
      <w:r>
        <w:rPr>
          <w:rFonts w:ascii="Times New Roman" w:hAnsi="Times New Roman"/>
          <w:sz w:val="20"/>
        </w:rPr>
        <w:t xml:space="preserve">Any product submitted to the FDA for approval, including a product with a fast track designation, may also be eligible for other types of FDA programs intended to expedite development and review, such as priority review and accelerated approval. A product is eligible for priority review if the biological product candidate is designed to treat a serious or life-threatening disease or condition, and if approved, would provide a significant improvement in safety or effectiveness compared to available alternatives for such disease or condition. The FDA will attempt to direct additional resources to the evaluation of an application for a new product designated for priority review in an effort to facilitate the review. For original BLAs, priority review designation means the FDA’s goal is to take action on the marketing application within six months of the 60-day filing date (as compared to ten months under standard review). </w:t>
      </w:r>
    </w:p>
    <w:p>
      <w:pPr>
        <w:pStyle w:val="TextBody"/>
        <w:bidi w:val="0"/>
        <w:spacing w:before="240" w:after="0"/>
        <w:jc w:val="left"/>
        <w:rPr>
          <w:rFonts w:ascii="Times New Roman" w:hAnsi="Times New Roman"/>
          <w:sz w:val="20"/>
        </w:rPr>
      </w:pPr>
      <w:r>
        <w:rPr>
          <w:rFonts w:ascii="Times New Roman" w:hAnsi="Times New Roman"/>
          <w:sz w:val="20"/>
        </w:rPr>
        <w:t xml:space="preserve">Additionally, a product may be eligible for accelerated approval. Products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biological product receiving accelerated approval perform adequate and well-controlled post-marketing clinical studies to verify and describe the anticipated effect on irreversible morbidity or mortality or other clinical benefit. Under the Food and Drug Omnibus Reform Act of 2022, the FDA may require, as appropriate, that such trials be underway prior to approval or within a specific time period after the date of approval for a product granted accelerated approval. In addition, for products being considered for accelerated approval, the FDA generally requires, unless otherwise informed by the FDA, that all advertising and promotional materials intended for dissemination or publication within 120 days of marketing approval be submitted to the FDA for review during the pre-approval review period. Further, under FDORA, the FDA must specify the conditions for any post-approval trials by the date of accelerated approval and the agency has flexibility in setting forth such conditions, which may include enrollment targets, clinical trial protocol and milestones–including the target date of trial completion.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following a request from the sponsor, the FDA may grant breakthrough therapy designation to a biological product candidate for its indication under study. Breakthrough therapy designation is intended to expedite the development and review of products that are intended to treat serious or life-threatening conditions and that preliminary clinical evidence demonstrates that the biological product candidate, alone or in combination with other drugs and biologics, shows substantial improvement over currently available therapy on one or more clinically significant endpoints, such as substantial treatment effects observed early in clinical development. The FDA must take certain actions, such as holding timely meetings and providing advice, intended to expedite the development and review of an application for approval of a breakthrough therapy. Breakthrough therapy designation comes with all of the benefits of fast track designation, which means that the </w:t>
      </w:r>
    </w:p>
    <w:p>
      <w:pPr>
        <w:pStyle w:val="TextBody"/>
        <w:bidi w:val="0"/>
        <w:spacing w:before="240" w:after="0"/>
        <w:jc w:val="left"/>
        <w:rPr>
          <w:rFonts w:ascii="Times New Roman" w:hAnsi="Times New Roman"/>
          <w:sz w:val="20"/>
        </w:rPr>
      </w:pPr>
      <w:r>
        <w:rPr>
          <w:rFonts w:ascii="Times New Roman" w:hAnsi="Times New Roman"/>
          <w:sz w:val="20"/>
        </w:rPr>
        <w:t xml:space="preserve">sponsor may file sections of the BLA for review on a rolling basis if certain conditions are satisfied, including an agreement with FDA on the proposed schedule for submission of portions of the application and the payment of applicable user fees before the FDA may initiate a review. The breakthrough therapy designation is a distinct status from both accelerated approval and priority review, though the same biological product candidate may be eligible for these other expedited pathways if relevant criteria are met.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FDA may also designate a product candidate as a regenerative medicine advanced therapy, or RMAT. The RMAT designation is intended to facilitate an efficient development program for, and expedited review of, any product candidate that meets the following criteria: (i) the product candidate qualifies as a RMAT, which is defined as a cell therapy, therapeutic tissue engineering product, human cell and tissue product, or any combination product using such therapies or products, with limited exceptions; (ii) the product candidate is intended to treat, modify, reverse, or cure a serious or life-threatening disease or condition; and (iii) preliminary clinical evidence indicates that the product candidate has the potential to address unmet medical needs for such a disease or condition. RMAT designation provides potential benefits that include more frequent meetings with FDA to discuss the development plan for the product candidate, and eligibility for rolling review and priority review of BLAs. Cell therapy candidates granted RMAT designation may also be eligible for accelerated approval on the basis of a surrogate or intermediate endpoint reasonably likely to predict long-term clinical benefit, or reliance upon data obtained from a meaningful number of sites, including through expansion to additional sites, as appropriate. RMAT-designated cell therapy candidates that receive accelerated approval may, as appropriate, fulfill their post-approval requirements through the completion of clinical studies, patient registries, or through submission of other sources of real world evidence (such as electronic health records), through the collection of larger confirmatory data sets, or via post-approval monitoring of all patients treated with such therapy prior to approval of the therapy. </w:t>
      </w:r>
    </w:p>
    <w:p>
      <w:pPr>
        <w:pStyle w:val="TextBody"/>
        <w:bidi w:val="0"/>
        <w:spacing w:before="240" w:after="0"/>
        <w:jc w:val="left"/>
        <w:rPr>
          <w:rFonts w:ascii="Times New Roman" w:hAnsi="Times New Roman"/>
          <w:sz w:val="20"/>
        </w:rPr>
      </w:pPr>
      <w:r>
        <w:rPr>
          <w:rFonts w:ascii="Times New Roman" w:hAnsi="Times New Roman"/>
          <w:sz w:val="20"/>
        </w:rPr>
        <w:t xml:space="preserve">In 2025, the FDA created a new voucher program called the Commissioner’s National Priority Voucher, or CNPV pilot program, with the goal of radically expediting therapeutic product review and approval processes. The agency may award a CNPV to a company or a specific biological product candidate that demonstrates alignment with certain national health priorities. The FDA aims to take action on a marketing application for which a CNPV is used within one to two months after the filing date. The FDA has further indicated that a CNPV can expire, and the voucher process must be commenced within two years following receipt from the FDA. </w:t>
      </w:r>
    </w:p>
    <w:p>
      <w:pPr>
        <w:pStyle w:val="TextBody"/>
        <w:bidi w:val="0"/>
        <w:spacing w:before="240" w:after="0"/>
        <w:jc w:val="left"/>
        <w:rPr>
          <w:rFonts w:ascii="Times New Roman" w:hAnsi="Times New Roman"/>
          <w:sz w:val="20"/>
        </w:rPr>
      </w:pPr>
      <w:r>
        <w:rPr>
          <w:rFonts w:ascii="Times New Roman" w:hAnsi="Times New Roman"/>
          <w:sz w:val="20"/>
        </w:rPr>
        <w:t xml:space="preserve">None of these programs changes the standards for approval but they may expedite the development or approval process. Even if a biological product candidate qualifies for one or more of these programs, the FDA may later decide that the product no longer meets the conditions for qualification or decide that the time period for FDA review or approval will not be shortened. </w:t>
      </w:r>
    </w:p>
    <w:p>
      <w:pPr>
        <w:pStyle w:val="TextBody"/>
        <w:bidi w:val="0"/>
        <w:spacing w:before="240" w:after="0"/>
        <w:jc w:val="left"/>
        <w:rPr>
          <w:rFonts w:ascii="Times New Roman" w:hAnsi="Times New Roman"/>
          <w:sz w:val="20"/>
        </w:rPr>
      </w:pPr>
      <w:r>
        <w:rPr>
          <w:rFonts w:ascii="Times New Roman" w:hAnsi="Times New Roman"/>
          <w:sz w:val="20"/>
        </w:rPr>
        <w:t xml:space="preserve">The FDA defines “rare pediatric disease” as a (i) serious or life-threatening disease in which the serious or life-threatening manifestations primarily affect individuals aged from birth to 18 years, including age groups often called neonates, infants, children, and adolescents; and (ii) a rare disease or condition within the meaning of the Orphan Drug Act. Designation of a biological product candidate as a product for a rare pediatric disease does not guarantee that a marketing application for such biological product candidate will meet the eligibility criteria for a rare pediatric disease priority review voucher, or PRV, at the time the application is approved. The FDA may determine that a marketing application for any such product candidates, if approved, does not meet the eligibility criteria for a PRV. Vouchers for rare pediatric disease drugs are awarded for qualifying applications when the drug receives approval. Under current law, after September 30, 2029, the FDA may not award any rare pediatric disease priority review vouchers, although the FDA’s authority to do so could be extended by Congress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Post-Approval Requirements </w:t>
      </w:r>
    </w:p>
    <w:p>
      <w:pPr>
        <w:pStyle w:val="TextBody"/>
        <w:bidi w:val="0"/>
        <w:spacing w:before="120" w:after="0"/>
        <w:jc w:val="left"/>
        <w:rPr>
          <w:rFonts w:ascii="Times New Roman" w:hAnsi="Times New Roman"/>
          <w:sz w:val="20"/>
        </w:rPr>
      </w:pPr>
      <w:r>
        <w:rPr>
          <w:rFonts w:ascii="Times New Roman" w:hAnsi="Times New Roman"/>
          <w:sz w:val="20"/>
        </w:rPr>
        <w:t xml:space="preserve">Biological products are subject to pervasive and continuing regulation by the FDA after approval, including, among other things, requirements relating to record-keeping, reporting of adverse experiences, periodic reporting, providing the FDA with updated safety and efficacy information, product sampling and distribution, and advertising and promotion of the product. </w:t>
      </w:r>
    </w:p>
    <w:p>
      <w:pPr>
        <w:pStyle w:val="TextBody"/>
        <w:bidi w:val="0"/>
        <w:spacing w:before="240" w:after="0"/>
        <w:jc w:val="left"/>
        <w:rPr>
          <w:rFonts w:ascii="Times New Roman" w:hAnsi="Times New Roman"/>
          <w:sz w:val="20"/>
        </w:rPr>
      </w:pPr>
      <w:r>
        <w:rPr>
          <w:rFonts w:ascii="Times New Roman" w:hAnsi="Times New Roman"/>
          <w:sz w:val="20"/>
        </w:rPr>
        <w:t xml:space="preserve">In addition, quality control and manufacturing procedures must continue to conform to applicable manufacturing requirements to ensure the long-term stability of the product and its continued safety, efficacy, purity, and potency. cGMP regulations require among other things, quality control and quality assurance as well as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corresponding maintenance of records and documentation and the obligation to investigate and correct any deviations from cGMPs, and cGTPs, as applicable. Manufacturers and other entities involved in the manufacture and distribution of approved products are required to register their establishments with the FDA and certain state agencies, and are subject to periodic unannounced inspections by the FDA and certain state agencies for compliance with cGMPs and other laws. Accordingly, manufacturers must continue to expend time, money, and effort in the area of production and quality control to maintain cGMP compliance. Discovery of problems with a product after approval may result in restrictions on a product, manufacturer, or holder of an approved BLA, including, among other things, recall or withdrawal of the product from the market. In addition, changes to the manufacturing process are strictly regulated, and depending on the significance of the change, may require prior FDA approval before being implemented. Other types of changes to the approved product, such as adding new indications and claims, are also subject to further FDA review and approval. </w:t>
      </w:r>
    </w:p>
    <w:p>
      <w:pPr>
        <w:pStyle w:val="TextBody"/>
        <w:bidi w:val="0"/>
        <w:spacing w:before="240" w:after="0"/>
        <w:jc w:val="left"/>
        <w:rPr>
          <w:rFonts w:ascii="Times New Roman" w:hAnsi="Times New Roman"/>
          <w:sz w:val="20"/>
        </w:rPr>
      </w:pPr>
      <w:r>
        <w:rPr>
          <w:rFonts w:ascii="Times New Roman" w:hAnsi="Times New Roman"/>
          <w:sz w:val="20"/>
        </w:rPr>
        <w:t xml:space="preserve">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must submit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before releasing the lots for distribution by the manufacturer. In addition, the FDA may conduct laboratory research related to the regulatory standards on the safety, purity, potency, and effectiveness of biological products. Systems need to be put in place to record and evaluate adverse events reported by health-care providers and patients and to assess product complaints. An increase in severity or new adverse events can result in labeling changes or product recall. Defects in manufacturing commercial products can result in product recalls. </w:t>
      </w:r>
    </w:p>
    <w:p>
      <w:pPr>
        <w:pStyle w:val="TextBody"/>
        <w:bidi w:val="0"/>
        <w:spacing w:before="240" w:after="0"/>
        <w:jc w:val="left"/>
        <w:rPr>
          <w:rFonts w:ascii="Times New Roman" w:hAnsi="Times New Roman"/>
          <w:sz w:val="20"/>
        </w:rPr>
      </w:pPr>
      <w:r>
        <w:rPr>
          <w:rFonts w:ascii="Times New Roman" w:hAnsi="Times New Roman"/>
          <w:sz w:val="20"/>
        </w:rPr>
        <w:t xml:space="preserve">The FDA may withdraw approval of a BLA if compliance with regulatory requirements and standards is not maintained or if problems occur after the product reaches the market. Manufacturers and other parties involved in the supply chain for prescription biological products must also comply with product tracking and tracing requirements and for notifying the FDA of counterfeit, diverted, stolen and intentionally adulterated products or products that are otherwise unfit for distribution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Later discovery of previously unknown problems with a product, including adverse events of unanticipated severity or frequency, or with manufacturing processes, or failure to comply with regulatory requirements, may result in revisions to the approved label to add new safety information; imposition of post-market studies or clinical studies to assess new safety risks; or imposition of distribution restrictions or other restrictions under a REMS. Other potential consequences include,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marketing or manufacturing of the product, complete withdrawal of the product from the market or product recalls; </w:t>
            </w:r>
          </w:p>
        </w:tc>
      </w:tr>
    </w:tbl>
    <w:p>
      <w:pPr>
        <w:pStyle w:val="TextBody"/>
        <w:bidi w:val="0"/>
        <w:spacing w:before="0" w:after="0"/>
        <w:jc w:val="left"/>
        <w:rPr/>
      </w:pPr>
      <w:r>
        <w:rPr/>
        <w:t> </w:t>
      </w:r>
    </w:p>
    <w:tbl>
      <w:tblPr>
        <w:tblW w:w="4915" w:type="dxa"/>
        <w:jc w:val="left"/>
        <w:tblInd w:w="0" w:type="dxa"/>
        <w:tblLayout w:type="fixed"/>
        <w:tblCellMar>
          <w:top w:w="0" w:type="dxa"/>
          <w:left w:w="0" w:type="dxa"/>
          <w:bottom w:w="0" w:type="dxa"/>
          <w:right w:w="0" w:type="dxa"/>
        </w:tblCellMar>
      </w:tblPr>
      <w:tblGrid>
        <w:gridCol w:w="75"/>
        <w:gridCol w:w="110"/>
        <w:gridCol w:w="60"/>
        <w:gridCol w:w="46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fines, FDA Form 483s, warning letters, or untitled letters; </w:t>
            </w:r>
          </w:p>
        </w:tc>
      </w:tr>
    </w:tbl>
    <w:p>
      <w:pPr>
        <w:pStyle w:val="TextBody"/>
        <w:bidi w:val="0"/>
        <w:spacing w:before="0" w:after="0"/>
        <w:jc w:val="left"/>
        <w:rPr/>
      </w:pPr>
      <w:r>
        <w:rPr/>
        <w:t> </w:t>
      </w:r>
    </w:p>
    <w:tbl>
      <w:tblPr>
        <w:tblW w:w="4135" w:type="dxa"/>
        <w:jc w:val="left"/>
        <w:tblInd w:w="0" w:type="dxa"/>
        <w:tblLayout w:type="fixed"/>
        <w:tblCellMar>
          <w:top w:w="0" w:type="dxa"/>
          <w:left w:w="0" w:type="dxa"/>
          <w:bottom w:w="0" w:type="dxa"/>
          <w:right w:w="0" w:type="dxa"/>
        </w:tblCellMar>
      </w:tblPr>
      <w:tblGrid>
        <w:gridCol w:w="75"/>
        <w:gridCol w:w="110"/>
        <w:gridCol w:w="60"/>
        <w:gridCol w:w="38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Partial or full clinical holds on clinical studies;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refusal of the FDA to approve pending applications or supplements to approved applications, or suspension or revocation of product license approvals; </w:t>
            </w:r>
          </w:p>
        </w:tc>
      </w:tr>
    </w:tbl>
    <w:p>
      <w:pPr>
        <w:pStyle w:val="TextBody"/>
        <w:bidi w:val="0"/>
        <w:spacing w:before="0" w:after="0"/>
        <w:jc w:val="left"/>
        <w:rPr/>
      </w:pPr>
      <w:r>
        <w:rPr/>
        <w:t> </w:t>
      </w:r>
    </w:p>
    <w:tbl>
      <w:tblPr>
        <w:tblW w:w="6910" w:type="dxa"/>
        <w:jc w:val="left"/>
        <w:tblInd w:w="0" w:type="dxa"/>
        <w:tblLayout w:type="fixed"/>
        <w:tblCellMar>
          <w:top w:w="0" w:type="dxa"/>
          <w:left w:w="0" w:type="dxa"/>
          <w:bottom w:w="0" w:type="dxa"/>
          <w:right w:w="0" w:type="dxa"/>
        </w:tblCellMar>
      </w:tblPr>
      <w:tblGrid>
        <w:gridCol w:w="75"/>
        <w:gridCol w:w="110"/>
        <w:gridCol w:w="60"/>
        <w:gridCol w:w="6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product seizure or detention, or refusal to permit the import or export of products; </w:t>
            </w:r>
          </w:p>
        </w:tc>
      </w:tr>
    </w:tbl>
    <w:p>
      <w:pPr>
        <w:pStyle w:val="TextBody"/>
        <w:bidi w:val="0"/>
        <w:spacing w:before="0" w:after="0"/>
        <w:jc w:val="left"/>
        <w:rPr/>
      </w:pPr>
      <w:r>
        <w:rPr/>
        <w:t> </w:t>
      </w:r>
    </w:p>
    <w:tbl>
      <w:tblPr>
        <w:tblW w:w="8920" w:type="dxa"/>
        <w:jc w:val="left"/>
        <w:tblInd w:w="0" w:type="dxa"/>
        <w:tblLayout w:type="fixed"/>
        <w:tblCellMar>
          <w:top w:w="0" w:type="dxa"/>
          <w:left w:w="0" w:type="dxa"/>
          <w:bottom w:w="0" w:type="dxa"/>
          <w:right w:w="0" w:type="dxa"/>
        </w:tblCellMar>
      </w:tblPr>
      <w:tblGrid>
        <w:gridCol w:w="75"/>
        <w:gridCol w:w="110"/>
        <w:gridCol w:w="60"/>
        <w:gridCol w:w="86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consent decrees, corporate integrity agreements, debarment or exclusion from federal healthcare programs; </w:t>
            </w:r>
          </w:p>
        </w:tc>
      </w:tr>
    </w:tbl>
    <w:p>
      <w:pPr>
        <w:pStyle w:val="TextBody"/>
        <w:bidi w:val="0"/>
        <w:spacing w:before="0" w:after="0"/>
        <w:jc w:val="left"/>
        <w:rPr/>
      </w:pPr>
      <w:r>
        <w:rPr/>
        <w:t> </w:t>
      </w:r>
    </w:p>
    <w:tbl>
      <w:tblPr>
        <w:tblW w:w="8830" w:type="dxa"/>
        <w:jc w:val="left"/>
        <w:tblInd w:w="0" w:type="dxa"/>
        <w:tblLayout w:type="fixed"/>
        <w:tblCellMar>
          <w:top w:w="0" w:type="dxa"/>
          <w:left w:w="0" w:type="dxa"/>
          <w:bottom w:w="0" w:type="dxa"/>
          <w:right w:w="0" w:type="dxa"/>
        </w:tblCellMar>
      </w:tblPr>
      <w:tblGrid>
        <w:gridCol w:w="75"/>
        <w:gridCol w:w="110"/>
        <w:gridCol w:w="60"/>
        <w:gridCol w:w="85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mandated modification of promotional materials and labeling and the issuance of corrective information;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safety alerts, Dear Healthcare Provider letters, press releases and other communications containing warnings or other safety information about the product; or </w:t>
            </w:r>
          </w:p>
        </w:tc>
      </w:tr>
    </w:tbl>
    <w:p>
      <w:pPr>
        <w:pStyle w:val="TextBody"/>
        <w:bidi w:val="0"/>
        <w:spacing w:before="0" w:after="0"/>
        <w:jc w:val="left"/>
        <w:rPr/>
      </w:pPr>
      <w:r>
        <w:rPr/>
        <w:t> </w:t>
      </w:r>
    </w:p>
    <w:tbl>
      <w:tblPr>
        <w:tblW w:w="5080" w:type="dxa"/>
        <w:jc w:val="left"/>
        <w:tblInd w:w="0" w:type="dxa"/>
        <w:tblLayout w:type="fixed"/>
        <w:tblCellMar>
          <w:top w:w="0" w:type="dxa"/>
          <w:left w:w="0" w:type="dxa"/>
          <w:bottom w:w="0" w:type="dxa"/>
          <w:right w:w="0" w:type="dxa"/>
        </w:tblCellMar>
      </w:tblPr>
      <w:tblGrid>
        <w:gridCol w:w="75"/>
        <w:gridCol w:w="110"/>
        <w:gridCol w:w="60"/>
        <w:gridCol w:w="4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injunctions or the imposition of civil or criminal penalties.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FDA closely regulates the marketing, labeling, advertising and promotion of biologics. A company can make only those claims that are in accordance with the provisions of the approved label. The FDA and other authorities actively enforce the laws and regulations prohibiting the promotion of products for uses or inpatient populations that are not described in the product’s approved labeling (known as off-label use).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and/or imposed permanent injunctions under which specified promotional conduct is changed or curtailed. However, companies may share truthful and not misleading information that is otherwise consistent with a product’s FDA-approved labeling. </w:t>
      </w:r>
    </w:p>
    <w:p>
      <w:pPr>
        <w:pStyle w:val="TextBody"/>
        <w:bidi w:val="0"/>
        <w:spacing w:before="360" w:after="0"/>
        <w:jc w:val="left"/>
        <w:rPr>
          <w:rFonts w:ascii="Times New Roman" w:hAnsi="Times New Roman"/>
          <w:b/>
          <w:sz w:val="20"/>
        </w:rPr>
      </w:pPr>
      <w:r>
        <w:rPr>
          <w:rFonts w:ascii="Times New Roman" w:hAnsi="Times New Roman"/>
          <w:b/>
          <w:sz w:val="20"/>
        </w:rPr>
        <w:t xml:space="preserve">U.S. Marketing Exclusivity </w:t>
      </w:r>
    </w:p>
    <w:p>
      <w:pPr>
        <w:pStyle w:val="TextBody"/>
        <w:bidi w:val="0"/>
        <w:spacing w:before="120" w:after="0"/>
        <w:jc w:val="left"/>
        <w:rPr>
          <w:rFonts w:ascii="Times New Roman" w:hAnsi="Times New Roman"/>
          <w:sz w:val="20"/>
        </w:rPr>
      </w:pPr>
      <w:r>
        <w:rPr>
          <w:rFonts w:ascii="Times New Roman" w:hAnsi="Times New Roman"/>
          <w:sz w:val="20"/>
        </w:rPr>
        <w:t xml:space="preserve">The Biologics Price Competition and Innovation Act of 2009, or BPCIA, amended the PHSA to authorize the FDA to approve similar versions of innovative biologics, commonly known as biosimilars. Biosimilarity, which requires that the biological product be highly similar to the reference product notwithstanding minor differences in clinically inactive components and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w:t>
      </w:r>
    </w:p>
    <w:p>
      <w:pPr>
        <w:pStyle w:val="TextBody"/>
        <w:bidi w:val="0"/>
        <w:spacing w:before="240" w:after="0"/>
        <w:jc w:val="left"/>
        <w:rPr>
          <w:rFonts w:ascii="Times New Roman" w:hAnsi="Times New Roman"/>
          <w:sz w:val="20"/>
        </w:rPr>
      </w:pPr>
      <w:r>
        <w:rPr>
          <w:rFonts w:ascii="Times New Roman" w:hAnsi="Times New Roman"/>
          <w:sz w:val="20"/>
        </w:rPr>
        <w:t xml:space="preserve">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w:t>
      </w:r>
    </w:p>
    <w:p>
      <w:pPr>
        <w:pStyle w:val="TextBody"/>
        <w:bidi w:val="0"/>
        <w:spacing w:before="240" w:after="0"/>
        <w:jc w:val="left"/>
        <w:rPr>
          <w:rFonts w:ascii="Times New Roman" w:hAnsi="Times New Roman"/>
          <w:sz w:val="20"/>
        </w:rPr>
      </w:pPr>
      <w:r>
        <w:rPr>
          <w:rFonts w:ascii="Times New Roman" w:hAnsi="Times New Roman"/>
          <w:sz w:val="20"/>
        </w:rPr>
        <w:t xml:space="preserve">Pediatric exclusivity is another type of regulatory market exclusivity in the United States. Pediatric exclusivity, if granted, adds six months to existing exclusivity periods for biological products. This six-month exclusivity may be granted based on the voluntary completion of a pediatric trial in accordance with an FDA-issued “Written Request” for such a trial. </w:t>
      </w:r>
    </w:p>
    <w:p>
      <w:pPr>
        <w:pStyle w:val="TextBody"/>
        <w:bidi w:val="0"/>
        <w:spacing w:before="360" w:after="0"/>
        <w:jc w:val="left"/>
        <w:rPr>
          <w:rFonts w:ascii="Times New Roman" w:hAnsi="Times New Roman"/>
          <w:b/>
          <w:sz w:val="20"/>
        </w:rPr>
      </w:pPr>
      <w:r>
        <w:rPr>
          <w:rFonts w:ascii="Times New Roman" w:hAnsi="Times New Roman"/>
          <w:b/>
          <w:sz w:val="20"/>
        </w:rPr>
        <w:t xml:space="preserve">Other U.S. Healthcare Laws and Compliance Requirements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our current and future operations are subject to regulation by various federal, state and local authorities in addition to the FDA, including but not limited to, the Centers for Medicare &amp; Medicaid Services, or CMS, other divisions of the U.S. Department of Health and Human Services, or HHS, (e.g., the Office of Inspector General, Office for Civil Rights and the Health Resources and Service Administration), the U.S. Department of Justice, or DOJ, and individual U.S. Attorney offices within the DOJ, and state and local government agencies. For example, our business practices, including our clinical research program and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future sales, marketing and scientific/educational grant programs may be required to comply with the anti-fraud and abuse provisions of the Social Security Act, the false claims laws, transparency requirements, and similar state laws, each as amended,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federal Anti-Kickback Statute prohibits, among other things, any person or entity, from knowingly and willfully offering, paying, soliciting or receiving any remuneration (including any kickback, bribe, or rebate), directly or indirectly, overtly or covertly, in cash or in kind, to induce or in return for purchasing, leasing, ordering or arranging for the purchase, lease or order of any item or service for which payment may be made, in whole or in part, under a federal healthcare program, such as the Medicare and Medicaid programs. The term remuneration has been interpreted broadly to include anything of value. A person or entity does not need to have actual knowledge of the statute or specific intent to violate it in order to have committed a violation. The AKS is an intent-based statute; however, it has been interpreted to cover any arrangement in which a single purpose of the remuneration is to pay for referrals or to induce future referrals. The federal Anti-Kickback Statute has been interpreted to apply to arrangements between pharmaceutical manufacturers on one hand and prescribers, purchasers, and formulary managers on the other. Violations are subject to civil and criminal fines and penalties for each violation, plus up to three times the remuneration involved, imprisonment, and exclusion from government healthcare programs.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w:t>
      </w:r>
    </w:p>
    <w:p>
      <w:pPr>
        <w:pStyle w:val="TextBody"/>
        <w:bidi w:val="0"/>
        <w:spacing w:before="240" w:after="0"/>
        <w:jc w:val="left"/>
        <w:rPr>
          <w:rFonts w:ascii="Times New Roman" w:hAnsi="Times New Roman"/>
          <w:sz w:val="20"/>
        </w:rPr>
      </w:pPr>
      <w:r>
        <w:rPr>
          <w:rFonts w:ascii="Times New Roman" w:hAnsi="Times New Roman"/>
          <w:sz w:val="20"/>
        </w:rPr>
        <w:t xml:space="preserve">The federal civil and criminal false claims laws, including the False Claims Act, or FCA, which can be enforced through civil “qui tam” or “whistleblower” actions, and civil monetary penalty laws, which impose criminal and civil penalties against individuals or entities for, among other things, knowingly presenting, or causing to be presented, claims for payment or approval from Medicare, Medicaid or other federal health-care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In addition, the government may assert that a claim including items or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 </w:t>
      </w:r>
    </w:p>
    <w:p>
      <w:pPr>
        <w:pStyle w:val="TextBody"/>
        <w:bidi w:val="0"/>
        <w:spacing w:before="240" w:after="0"/>
        <w:jc w:val="left"/>
        <w:rPr>
          <w:rFonts w:ascii="Times New Roman" w:hAnsi="Times New Roman"/>
          <w:sz w:val="20"/>
        </w:rPr>
      </w:pPr>
      <w:r>
        <w:rPr>
          <w:rFonts w:ascii="Times New Roman" w:hAnsi="Times New Roman"/>
          <w:sz w:val="20"/>
        </w:rPr>
        <w:t xml:space="preserve">The federal Health Insurance Portability and Accountability Act of 1996, or HIPAA,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w:t>
      </w:r>
    </w:p>
    <w:p>
      <w:pPr>
        <w:pStyle w:val="TextBody"/>
        <w:bidi w:val="0"/>
        <w:spacing w:before="240" w:after="0"/>
        <w:jc w:val="left"/>
        <w:rPr>
          <w:rFonts w:ascii="Times New Roman" w:hAnsi="Times New Roman"/>
          <w:sz w:val="20"/>
        </w:rPr>
      </w:pPr>
      <w:r>
        <w:rPr>
          <w:rFonts w:ascii="Times New Roman" w:hAnsi="Times New Roman"/>
          <w:sz w:val="20"/>
        </w:rPr>
        <w:t xml:space="preserve">HIPAA, as amended by the Health Information Technology for Economic and Clinical Health Act of 2009 (HITECH), imposes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federal courts to enforce the federal HIPAA laws and seek attorneys’ fees and costs associated with pursuing federal civil actions. Even when HIPAA does not apply, according to the Federal Trade Commission, or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federal Physician Payments Sunshine Act, or the Sunshine Act, and its implementing regulations, require that certain manufacturers of drugs, devices, biological and medical supplies for which payment is available under Medicare, Medicaid or the Children’s Health Insurance Program (with certain exceptions) report information related to certain payments or other transfers of value made or distributed to physicians (defined to include doctors, dentists, optometrists, podiatrists and chiropractors), certain non-physician practitioners (such as physician assistants and nurse practitioners), and teaching hospitals, or to entities or individuals at the request of, or designated on behalf of, the physicians and teaching hospitals and to report annually to CMS certain ownership and investment interests held by physicians and their immediate family members. Failure to report accurately could result in penalties. In addition, many states also govern the reporting of payments or other transfers of value, many which differ from each other in significant ways, are often not pre-empted, and may have a more prohibitive effect than the Sunshine Act, thus further complicating compliance efforts. </w:t>
      </w:r>
    </w:p>
    <w:p>
      <w:pPr>
        <w:pStyle w:val="TextBody"/>
        <w:bidi w:val="0"/>
        <w:spacing w:before="240" w:after="0"/>
        <w:jc w:val="left"/>
        <w:rPr>
          <w:rFonts w:ascii="Times New Roman" w:hAnsi="Times New Roman"/>
          <w:sz w:val="20"/>
        </w:rPr>
      </w:pPr>
      <w:r>
        <w:rPr>
          <w:rFonts w:ascii="Times New Roman" w:hAnsi="Times New Roman"/>
          <w:sz w:val="20"/>
        </w:rPr>
        <w:t xml:space="preserve">We may also become subject to federal government price reporting laws, which require us to calculate and report complex pricing metrics in an accurate and timely manner to government programs under federal consumer protection and unfair competition laws, which broadly regulate marketplace activities and activities that potentially harm consumers. </w:t>
      </w:r>
    </w:p>
    <w:p>
      <w:pPr>
        <w:pStyle w:val="TextBody"/>
        <w:bidi w:val="0"/>
        <w:spacing w:before="240" w:after="0"/>
        <w:jc w:val="left"/>
        <w:rPr>
          <w:rFonts w:ascii="Times New Roman" w:hAnsi="Times New Roman"/>
          <w:sz w:val="20"/>
        </w:rPr>
      </w:pPr>
      <w:r>
        <w:rPr>
          <w:rFonts w:ascii="Times New Roman" w:hAnsi="Times New Roman"/>
          <w:sz w:val="20"/>
        </w:rPr>
        <w:t xml:space="preserve">Many states and foreign jurisdictions have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and state and local laws requiring the registration of pharmaceutical sales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There are significant compliance costs associated with ensuring business arrangements with third parties comply with applicable healthcare laws and regulations. If our operations are found to be in violation of any of the federal and state healthcare laws described above or any other current or future governmental regulations that apply to us, we may be subject to significant penalties, including without limitation, civil, criminal and/or administrative penalties, damages, fines, disgorgement, individual imprisonment,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additional reporting requirements and/or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Coverage, Pricing and Reimbursement </w:t>
      </w:r>
    </w:p>
    <w:p>
      <w:pPr>
        <w:pStyle w:val="TextBody"/>
        <w:bidi w:val="0"/>
        <w:spacing w:before="120" w:after="0"/>
        <w:jc w:val="left"/>
        <w:rPr>
          <w:rFonts w:ascii="Times New Roman" w:hAnsi="Times New Roman"/>
          <w:sz w:val="20"/>
        </w:rPr>
      </w:pPr>
      <w:r>
        <w:rPr>
          <w:rFonts w:ascii="Times New Roman" w:hAnsi="Times New Roman"/>
          <w:sz w:val="20"/>
        </w:rPr>
        <w:t xml:space="preserve">Sales of any product depend, in part, on the extent to which such product will be covered by third-party payors, such as federal, state, and foreign government healthcare programs, commercial insurance and managed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healthcare organizations, and the level of reimbursement for such product by third-party payors. Decisions regarding the extent of coverage and amount of reimbursement to be provided are made on a plan-by-plan basis. These third-party payors are increasingly reducing reimbursements for medical products, drugs and services. </w:t>
      </w:r>
    </w:p>
    <w:p>
      <w:pPr>
        <w:pStyle w:val="TextBody"/>
        <w:bidi w:val="0"/>
        <w:spacing w:before="240" w:after="0"/>
        <w:jc w:val="left"/>
        <w:rPr>
          <w:rFonts w:ascii="Times New Roman" w:hAnsi="Times New Roman"/>
          <w:sz w:val="20"/>
        </w:rPr>
      </w:pPr>
      <w:r>
        <w:rPr>
          <w:rFonts w:ascii="Times New Roman" w:hAnsi="Times New Roman"/>
          <w:sz w:val="20"/>
        </w:rPr>
        <w:t xml:space="preserve">Factors payors consider in determining reimbursement are based on whether the product is: </w:t>
      </w:r>
    </w:p>
    <w:p>
      <w:pPr>
        <w:pStyle w:val="TextBody"/>
        <w:bidi w:val="0"/>
        <w:spacing w:before="0" w:after="0"/>
        <w:jc w:val="left"/>
        <w:rPr/>
      </w:pPr>
      <w:r>
        <w:rPr/>
        <w:t> </w:t>
      </w:r>
    </w:p>
    <w:tbl>
      <w:tblPr>
        <w:tblW w:w="3490" w:type="dxa"/>
        <w:jc w:val="left"/>
        <w:tblInd w:w="0" w:type="dxa"/>
        <w:tblLayout w:type="fixed"/>
        <w:tblCellMar>
          <w:top w:w="0" w:type="dxa"/>
          <w:left w:w="0" w:type="dxa"/>
          <w:bottom w:w="0" w:type="dxa"/>
          <w:right w:w="0" w:type="dxa"/>
        </w:tblCellMar>
      </w:tblPr>
      <w:tblGrid>
        <w:gridCol w:w="75"/>
        <w:gridCol w:w="110"/>
        <w:gridCol w:w="60"/>
        <w:gridCol w:w="3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covered benefit under its health plan; </w:t>
            </w:r>
          </w:p>
        </w:tc>
      </w:tr>
    </w:tbl>
    <w:p>
      <w:pPr>
        <w:pStyle w:val="TextBody"/>
        <w:bidi w:val="0"/>
        <w:spacing w:before="0" w:after="0"/>
        <w:jc w:val="left"/>
        <w:rPr/>
      </w:pPr>
      <w:r>
        <w:rPr/>
        <w:t> </w:t>
      </w:r>
    </w:p>
    <w:tbl>
      <w:tblPr>
        <w:tblW w:w="3520" w:type="dxa"/>
        <w:jc w:val="left"/>
        <w:tblInd w:w="0" w:type="dxa"/>
        <w:tblLayout w:type="fixed"/>
        <w:tblCellMar>
          <w:top w:w="0" w:type="dxa"/>
          <w:left w:w="0" w:type="dxa"/>
          <w:bottom w:w="0" w:type="dxa"/>
          <w:right w:w="0" w:type="dxa"/>
        </w:tblCellMar>
      </w:tblPr>
      <w:tblGrid>
        <w:gridCol w:w="75"/>
        <w:gridCol w:w="110"/>
        <w:gridCol w:w="60"/>
        <w:gridCol w:w="32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safe, effective and medically necessary; </w:t>
            </w:r>
          </w:p>
        </w:tc>
      </w:tr>
    </w:tbl>
    <w:p>
      <w:pPr>
        <w:pStyle w:val="TextBody"/>
        <w:bidi w:val="0"/>
        <w:spacing w:before="0" w:after="0"/>
        <w:jc w:val="left"/>
        <w:rPr/>
      </w:pPr>
      <w:r>
        <w:rPr/>
        <w:t> </w:t>
      </w:r>
    </w:p>
    <w:tbl>
      <w:tblPr>
        <w:tblW w:w="3175" w:type="dxa"/>
        <w:jc w:val="left"/>
        <w:tblInd w:w="0" w:type="dxa"/>
        <w:tblLayout w:type="fixed"/>
        <w:tblCellMar>
          <w:top w:w="0" w:type="dxa"/>
          <w:left w:w="0" w:type="dxa"/>
          <w:bottom w:w="0" w:type="dxa"/>
          <w:right w:w="0" w:type="dxa"/>
        </w:tblCellMar>
      </w:tblPr>
      <w:tblGrid>
        <w:gridCol w:w="75"/>
        <w:gridCol w:w="110"/>
        <w:gridCol w:w="60"/>
        <w:gridCol w:w="2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appropriate for the specific patient; </w:t>
            </w:r>
          </w:p>
        </w:tc>
      </w:tr>
    </w:tbl>
    <w:p>
      <w:pPr>
        <w:pStyle w:val="TextBody"/>
        <w:bidi w:val="0"/>
        <w:spacing w:before="0" w:after="0"/>
        <w:jc w:val="left"/>
        <w:rPr/>
      </w:pPr>
      <w:r>
        <w:rPr/>
        <w:t> </w:t>
      </w:r>
    </w:p>
    <w:tbl>
      <w:tblPr>
        <w:tblW w:w="1825" w:type="dxa"/>
        <w:jc w:val="left"/>
        <w:tblInd w:w="0" w:type="dxa"/>
        <w:tblLayout w:type="fixed"/>
        <w:tblCellMar>
          <w:top w:w="0" w:type="dxa"/>
          <w:left w:w="0" w:type="dxa"/>
          <w:bottom w:w="0" w:type="dxa"/>
          <w:right w:w="0" w:type="dxa"/>
        </w:tblCellMar>
      </w:tblPr>
      <w:tblGrid>
        <w:gridCol w:w="75"/>
        <w:gridCol w:w="110"/>
        <w:gridCol w:w="60"/>
        <w:gridCol w:w="15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cost-effective; and </w:t>
            </w:r>
          </w:p>
        </w:tc>
      </w:tr>
    </w:tbl>
    <w:p>
      <w:pPr>
        <w:pStyle w:val="TextBody"/>
        <w:bidi w:val="0"/>
        <w:spacing w:before="0" w:after="0"/>
        <w:jc w:val="left"/>
        <w:rPr/>
      </w:pPr>
      <w:r>
        <w:rPr/>
        <w:t> </w:t>
      </w:r>
    </w:p>
    <w:tbl>
      <w:tblPr>
        <w:tblW w:w="3640" w:type="dxa"/>
        <w:jc w:val="left"/>
        <w:tblInd w:w="0" w:type="dxa"/>
        <w:tblLayout w:type="fixed"/>
        <w:tblCellMar>
          <w:top w:w="0" w:type="dxa"/>
          <w:left w:w="0" w:type="dxa"/>
          <w:bottom w:w="0" w:type="dxa"/>
          <w:right w:w="0" w:type="dxa"/>
        </w:tblCellMar>
      </w:tblPr>
      <w:tblGrid>
        <w:gridCol w:w="75"/>
        <w:gridCol w:w="110"/>
        <w:gridCol w:w="60"/>
        <w:gridCol w:w="33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neither experimental nor investigational.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uniform policy for coverage and reimbursement for products exists among third-party payors in the U.S. Therefore, coverage and reimbursement for products can differ significantly from payor to payor. As a result, the coverage determination process is often a time-consuming and costly process that will require us to provide scientific and clinical support for the use of our biological product candidates to each payor separately, with no assurance that coverage and adequate reimbursement will be applied consistently or obtained in the first instance. Furthermore, rules and regulations regarding reimbursement change frequently, in some cases on short notice, and we believe that changes in these rules and regulations are likely.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U.S. government, state legislatures and foreign governments have continued implementing cost-containment programs, including price controls, restrictions on coverage and reimbursement and requirements for substitution of generic products.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 and also have a material adverse effect on sales. </w:t>
      </w:r>
    </w:p>
    <w:p>
      <w:pPr>
        <w:pStyle w:val="TextBody"/>
        <w:bidi w:val="0"/>
        <w:spacing w:before="360" w:after="0"/>
        <w:jc w:val="left"/>
        <w:rPr>
          <w:rFonts w:ascii="Times New Roman" w:hAnsi="Times New Roman"/>
          <w:b/>
          <w:sz w:val="20"/>
        </w:rPr>
      </w:pPr>
      <w:r>
        <w:rPr>
          <w:rFonts w:ascii="Times New Roman" w:hAnsi="Times New Roman"/>
          <w:b/>
          <w:sz w:val="20"/>
        </w:rPr>
        <w:t xml:space="preserve">Healthcare Reform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and some foreign jurisdictions, there have been, and continue to be, significant legislative and regulatory changes and proposed changes regarding the healthcare system that could prevent or delay marketing approval of biological product candidates, restrict or regulate post-approval activities, and affect the ability to profitably sell biological product candidates for which marketing approval is obtained. 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w:t>
      </w:r>
    </w:p>
    <w:p>
      <w:pPr>
        <w:pStyle w:val="TextBody"/>
        <w:bidi w:val="0"/>
        <w:spacing w:before="240" w:after="0"/>
        <w:jc w:val="left"/>
        <w:rPr>
          <w:rFonts w:ascii="Times New Roman" w:hAnsi="Times New Roman"/>
          <w:sz w:val="20"/>
        </w:rPr>
      </w:pPr>
      <w:r>
        <w:rPr>
          <w:rFonts w:ascii="Times New Roman" w:hAnsi="Times New Roman"/>
          <w:sz w:val="20"/>
        </w:rPr>
        <w:t xml:space="preserve">For example, Patient Protection and Affordable Care Act, as amended by the Health Care and Education Reconciliation Act of 2010, or collectively the ACA, has substantially changed healthcare financing and delivery by both governmental and private insurers. Among the ACA provisions of importance to the pharmaceutical and biotechnology industries, in addition to those otherwise described above, are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increased the minimum level of Medicaid rebates payable by manufacturers of brand name drugs from 15.1% to 23.1% of the average manufacturer price; </w:t>
            </w:r>
          </w:p>
        </w:tc>
      </w:tr>
    </w:tbl>
    <w:p>
      <w:pPr>
        <w:pStyle w:val="TextBody"/>
        <w:bidi w:val="0"/>
        <w:spacing w:before="0" w:after="0"/>
        <w:jc w:val="left"/>
        <w:rPr/>
      </w:pPr>
      <w:r>
        <w:rPr/>
        <w:t> </w:t>
      </w:r>
    </w:p>
    <w:tbl>
      <w:tblPr>
        <w:tblW w:w="7315" w:type="dxa"/>
        <w:jc w:val="left"/>
        <w:tblInd w:w="0" w:type="dxa"/>
        <w:tblLayout w:type="fixed"/>
        <w:tblCellMar>
          <w:top w:w="0" w:type="dxa"/>
          <w:left w:w="0" w:type="dxa"/>
          <w:bottom w:w="0" w:type="dxa"/>
          <w:right w:w="0" w:type="dxa"/>
        </w:tblCellMar>
      </w:tblPr>
      <w:tblGrid>
        <w:gridCol w:w="75"/>
        <w:gridCol w:w="110"/>
        <w:gridCol w:w="60"/>
        <w:gridCol w:w="70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required collection of rebates for drugs paid by Medicaid managed care organizations;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required manufacturers to participate in a coverage gap discount program, under which they must agree to offer 70 percent point-of-sale discounts off negotiated prices of applicable brand drugs to eligible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beneficiaries during their coverage gap period, as a condition for the manufacturer’s outpatient drugs to be covered under Medicare Part D (a requirement later replaced under the Inflation Reduction Act of 2022, or the IRA, by the Medicare Part D manufacturer discount program);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imposed a non-deductible annual fee on pharmaceutical manufacturers or importers who sell “branded prescription drugs” to specified federal government programs.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has been increasing legislative and enforcement interest in the United States with respect to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Both the Trump administration and Congress have indicated that they will continue to seek new legislative and executive measures to control drug costs. In addition, other legislative and regulatory changes have been proposed and adopted in the United States since the ACA was enacted: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U.S. Budget Control Act of 2011, among other things, included aggregate reductions of Medicare payments to providers of 2% per fiscal year that remain in effect through 2031.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U.S. American Taxpayer Relief Act of 2012, among other things, further reduced Medicare payments to several types of providers and increased the statute of limitations period for the government to recover overpayments to providers from three to five years.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American Rescue Plan Act of 2021 eliminates the statutory Medicaid drug rebate cap, previously set at 100% of a drug’s average manufacturer price, for single source and innovator multiple source drugs, beginning January 1, 2024. Due to the Statutory Pay-As-You-Go Act of 2010, estimated budget deficit increases resulting from the American Rescue Plan Act of 2021, and subsequent legislation, Medicare payments to providers were further reduced starting in 2025 absent further legislation.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IRA also includes several provisions that will impact our business to varying degrees, including provisions that create a $2,000 out-of-pocket cap for Medicare Part D beneficiaries, impose new manufacturer financial liability on all drugs in Medicare Part D, allow the U.S. government to negotiate Medicare Part B and Part D pricing for certain high-cost drugs and biologics without generic or biosimilar competition, require companies to pay rebates to Medicare for drug prices that increase faster than inflation, and delay the rebate rule that would require pass through of pharmacy benefit manager rebates to beneficiaries. Further, under the IRA, orphan drugs are exempted from the Medicare drug price negotiation program (regardless of the number of orphan designations) provided that the drug is only approved for rare disease indications. The implementation of the IRA is currently subject to ongoing litigation challenging the constitutionality of the IRA’s Medicare drug price negotiation program. The effect of IRA on our business and the healthcare industry in general is not yet known.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One Big Beautiful Bill Act, which was enacted in July 2025, imposes significant reductions in the funding of the Medicaid program. Such reductions are expected to apply significant funding pressure on state Medicaid budgets, decrease the number of persons enrolled in Medicaid, and reduce the services covered by Medicaid.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February 2026, President Trump signed into law several pharmacy benefit manager, or PBM, regulatory reforms as part of a federal budget package, including but not limited to requirements for PBMs to pass back 100% of rebates and fees to commercial health plan sponsors; to provide extensive informational disclosures related to patients’ coverage and benefits; and to accept only bona fide service fees from drug companies when providing services under Medicare Part D. Additionally, the Department of Labor, or DOL, also issued a proposed rule in January 2026 that would mandate specific PBM fee disclosures to self-insured plan fiduciaries under the Employment Retirement Income Security Act. If finalized as proposed, the DOL rule would also allow plan fiduciaries to audit those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PBM disclosures to confirm accuracy. Significant efforts to change the PBM industry as it currently exists may affect the entire pharmaceutical supply chain and the business of other stakeholders, including biological product developers like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Recent executive and regulatory actions include President Trump’s 2025 executive orders directing HHS to pursue most-favored-nation, or MFN, pricing targets for prescription drugs and to evaluate reforms under the Inflation Reduction Act, including potential elimination of the so-called “pill penalty” that subjects small molecule drugs to Medicare price negotiation four years earlier than biologics. Additional regulatory actions taken include a voluntary MFN-based framework for Medicaid manufacturers and two proposed CMS rules that would introduce MFN pricing principles into Medicare Part B and Part D reimbursement, respectively, with implementation currently anticipated to begin as early as 2026, though legal challenges could delay or modify these proposals. The scope, timing, and ultimate impact of these and any further actions remain uncertain, and if implemented, such measures could adversely affect the pricing, reimbursement, and commercial viability of our biological product candidate, if approved. </w:t>
      </w:r>
    </w:p>
    <w:p>
      <w:pPr>
        <w:pStyle w:val="TextBody"/>
        <w:bidi w:val="0"/>
        <w:spacing w:before="240" w:after="0"/>
        <w:jc w:val="left"/>
        <w:rPr>
          <w:rFonts w:ascii="Times New Roman" w:hAnsi="Times New Roman"/>
          <w:sz w:val="20"/>
        </w:rPr>
      </w:pPr>
      <w:r>
        <w:rPr>
          <w:rFonts w:ascii="Times New Roman" w:hAnsi="Times New Roman"/>
          <w:sz w:val="20"/>
        </w:rPr>
        <w:t xml:space="preserve">Individual states have also been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 any of which could limit the amounts that federal and state governments will pay for healthcare products and services. We expect additional state, federal and foreign healthcare reform measures to be adopted in the future, any of which could limit the amounts that federal, state and foreign governments will pay for health products, which could result in reduced demand for our products, if approved or additional pricing pressure. </w:t>
      </w:r>
    </w:p>
    <w:p>
      <w:pPr>
        <w:pStyle w:val="TextBody"/>
        <w:bidi w:val="0"/>
        <w:spacing w:before="360" w:after="0"/>
        <w:jc w:val="left"/>
        <w:rPr>
          <w:rFonts w:ascii="Times New Roman" w:hAnsi="Times New Roman"/>
          <w:b/>
          <w:sz w:val="20"/>
        </w:rPr>
      </w:pPr>
      <w:r>
        <w:rPr>
          <w:rFonts w:ascii="Times New Roman" w:hAnsi="Times New Roman"/>
          <w:b/>
          <w:sz w:val="20"/>
        </w:rPr>
        <w:t xml:space="preserve">The Foreign Corrupt Practices Act </w:t>
      </w:r>
    </w:p>
    <w:p>
      <w:pPr>
        <w:pStyle w:val="TextBody"/>
        <w:bidi w:val="0"/>
        <w:spacing w:before="120" w:after="0"/>
        <w:jc w:val="left"/>
        <w:rPr>
          <w:rFonts w:ascii="Times New Roman" w:hAnsi="Times New Roman"/>
          <w:sz w:val="20"/>
        </w:rPr>
      </w:pPr>
      <w:r>
        <w:rPr>
          <w:rFonts w:ascii="Times New Roman" w:hAnsi="Times New Roman"/>
          <w:sz w:val="20"/>
        </w:rPr>
        <w:t xml:space="preserve">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Data Privacy and Security Laws </w:t>
      </w:r>
    </w:p>
    <w:p>
      <w:pPr>
        <w:pStyle w:val="TextBody"/>
        <w:bidi w:val="0"/>
        <w:spacing w:before="120" w:after="0"/>
        <w:jc w:val="left"/>
        <w:rPr>
          <w:rFonts w:ascii="Times New Roman" w:hAnsi="Times New Roman"/>
          <w:sz w:val="20"/>
        </w:rPr>
      </w:pPr>
      <w:r>
        <w:rPr>
          <w:rFonts w:ascii="Times New Roman" w:hAnsi="Times New Roman"/>
          <w:sz w:val="20"/>
        </w:rPr>
        <w:t xml:space="preserve">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For example, the GDPR imposes strict requirements for processing the personal data of individuals within the EEA, including requirements relating to processing health-related and other sensitive data, establishing a legal basis for processing such as obtaining consent of the individuals to whom the personal data relates, providing information to individuals regarding data processing activities, implementing safeguards to protect the security and confidentiality of personal data, providing notification of data breaches, imposing limitations on retention of personal data; maintaining a record of data processing, complying with the principal of accountability and the obligation to demonstrate compliance through policies, procedures, training and audit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taking certain measures when engaging third-party processors. The GDPR also imposes strict rules on the transfer of personal data to countries outside the EEA to countries that the EU does not consider to have in place adequate data protection legislation, including the United States.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Further, from January 1, 2021, companies have had to comply with the GDPR and also the UK GDPR, which, together with the amended UK Data Protection Act 2018, retains the GDPR in UK national law. The UK GDPR mirrors the fines under the GDPR, i.e. fines up to the greater of €20 million (£17.5 million) or 4% of global turnover.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renews/extends that decision, and remains under review by the Commission during this period. In September 2021, the UK government launched a consultation on its proposals for wide-ranging reform of UK data protection laws following Brexit. There is a risk that any material changes which are made to the UK data protection regime could result in the European Commission reviewing the UK adequacy decision, and the UK losing its adequacy decision if the European Commission deems the UK to no longer provide adequate protection for personal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Regulation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foregoing, state, federal and foreign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Foreign Government Regulation </w:t>
      </w:r>
    </w:p>
    <w:p>
      <w:pPr>
        <w:pStyle w:val="TextBody"/>
        <w:bidi w:val="0"/>
        <w:spacing w:before="120" w:after="0"/>
        <w:jc w:val="left"/>
        <w:rPr>
          <w:rFonts w:ascii="Times New Roman" w:hAnsi="Times New Roman"/>
          <w:sz w:val="20"/>
        </w:rPr>
      </w:pPr>
      <w:r>
        <w:rPr>
          <w:rFonts w:ascii="Times New Roman" w:hAnsi="Times New Roman"/>
          <w:sz w:val="20"/>
        </w:rPr>
        <w:t xml:space="preserve">To market any product outside of the United States, we would need to comply with numerous and varying regulatory requirements of other countries governing, among other things, clinical trials, marketing authorization, commercial sales and distribution of our products. </w:t>
      </w:r>
    </w:p>
    <w:p>
      <w:pPr>
        <w:pStyle w:val="TextBody"/>
        <w:bidi w:val="0"/>
        <w:spacing w:before="240" w:after="0"/>
        <w:jc w:val="left"/>
        <w:rPr>
          <w:rFonts w:ascii="Times New Roman" w:hAnsi="Times New Roman"/>
          <w:sz w:val="20"/>
        </w:rPr>
      </w:pPr>
      <w:r>
        <w:rPr>
          <w:rFonts w:ascii="Times New Roman" w:hAnsi="Times New Roman"/>
          <w:sz w:val="20"/>
        </w:rPr>
        <w:t xml:space="preserve">Whether or not we obtain FDA approval of a product, we must obtain the requisite approvals from regulatory authorities in foreign countries prior to the commencement of clinical trials or marketing of the product in those countries. Approval by one regulatory authority does not ensure approval by regulatory authorities in other jurisdictions. The approval process varies from country to country, can involve additional testing beyond that required by FDA, and may be longer or shorter than that required for FDA approval. The requirements governing the conduct of clinical trials, product licensing, pricing, promotion, and reimbursement vary greatly from country to country. Failure to comply with applicable foreign regulatory requirements, may be subject to, among other things, fines, suspension or withdrawal of regulatory approvals, product recalls, seizure of products, operating restrictions and criminal prosecution. </w:t>
      </w:r>
    </w:p>
    <w:p>
      <w:pPr>
        <w:pStyle w:val="TextBody"/>
        <w:bidi w:val="0"/>
        <w:spacing w:before="360" w:after="0"/>
        <w:jc w:val="left"/>
        <w:rPr>
          <w:rFonts w:ascii="Times New Roman" w:hAnsi="Times New Roman"/>
          <w:b/>
          <w:sz w:val="20"/>
        </w:rPr>
      </w:pPr>
      <w:r>
        <w:rPr>
          <w:rFonts w:ascii="Times New Roman" w:hAnsi="Times New Roman"/>
          <w:b/>
          <w:sz w:val="20"/>
        </w:rPr>
        <w:t xml:space="preserve">Non-Clinical Studies and Clinical Trials </w:t>
      </w:r>
    </w:p>
    <w:p>
      <w:pPr>
        <w:pStyle w:val="TextBody"/>
        <w:bidi w:val="0"/>
        <w:spacing w:before="120" w:after="0"/>
        <w:jc w:val="left"/>
        <w:rPr>
          <w:rFonts w:ascii="Times New Roman" w:hAnsi="Times New Roman"/>
          <w:sz w:val="20"/>
        </w:rPr>
      </w:pPr>
      <w:r>
        <w:rPr>
          <w:rFonts w:ascii="Times New Roman" w:hAnsi="Times New Roman"/>
          <w:sz w:val="20"/>
        </w:rPr>
        <w:t xml:space="preserve">Similarly to the United States, the various phases of non-clinical and clinical research in the European Union, or EU are subject to significant regulatory controls.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Non-clinical studies are performed to demonstrate the health or environmental safety of new chemical or biological substances. Non-clinical studies must be conducted in compliance with the principles of good laboratory practice, as set forth in EU Directive 2004/10/EC. These GLP standards reflect the Organization for Economic Co-operation and Development requirements. </w:t>
      </w:r>
    </w:p>
    <w:p>
      <w:pPr>
        <w:pStyle w:val="TextBody"/>
        <w:bidi w:val="0"/>
        <w:spacing w:before="240" w:after="0"/>
        <w:jc w:val="left"/>
        <w:rPr>
          <w:rFonts w:ascii="Times New Roman" w:hAnsi="Times New Roman"/>
          <w:sz w:val="20"/>
        </w:rPr>
      </w:pPr>
      <w:r>
        <w:rPr>
          <w:rFonts w:ascii="Times New Roman" w:hAnsi="Times New Roman"/>
          <w:sz w:val="20"/>
        </w:rPr>
        <w:t xml:space="preserve">Clinical trials of medicinal products in the EU must be conducted in accordance with EU and national regulations and the International Conference on Harmonization, or ICH, guidelines on GCPs, as well as the applicable regulatory requirements and the ethical principles that have their origin in the Declaration of Helsinki. If the sponsor of the clinical trial is not established within the EU, it must appoint an EU entity to act as its legal representative. The sponsor must take out a clinical trial insurance policy, and in most EU countries, the sponsor is liable to provide ‘no fault’ compensation to any study subject injured in the clinical trial. </w:t>
      </w:r>
    </w:p>
    <w:p>
      <w:pPr>
        <w:pStyle w:val="TextBody"/>
        <w:bidi w:val="0"/>
        <w:spacing w:before="240" w:after="0"/>
        <w:jc w:val="left"/>
        <w:rPr>
          <w:rFonts w:ascii="Times New Roman" w:hAnsi="Times New Roman"/>
          <w:sz w:val="20"/>
        </w:rPr>
      </w:pPr>
      <w:r>
        <w:rPr>
          <w:rFonts w:ascii="Times New Roman" w:hAnsi="Times New Roman"/>
          <w:sz w:val="20"/>
        </w:rPr>
        <w:t xml:space="preserve">The regulatory landscape related to clinical trials in the EU has been subject to recent changes. The EU Clinical Trials Regulation, or CTR, which was adopted in April 2014 and repeals the EU Clinical Trials Directive, became applicable on January 31, 2022. Unlike directives, the CTR is directly applicable in all EU member states without the need for EU member states to further implement it into national law. The CTR notably harmonizes the assessment and supervision processes for clinical trials throughout the EU via a Clinical Trials Information System, which contains a centralized EU portal and database. </w:t>
      </w:r>
    </w:p>
    <w:p>
      <w:pPr>
        <w:pStyle w:val="TextBody"/>
        <w:bidi w:val="0"/>
        <w:spacing w:before="240" w:after="0"/>
        <w:jc w:val="left"/>
        <w:rPr>
          <w:rFonts w:ascii="Times New Roman" w:hAnsi="Times New Roman"/>
          <w:sz w:val="20"/>
        </w:rPr>
      </w:pPr>
      <w:r>
        <w:rPr>
          <w:rFonts w:ascii="Times New Roman" w:hAnsi="Times New Roman"/>
          <w:sz w:val="20"/>
        </w:rPr>
        <w:t xml:space="preserve">The CTR introduced a centralized process for the submission and review of clinical trial authorization applications, which allows sponsors to make a single submission to both the competent authority and an ethics committee in each EU member state in which the clinical trial is to be conducted, leading to a single decision per EU member state. The application must include, among other things, a copy of the trial protocol and an investigational medicinal product dossier containing information about the manufacture and quality of the medicinal product under investigation. The assessment procedure of the application has been harmonized as well, including a joint assessment by all EU member states concerned, and a separate assessment by each EU member state with respect to specific requirements related to its own territory, including ethics rules. Each EU member state’s decision is communicated to the sponsor via the centralized EU portal. Once the application is approved, clinical study development may proceed. </w:t>
      </w:r>
    </w:p>
    <w:p>
      <w:pPr>
        <w:pStyle w:val="TextBody"/>
        <w:bidi w:val="0"/>
        <w:spacing w:before="240" w:after="0"/>
        <w:jc w:val="left"/>
        <w:rPr>
          <w:rFonts w:ascii="Times New Roman" w:hAnsi="Times New Roman"/>
          <w:sz w:val="20"/>
        </w:rPr>
      </w:pPr>
      <w:r>
        <w:rPr>
          <w:rFonts w:ascii="Times New Roman" w:hAnsi="Times New Roman"/>
          <w:sz w:val="20"/>
        </w:rPr>
        <w:t xml:space="preserve">Medicinal products used in clinical trials must be manufactured in accordance with Good Manufacturing Practice, or cGMP. Other national and EU-wide regulatory requirements may also apply. </w:t>
      </w:r>
    </w:p>
    <w:p>
      <w:pPr>
        <w:pStyle w:val="TextBody"/>
        <w:bidi w:val="0"/>
        <w:spacing w:before="360" w:after="0"/>
        <w:jc w:val="left"/>
        <w:rPr>
          <w:rFonts w:ascii="Times New Roman" w:hAnsi="Times New Roman"/>
          <w:b/>
          <w:sz w:val="20"/>
        </w:rPr>
      </w:pPr>
      <w:r>
        <w:rPr>
          <w:rFonts w:ascii="Times New Roman" w:hAnsi="Times New Roman"/>
          <w:b/>
          <w:sz w:val="20"/>
        </w:rPr>
        <w:t xml:space="preserve">Marketing Authorization </w:t>
      </w:r>
    </w:p>
    <w:p>
      <w:pPr>
        <w:pStyle w:val="TextBody"/>
        <w:bidi w:val="0"/>
        <w:spacing w:before="120" w:after="0"/>
        <w:jc w:val="left"/>
        <w:rPr>
          <w:rFonts w:ascii="Times New Roman" w:hAnsi="Times New Roman"/>
          <w:sz w:val="20"/>
        </w:rPr>
      </w:pPr>
      <w:r>
        <w:rPr>
          <w:rFonts w:ascii="Times New Roman" w:hAnsi="Times New Roman"/>
          <w:sz w:val="20"/>
        </w:rPr>
        <w:t xml:space="preserve">In the EU, medicinal products can only be commercialized after obtaining a marketing authorization, or MA. To obtain regulatory approval of a product candidate under EU regulatory systems, we must submit a marketing authorization application, or MAA. The process for doing this depends, among other things, on the nature of the medicinal product.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Centralized MAs” are issued by the European Commission through the centralized procedure following an opinion of the Committee for Medicinal Products for Human Use, or CHMP, of the European Medicines Agency, or EMA, and are valid throughout the EU. The centralized procedure is compulsory for certain types of medicinal products such as (i) medicinal products derived from biotechnological processes, (ii) designated orphan medicinal products, (iii) advanced therapy medicinal products, or ATMPs (i.e. gene therapy, somatic cell therapy and tissue engineered products) and (iv) medicinal products containing a new active substance indicated for the treatment of certain diseases, such as HIV/AIDS, cancer, diabetes, neurodegenerative diseases or autoimmune diseases and other immune dysfunctions, and viral diseases. The centralized procedure is optional for products containing a new active substance not yet authorized in the EU, or that represent a significant therapeutic, scientific or technical innovation, or whose authorization would be in the interest of public health in the EU.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National MAs” are issued by the competent authorities of individual EU member states, only cover their respective territory, and are available for product candidates not falling within the mandatory scope of the centralized procedure. Where a product has already been authorized for marketing in an EU member state, this national MA can be recognized in another member state through the mutual recognition procedure. If the product has not received a national MA in any EU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the centralized procedure the maximum timeframe for the evaluation of an MAA by the EMA is 210 days, excluding clock stops. In exceptional cases, the CHMP might perform an accelerated review of a MAA in no more than 150 days, excluding clock stops, where a medicinal product is of major interest from a public health perspective. Clock stops may extend the timeframe of evaluation of an MAA considerably beyond 210 days. Where the CHMP gives a positive opinion, the EMA provides the opinion together with supporting documentation to the European Commission, who makes the final decision to grant an MA, which is issued within 67 days of receipt of the EMA’s recommendation. In March 2016, the EMA launched an initiative, the PRIME scheme,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contact and rapporteur from the CHMP is appointed early in the PRIME scheme facilitating increased understanding of the product at EMA’s committee level. An initial meeting initiates these relationships and includes a team of multidisciplinary experts at the EMA to provide guidance on the overall development and regulatory strategies. </w:t>
      </w:r>
    </w:p>
    <w:p>
      <w:pPr>
        <w:pStyle w:val="TextBody"/>
        <w:bidi w:val="0"/>
        <w:spacing w:before="240" w:after="0"/>
        <w:jc w:val="left"/>
        <w:rPr>
          <w:rFonts w:ascii="Times New Roman" w:hAnsi="Times New Roman"/>
          <w:sz w:val="20"/>
        </w:rPr>
      </w:pPr>
      <w:r>
        <w:rPr>
          <w:rFonts w:ascii="Times New Roman" w:hAnsi="Times New Roman"/>
          <w:sz w:val="20"/>
        </w:rPr>
        <w:t xml:space="preserve">In the EU, a “conditional” MA may be granted in cases where all the required safety and efficacy data are not yet available. The conditional MA is subject to conditions to be fulfilled for generating the missing data or ensuring increased safety measures. It is valid for one year and has to be renewed annually until fulfillment of all the conditions. Once the pending studies are provided, it can become a “standard” MA. However, if the conditions are not fulfilled within the timeframe set by the EMA, the MA ceases to be renewed. </w:t>
      </w:r>
    </w:p>
    <w:p>
      <w:pPr>
        <w:pStyle w:val="TextBody"/>
        <w:bidi w:val="0"/>
        <w:spacing w:before="240" w:after="0"/>
        <w:jc w:val="left"/>
        <w:rPr>
          <w:rFonts w:ascii="Times New Roman" w:hAnsi="Times New Roman"/>
          <w:sz w:val="20"/>
        </w:rPr>
      </w:pPr>
      <w:r>
        <w:rPr>
          <w:rFonts w:ascii="Times New Roman" w:hAnsi="Times New Roman"/>
          <w:sz w:val="20"/>
        </w:rPr>
        <w:t xml:space="preserve">Furthermore, an MA may also be granted “under exceptional circumstances” when the applicant can show that it is unable to provide comprehensive data on the efficacy and safety under normal conditions of use even after the product has been authorized and subject to specific procedures being introduced. This may arise in particular when the intended indications are very rare and, in the present state of scientific knowledge, it is not possible to provide comprehensive information, or when generating data may be contrary to generally accepted ethical principles. This MA is close to the conditional MA as it is reserved to medicinal products to be approved for severe diseases or unmet medical needs and the applicant does not hold the complete data set legally required for the grant of a standard MA. However, unlike the conditional MA, the applicant does not have to provide the missing data and will never have to. Although the MA “under exceptional circumstances” is granted definitively, the risk-benefit balance of the medicinal product is reviewed annually and the MA is withdrawn if it is determined that the risk-benefit ratio is no longer favorable. </w:t>
      </w:r>
    </w:p>
    <w:p>
      <w:pPr>
        <w:pStyle w:val="TextBody"/>
        <w:bidi w:val="0"/>
        <w:spacing w:before="240" w:after="0"/>
        <w:jc w:val="left"/>
        <w:rPr>
          <w:rFonts w:ascii="Times New Roman" w:hAnsi="Times New Roman"/>
          <w:sz w:val="20"/>
        </w:rPr>
      </w:pPr>
      <w:r>
        <w:rPr>
          <w:rFonts w:ascii="Times New Roman" w:hAnsi="Times New Roman"/>
          <w:sz w:val="20"/>
        </w:rPr>
        <w:t xml:space="preserve">The European Commission introduced legislative proposals in April 2023 intended to replace the current regulatory framework in the EU for all medicines (including those for rare diseases and for children). The European Commission provided the legislative proposals to the European Parliament and the European Council for their review and approval. In April 2024, the European Parliament adopted its position on the legislative proposals and, in June 2025, the European Council adopted its position. A common position on the text was agreed upon on December 11, 2025, in the context of subsequent inter-institutional trilogue negotiations. The proposed revisions remain to be formally adopted into EU law, and are not expected to become applicable before 2028.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Rest of the World Government Regulation </w:t>
      </w:r>
    </w:p>
    <w:p>
      <w:pPr>
        <w:pStyle w:val="TextBody"/>
        <w:bidi w:val="0"/>
        <w:spacing w:before="120" w:after="0"/>
        <w:jc w:val="left"/>
        <w:rPr>
          <w:rFonts w:ascii="Times New Roman" w:hAnsi="Times New Roman"/>
          <w:sz w:val="20"/>
        </w:rPr>
      </w:pPr>
      <w:r>
        <w:rPr>
          <w:rFonts w:ascii="Times New Roman" w:hAnsi="Times New Roman"/>
          <w:sz w:val="20"/>
        </w:rPr>
        <w:t xml:space="preserve">For other countries outside of Europe, such as some countries in Eastern Europe, Latin America or Asia, the requirements governing the conduct of clinical trials, product licensing, pricing and reimbursement vary from country to country. In all cases, again, the clinical trials must be conducted in accordance with GCP requirements and the applicable regulatory requirements and the ethical principles that have their origin in the Declaration of Helsinki. </w:t>
      </w:r>
    </w:p>
    <w:p>
      <w:pPr>
        <w:pStyle w:val="TextBody"/>
        <w:bidi w:val="0"/>
        <w:spacing w:before="240" w:after="0"/>
        <w:jc w:val="left"/>
        <w:rPr>
          <w:rFonts w:ascii="Times New Roman" w:hAnsi="Times New Roman"/>
          <w:sz w:val="20"/>
        </w:rPr>
      </w:pPr>
      <w:r>
        <w:rPr>
          <w:rFonts w:ascii="Times New Roman" w:hAnsi="Times New Roman"/>
          <w:sz w:val="20"/>
        </w:rPr>
        <w:t xml:space="preserve">If we or our potential collaborators fail to comply with applicable foreign regulatory requirements, we may be subject to, among other things, fines, suspension or withdrawal of regulatory approvals, product recalls, seizure of products, operating restrictions and criminal prosecution.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M.D. Anderson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In October 2021, we entered into the M.D. Anderson License Agreement with the Board of Regents of The University of Texas System, on behalf of M.D. Anderson. The entry into the M.D. Anderson License Agreement followed our exercise of rights granted to us under the parties’ prior Collaborative Research &amp; Option Agreement dated November 16, 2020, or the Collaboration Agreement, under which M.D. Anderson granted us an option to obtain a license to specified technologies. Under the M.D. Anderson License Agreement, M.D. Anderson granted to us (a) an exclusive, worldwide, sublicensable license under certain intellectual property arising under the Collaboration Agreement and certain patent rights, (b) a non-exclusive, worldwide, sublicensable license under certain other intellectual property and (c) a non-exclusive, worldwide, sublicensable license under additional intellectual property to practice certain intellectual property arising under the Collaboration Agreement, in each case (a)-(c), to make, have made, use, sell, offer for sale, import, develop, and commercialize certain products developed during the Collaboration Agreement, or the Developed Products, and licensed products for use in human therapeutics, diagnostics, and prophylactics. </w:t>
      </w:r>
    </w:p>
    <w:p>
      <w:pPr>
        <w:pStyle w:val="TextBody"/>
        <w:bidi w:val="0"/>
        <w:spacing w:before="240" w:after="0"/>
        <w:jc w:val="left"/>
        <w:rPr>
          <w:rFonts w:ascii="Times New Roman" w:hAnsi="Times New Roman"/>
          <w:sz w:val="20"/>
        </w:rPr>
      </w:pPr>
      <w:r>
        <w:rPr>
          <w:rFonts w:ascii="Times New Roman" w:hAnsi="Times New Roman"/>
          <w:sz w:val="20"/>
        </w:rPr>
        <w:t xml:space="preserve">Under the M.D. Anderson License Agreement, we are obligated to use commercially reasonable efforts to develop and seek marketing authorization for Developed Products and licensed products, and to commercialize such Developed Products and licensed products. </w:t>
      </w:r>
    </w:p>
    <w:p>
      <w:pPr>
        <w:pStyle w:val="TextBody"/>
        <w:bidi w:val="0"/>
        <w:spacing w:before="240" w:after="0"/>
        <w:jc w:val="left"/>
        <w:rPr>
          <w:rFonts w:ascii="Times New Roman" w:hAnsi="Times New Roman"/>
          <w:sz w:val="20"/>
        </w:rPr>
      </w:pPr>
      <w:r>
        <w:rPr>
          <w:rFonts w:ascii="Times New Roman" w:hAnsi="Times New Roman"/>
          <w:sz w:val="20"/>
        </w:rPr>
        <w:t xml:space="preserve">Under the M.D. Anderson License Agreement, we are obligated to pay to M.D. Anderson (a) a royalty on net sales of Developed Products and licensed products at a low single digit percentage, (b) milestone payments of up to $75.0 million upon the achievement of certain specified clinical and regulatory milestones and up to $90.0 million upon the achievement of certain specified sales milestone events, which milestones may be payable with respect to multiple products and indications and (c) a share of certain consideration received by us from sublicensees under any sublicense agreements with third parties.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we have made approximately $11.1 million in aggregate payments to M.D. Anderson in connection with the Collaboration Agreement and the M.D. Anderson License Agreement, including with respect to the payment of option exercise fees, milestone payments and certain reimbursable patent expenses and research fees which were incurred by M.D. Anderson prior to entering into the M.D. Anderson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term of the M.D. Anderson License Agreement continues until the last to occur of: (a) the expiration of the last valid claim within certain licensed patent rights or (b) a specified period following the first commercial sale of a licensed product or Developed Product in any country. </w:t>
      </w:r>
    </w:p>
    <w:p>
      <w:pPr>
        <w:pStyle w:val="TextBody"/>
        <w:bidi w:val="0"/>
        <w:spacing w:before="240" w:after="0"/>
        <w:jc w:val="left"/>
        <w:rPr>
          <w:rFonts w:ascii="Times New Roman" w:hAnsi="Times New Roman"/>
          <w:sz w:val="20"/>
        </w:rPr>
      </w:pPr>
      <w:r>
        <w:rPr>
          <w:rFonts w:ascii="Times New Roman" w:hAnsi="Times New Roman"/>
          <w:sz w:val="20"/>
        </w:rPr>
        <w:t xml:space="preserve">We have the right to terminate the M.D. Anderson License Agreement for convenience upon certain prior written notice or by giving written notice to M.D. Anderson upon a material breach that is not remediated within a specified period of time. M.D. Anderson may terminate the M.D. Anderson License Agreement due to our insolvency or bankruptcy or by giving written notice to us upon a material breach that is not remediated within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specified period of time. The M.D. Anderson License Agreement may be terminated by the Board of Regents upon notice for an uncured challenge of the Board of Regents’ patents and by mutual agreement of us and the Board of Regents. </w:t>
      </w:r>
    </w:p>
    <w:p>
      <w:pPr>
        <w:pStyle w:val="TextBody"/>
        <w:bidi w:val="0"/>
        <w:spacing w:before="360" w:after="0"/>
        <w:jc w:val="left"/>
        <w:rPr>
          <w:rFonts w:ascii="Times New Roman" w:hAnsi="Times New Roman"/>
          <w:b/>
          <w:sz w:val="20"/>
        </w:rPr>
      </w:pPr>
      <w:r>
        <w:rPr>
          <w:rFonts w:ascii="Times New Roman" w:hAnsi="Times New Roman"/>
          <w:b/>
          <w:sz w:val="20"/>
        </w:rPr>
        <w:t xml:space="preserve">Employees and Human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we had 87 full-time employees; 29 of whom have M.D. or Ph.D. degrees. We also engage consultants and advisors with specialized expertise in clinical development, regulatory affairs, and other technical areas as needed to support our operations. Within our workforce, as of June 30, 2026, 68 employees are engaged in research and development and 19 are engaged in business development, finance, information technology, and general management and administration. Our human capital resources objectives include identifying, recruiting, engaging, incentivizing, developing, and retaining our existing and new employees. None of our employees are represented by labor unions or covered by collective bargaining agreements. We consider our relationship with our employees to be good. </w:t>
      </w:r>
    </w:p>
    <w:p>
      <w:pPr>
        <w:pStyle w:val="TextBody"/>
        <w:bidi w:val="0"/>
        <w:spacing w:before="360" w:after="0"/>
        <w:jc w:val="left"/>
        <w:rPr>
          <w:rFonts w:ascii="Times New Roman" w:hAnsi="Times New Roman"/>
          <w:b/>
          <w:sz w:val="20"/>
        </w:rPr>
      </w:pPr>
      <w:r>
        <w:rPr>
          <w:rFonts w:ascii="Times New Roman" w:hAnsi="Times New Roman"/>
          <w:b/>
          <w:sz w:val="20"/>
        </w:rPr>
        <w:t xml:space="preserve">Facilities </w:t>
      </w:r>
    </w:p>
    <w:p>
      <w:pPr>
        <w:pStyle w:val="TextBody"/>
        <w:bidi w:val="0"/>
        <w:spacing w:before="120" w:after="0"/>
        <w:jc w:val="left"/>
        <w:rPr>
          <w:rFonts w:ascii="Times New Roman" w:hAnsi="Times New Roman"/>
          <w:sz w:val="20"/>
        </w:rPr>
      </w:pPr>
      <w:r>
        <w:rPr>
          <w:rFonts w:ascii="Times New Roman" w:hAnsi="Times New Roman"/>
          <w:sz w:val="20"/>
        </w:rPr>
        <w:t xml:space="preserve">Our corporate headquarters is located in Cambridge, Massachusetts, where we lease and occupy 17,807 square feet of office and laboratory space. The current term of our Cambridge lease expires on January 31, 2027. In addition, our technical development facility is located in Bedford, Massachusetts, where we lease and occupy 9,896 square feet of office and laboratory space pursuant to a lease agreement that expires on December 31, 2028 with an option to extend the lease term for an additional five year period. We believe our existing facilities are sufficient for our needs for the foreseeable future. To meet the future needs of our business, we may lease additional or alternate space, and we believe suitable additional or alternative space will be available in the future on commercially reasonable terms.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x127696_14"/>
      <w:bookmarkEnd w:id="15"/>
      <w:r>
        <w:rPr>
          <w:rFonts w:ascii="Times New Roman" w:hAnsi="Times New Roman"/>
          <w:b/>
          <w:sz w:val="20"/>
        </w:rPr>
        <w:t xml:space="preserve">MANAGEMENT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name, age and position of the individuals who serve as our officers as of the date of this prospectus. The following also includes certain information regarding the individual experience, qualifications, attributes and skills of each individual as well as brief statements of those aspects of their backgrounds that led to conclusion that they are qualified to serve as a director. </w:t>
      </w:r>
      <w:r>
        <w:rPr>
          <w:rFonts w:ascii="Times New Roman" w:hAnsi="Times New Roman"/>
          <w:i/>
          <w:sz w:val="20"/>
        </w:rPr>
        <w:t>Unless the context otherwise requires, references in this section to “we,” “us,”</w:t>
      </w:r>
      <w:r>
        <w:rPr>
          <w:rFonts w:ascii="Times New Roman" w:hAnsi="Times New Roman"/>
          <w:sz w:val="20"/>
        </w:rPr>
        <w:t> ”</w:t>
      </w:r>
      <w:r>
        <w:rPr>
          <w:rFonts w:ascii="Times New Roman" w:hAnsi="Times New Roman"/>
          <w:i/>
          <w:sz w:val="20"/>
        </w:rPr>
        <w:t>our” and the “Company” refer to Obsidian Therapeutics, Inc. following the closing of the Mergers.</w:t>
      </w:r>
    </w:p>
    <w:p>
      <w:pPr>
        <w:pStyle w:val="TextBody"/>
        <w:bidi w:val="0"/>
        <w:spacing w:before="360" w:after="0"/>
        <w:jc w:val="left"/>
        <w:rPr>
          <w:rFonts w:ascii="Times New Roman" w:hAnsi="Times New Roman"/>
          <w:b/>
          <w:sz w:val="20"/>
        </w:rPr>
      </w:pPr>
      <w:r>
        <w:rPr>
          <w:rFonts w:ascii="Times New Roman" w:hAnsi="Times New Roman"/>
          <w:b/>
          <w:sz w:val="20"/>
        </w:rPr>
        <w:t xml:space="preserve">Executive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name, age and position of each of our executive officers and directors as of August 15, 2026. </w:t>
      </w:r>
    </w:p>
    <w:p>
      <w:pPr>
        <w:pStyle w:val="TextBody"/>
        <w:bidi w:val="0"/>
        <w:spacing w:before="0" w:after="0"/>
        <w:jc w:val="left"/>
        <w:rPr/>
      </w:pPr>
      <w:r>
        <w:rPr/>
        <w:t> </w:t>
      </w:r>
    </w:p>
    <w:tbl>
      <w:tblPr>
        <w:tblW w:w="7830" w:type="dxa"/>
        <w:jc w:val="left"/>
        <w:tblInd w:w="0" w:type="dxa"/>
        <w:tblLayout w:type="fixed"/>
        <w:tblCellMar>
          <w:top w:w="0" w:type="dxa"/>
          <w:left w:w="0" w:type="dxa"/>
          <w:bottom w:w="0" w:type="dxa"/>
          <w:right w:w="0" w:type="dxa"/>
        </w:tblCellMar>
      </w:tblPr>
      <w:tblGrid>
        <w:gridCol w:w="3620"/>
        <w:gridCol w:w="120"/>
        <w:gridCol w:w="425"/>
        <w:gridCol w:w="120"/>
        <w:gridCol w:w="3545"/>
      </w:tblGrid>
      <w:tr>
        <w:trPr/>
        <w:tc>
          <w:tcPr>
            <w:tcW w:w="3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45" w:type="dxa"/>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bidi w:val="0"/>
              <w:spacing w:before="0" w:after="283"/>
              <w:jc w:val="left"/>
              <w:rPr>
                <w:b/>
              </w:rPr>
            </w:pPr>
            <w:r>
              <w:rPr>
                <w:b/>
              </w:rPr>
              <w:t>Name</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b/>
              </w:rPr>
            </w:pPr>
            <w:r>
              <w:rPr>
                <w:b/>
              </w:rPr>
              <w:t>Age</w:t>
            </w:r>
          </w:p>
        </w:tc>
        <w:tc>
          <w:tcPr>
            <w:tcW w:w="12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b/>
              </w:rPr>
            </w:pPr>
            <w:r>
              <w:rPr>
                <w:b/>
              </w:rPr>
              <w:t>Position</w:t>
            </w:r>
          </w:p>
        </w:tc>
      </w:tr>
      <w:tr>
        <w:trPr/>
        <w:tc>
          <w:tcPr>
            <w:tcW w:w="3620" w:type="dxa"/>
            <w:tcBorders/>
            <w:vAlign w:val="center"/>
          </w:tcPr>
          <w:p>
            <w:pPr>
              <w:pStyle w:val="TableContents"/>
              <w:bidi w:val="0"/>
              <w:spacing w:before="0" w:after="283"/>
              <w:jc w:val="left"/>
              <w:rPr>
                <w:b/>
                <w:i/>
              </w:rPr>
            </w:pPr>
            <w:r>
              <w:rPr>
                <w:b/>
                <w:i/>
              </w:rPr>
              <w:t>Executive Officers:</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bidi w:val="0"/>
              <w:spacing w:before="0" w:after="283"/>
              <w:jc w:val="left"/>
              <w:rPr/>
            </w:pPr>
            <w:r>
              <w:rPr/>
              <w:t>Madan Jagasia, M.D., M.S.</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57</w:t>
            </w:r>
          </w:p>
        </w:tc>
        <w:tc>
          <w:tcPr>
            <w:tcW w:w="12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Chief Executive Officer and Director</w:t>
            </w:r>
          </w:p>
        </w:tc>
      </w:tr>
      <w:tr>
        <w:trPr/>
        <w:tc>
          <w:tcPr>
            <w:tcW w:w="3620" w:type="dxa"/>
            <w:tcBorders/>
            <w:vAlign w:val="center"/>
          </w:tcPr>
          <w:p>
            <w:pPr>
              <w:pStyle w:val="TableContents"/>
              <w:bidi w:val="0"/>
              <w:spacing w:before="0" w:after="283"/>
              <w:jc w:val="left"/>
              <w:rPr/>
            </w:pPr>
            <w:r>
              <w:rPr/>
              <w:t>Julie Feder</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56</w:t>
            </w:r>
          </w:p>
        </w:tc>
        <w:tc>
          <w:tcPr>
            <w:tcW w:w="12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Chief Financial Officer</w:t>
            </w:r>
          </w:p>
        </w:tc>
      </w:tr>
      <w:tr>
        <w:trPr/>
        <w:tc>
          <w:tcPr>
            <w:tcW w:w="3620" w:type="dxa"/>
            <w:tcBorders/>
            <w:vAlign w:val="center"/>
          </w:tcPr>
          <w:p>
            <w:pPr>
              <w:pStyle w:val="TableContents"/>
              <w:bidi w:val="0"/>
              <w:spacing w:before="0" w:after="283"/>
              <w:jc w:val="left"/>
              <w:rPr/>
            </w:pPr>
            <w:r>
              <w:rPr/>
              <w:t>Parameswaran Hari, M.D., M.S.</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58</w:t>
            </w:r>
          </w:p>
        </w:tc>
        <w:tc>
          <w:tcPr>
            <w:tcW w:w="12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Chief Medical Officer</w:t>
            </w:r>
          </w:p>
        </w:tc>
      </w:tr>
      <w:tr>
        <w:trPr/>
        <w:tc>
          <w:tcPr>
            <w:tcW w:w="3620" w:type="dxa"/>
            <w:tcBorders/>
            <w:vAlign w:val="center"/>
          </w:tcPr>
          <w:p>
            <w:pPr>
              <w:pStyle w:val="TableContents"/>
              <w:bidi w:val="0"/>
              <w:spacing w:before="0" w:after="283"/>
              <w:jc w:val="left"/>
              <w:rPr/>
            </w:pPr>
            <w:r>
              <w:rPr/>
              <w:t>Dana Alexander, M.B.A.</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51</w:t>
            </w:r>
          </w:p>
        </w:tc>
        <w:tc>
          <w:tcPr>
            <w:tcW w:w="12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Chief Technical Officer</w:t>
            </w:r>
          </w:p>
        </w:tc>
      </w:tr>
      <w:tr>
        <w:trPr/>
        <w:tc>
          <w:tcPr>
            <w:tcW w:w="3620" w:type="dxa"/>
            <w:tcBorders/>
            <w:vAlign w:val="center"/>
          </w:tcPr>
          <w:p>
            <w:pPr>
              <w:pStyle w:val="TableContents"/>
              <w:bidi w:val="0"/>
              <w:spacing w:before="0" w:after="283"/>
              <w:jc w:val="left"/>
              <w:rPr>
                <w:b/>
                <w:i/>
              </w:rPr>
            </w:pPr>
            <w:r>
              <w:rPr>
                <w:b/>
                <w:i/>
              </w:rPr>
              <w:t>Non-Executive Directors:</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bidi w:val="0"/>
              <w:spacing w:before="0" w:after="283"/>
              <w:jc w:val="left"/>
              <w:rPr/>
            </w:pPr>
            <w:r>
              <w:rPr/>
              <w:t>Maria Fardis, Ph.D., M.B.A.(1)(3)</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58</w:t>
            </w:r>
          </w:p>
        </w:tc>
        <w:tc>
          <w:tcPr>
            <w:tcW w:w="12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Chairperson of the Board</w:t>
            </w:r>
          </w:p>
        </w:tc>
      </w:tr>
      <w:tr>
        <w:trPr/>
        <w:tc>
          <w:tcPr>
            <w:tcW w:w="3620" w:type="dxa"/>
            <w:tcBorders/>
            <w:vAlign w:val="center"/>
          </w:tcPr>
          <w:p>
            <w:pPr>
              <w:pStyle w:val="TableContents"/>
              <w:bidi w:val="0"/>
              <w:spacing w:before="0" w:after="283"/>
              <w:jc w:val="left"/>
              <w:rPr/>
            </w:pPr>
            <w:r>
              <w:rPr/>
              <w:t>Peter Barrett, Ph.D.(2)(3)</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73</w:t>
            </w:r>
          </w:p>
        </w:tc>
        <w:tc>
          <w:tcPr>
            <w:tcW w:w="12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Director</w:t>
            </w:r>
          </w:p>
        </w:tc>
      </w:tr>
      <w:tr>
        <w:trPr/>
        <w:tc>
          <w:tcPr>
            <w:tcW w:w="3620" w:type="dxa"/>
            <w:tcBorders/>
            <w:vAlign w:val="center"/>
          </w:tcPr>
          <w:p>
            <w:pPr>
              <w:pStyle w:val="TableContents"/>
              <w:bidi w:val="0"/>
              <w:spacing w:before="0" w:after="283"/>
              <w:jc w:val="left"/>
              <w:rPr/>
            </w:pPr>
            <w:r>
              <w:rPr/>
              <w:t>Heidi Hagen, M.B.A.(1)(2)</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57</w:t>
            </w:r>
          </w:p>
        </w:tc>
        <w:tc>
          <w:tcPr>
            <w:tcW w:w="12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Director</w:t>
            </w:r>
          </w:p>
        </w:tc>
      </w:tr>
      <w:tr>
        <w:trPr/>
        <w:tc>
          <w:tcPr>
            <w:tcW w:w="3620" w:type="dxa"/>
            <w:tcBorders/>
            <w:vAlign w:val="center"/>
          </w:tcPr>
          <w:p>
            <w:pPr>
              <w:pStyle w:val="TableContents"/>
              <w:bidi w:val="0"/>
              <w:spacing w:before="0" w:after="283"/>
              <w:jc w:val="left"/>
              <w:rPr/>
            </w:pPr>
            <w:r>
              <w:rPr/>
              <w:t>Matthew Norkunas, M.D., M.B.A.(3)</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48</w:t>
            </w:r>
          </w:p>
        </w:tc>
        <w:tc>
          <w:tcPr>
            <w:tcW w:w="12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Director</w:t>
            </w:r>
          </w:p>
        </w:tc>
      </w:tr>
      <w:tr>
        <w:trPr/>
        <w:tc>
          <w:tcPr>
            <w:tcW w:w="3620" w:type="dxa"/>
            <w:tcBorders/>
            <w:vAlign w:val="center"/>
          </w:tcPr>
          <w:p>
            <w:pPr>
              <w:pStyle w:val="TableContents"/>
              <w:bidi w:val="0"/>
              <w:spacing w:before="0" w:after="283"/>
              <w:jc w:val="left"/>
              <w:rPr/>
            </w:pPr>
            <w:r>
              <w:rPr/>
              <w:t>Robert Ross, M.D.(1)(2)</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53</w:t>
            </w:r>
          </w:p>
        </w:tc>
        <w:tc>
          <w:tcPr>
            <w:tcW w:w="12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Director</w:t>
            </w:r>
          </w:p>
        </w:tc>
      </w:tr>
    </w:tbl>
    <w:p>
      <w:pPr>
        <w:pStyle w:val="TextBody"/>
        <w:bidi w:val="0"/>
        <w:spacing w:lineRule="atLeast" w:line="160" w:before="0" w:after="40"/>
        <w:jc w:val="left"/>
        <w:rPr>
          <w:bdr w:val="single" w:sz="2" w:space="1" w:color="000000"/>
        </w:rPr>
      </w:pPr>
      <w:r>
        <w:rPr>
          <w:bdr w:val="single" w:sz="2" w:space="1" w:color="000000"/>
        </w:rPr>
        <w:t> </w:t>
      </w:r>
    </w:p>
    <w:tbl>
      <w:tblPr>
        <w:tblW w:w="3700" w:type="dxa"/>
        <w:jc w:val="left"/>
        <w:tblInd w:w="0" w:type="dxa"/>
        <w:tblLayout w:type="fixed"/>
        <w:tblCellMar>
          <w:top w:w="0" w:type="dxa"/>
          <w:left w:w="0" w:type="dxa"/>
          <w:bottom w:w="0" w:type="dxa"/>
          <w:right w:w="0" w:type="dxa"/>
        </w:tblCellMar>
      </w:tblPr>
      <w:tblGrid>
        <w:gridCol w:w="305"/>
        <w:gridCol w:w="3395"/>
      </w:tblGrid>
      <w:tr>
        <w:trPr/>
        <w:tc>
          <w:tcPr>
            <w:tcW w:w="305" w:type="dxa"/>
            <w:tcBorders/>
            <w:vAlign w:val="center"/>
          </w:tcPr>
          <w:p>
            <w:pPr>
              <w:pStyle w:val="TableContents"/>
              <w:bidi w:val="0"/>
              <w:spacing w:before="0" w:after="283"/>
              <w:jc w:val="left"/>
              <w:rPr/>
            </w:pPr>
            <w:r>
              <w:rPr/>
              <w:t>(1)</w:t>
            </w:r>
          </w:p>
        </w:tc>
        <w:tc>
          <w:tcPr>
            <w:tcW w:w="3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Member of the compensation committee. </w:t>
            </w:r>
          </w:p>
        </w:tc>
      </w:tr>
    </w:tbl>
    <w:tbl>
      <w:tblPr>
        <w:tblW w:w="5650" w:type="dxa"/>
        <w:jc w:val="left"/>
        <w:tblInd w:w="0" w:type="dxa"/>
        <w:tblLayout w:type="fixed"/>
        <w:tblCellMar>
          <w:top w:w="0" w:type="dxa"/>
          <w:left w:w="0" w:type="dxa"/>
          <w:bottom w:w="0" w:type="dxa"/>
          <w:right w:w="0" w:type="dxa"/>
        </w:tblCellMar>
      </w:tblPr>
      <w:tblGrid>
        <w:gridCol w:w="305"/>
        <w:gridCol w:w="5345"/>
      </w:tblGrid>
      <w:tr>
        <w:trPr/>
        <w:tc>
          <w:tcPr>
            <w:tcW w:w="305" w:type="dxa"/>
            <w:tcBorders/>
            <w:vAlign w:val="center"/>
          </w:tcPr>
          <w:p>
            <w:pPr>
              <w:pStyle w:val="TableContents"/>
              <w:bidi w:val="0"/>
              <w:spacing w:before="0" w:after="283"/>
              <w:jc w:val="left"/>
              <w:rPr/>
            </w:pPr>
            <w:r>
              <w:rPr/>
              <w:t>(2)</w:t>
            </w:r>
          </w:p>
        </w:tc>
        <w:tc>
          <w:tcPr>
            <w:tcW w:w="5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Member of the nominating and corporate governance committee. </w:t>
            </w:r>
          </w:p>
        </w:tc>
      </w:tr>
    </w:tbl>
    <w:tbl>
      <w:tblPr>
        <w:tblW w:w="2980" w:type="dxa"/>
        <w:jc w:val="left"/>
        <w:tblInd w:w="0" w:type="dxa"/>
        <w:tblLayout w:type="fixed"/>
        <w:tblCellMar>
          <w:top w:w="0" w:type="dxa"/>
          <w:left w:w="0" w:type="dxa"/>
          <w:bottom w:w="0" w:type="dxa"/>
          <w:right w:w="0" w:type="dxa"/>
        </w:tblCellMar>
      </w:tblPr>
      <w:tblGrid>
        <w:gridCol w:w="305"/>
        <w:gridCol w:w="2675"/>
      </w:tblGrid>
      <w:tr>
        <w:trPr/>
        <w:tc>
          <w:tcPr>
            <w:tcW w:w="305" w:type="dxa"/>
            <w:tcBorders/>
            <w:vAlign w:val="center"/>
          </w:tcPr>
          <w:p>
            <w:pPr>
              <w:pStyle w:val="TableContents"/>
              <w:bidi w:val="0"/>
              <w:spacing w:before="0" w:after="283"/>
              <w:jc w:val="left"/>
              <w:rPr/>
            </w:pPr>
            <w:r>
              <w:rPr/>
              <w:t>(3)</w:t>
            </w:r>
          </w:p>
        </w:tc>
        <w:tc>
          <w:tcPr>
            <w:tcW w:w="2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Member of the audit committee.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Executive Officers </w:t>
      </w:r>
    </w:p>
    <w:p>
      <w:pPr>
        <w:pStyle w:val="TextBody"/>
        <w:bidi w:val="0"/>
        <w:spacing w:before="120" w:after="0"/>
        <w:jc w:val="left"/>
        <w:rPr>
          <w:rFonts w:ascii="Times New Roman" w:hAnsi="Times New Roman"/>
          <w:sz w:val="20"/>
        </w:rPr>
      </w:pPr>
      <w:r>
        <w:rPr>
          <w:rFonts w:ascii="Times New Roman" w:hAnsi="Times New Roman"/>
          <w:b/>
          <w:i/>
          <w:sz w:val="20"/>
        </w:rPr>
        <w:t>Madan Jagasia, M.D., M.S.</w:t>
      </w:r>
      <w:r>
        <w:rPr>
          <w:rFonts w:ascii="Times New Roman" w:hAnsi="Times New Roman"/>
          <w:sz w:val="20"/>
        </w:rPr>
        <w:t xml:space="preserve">, has served as Legacy Obsidian’s Chief Executive Officer and a member of the Board since January 2023. From August 2020 to January 2023, Dr. Jagasia served in various roles at Iovance Biotherapeutics, Inc. (Nasdaq: IOVA), or Iovance, a biopharmaceutical company, and most recently as Executive Vice President, Medical Affairs. Previously, Dr. Jagasia worked at Vanderbilt University Medical Center since 2001 in various roles and most recently as Chief Medical Officer and Executive Medical Director of the Vanderbilt-Ingram Cancer Center, or VICC, where he co-led the Translational Research and Interventional Oncology Research Program at VICC. Dr. Jagasia holds a M.B.B.S. from the GS Medical College &amp; KEM Hospital and an M.S. and a Master of Management in Health Care Management from Vanderbilt University. We believe Dr. Jagasia is qualified to serve on the Board because of his scientific and professional background, and his familiarity with our company as Chief Executive Officer. </w:t>
      </w:r>
    </w:p>
    <w:p>
      <w:pPr>
        <w:pStyle w:val="TextBody"/>
        <w:bidi w:val="0"/>
        <w:spacing w:before="240" w:after="0"/>
        <w:jc w:val="left"/>
        <w:rPr>
          <w:rFonts w:ascii="Times New Roman" w:hAnsi="Times New Roman"/>
          <w:sz w:val="20"/>
        </w:rPr>
      </w:pPr>
      <w:r>
        <w:rPr>
          <w:rFonts w:ascii="Times New Roman" w:hAnsi="Times New Roman"/>
          <w:b/>
          <w:i/>
          <w:sz w:val="20"/>
        </w:rPr>
        <w:t xml:space="preserve">Julie Feder </w:t>
      </w:r>
      <w:r>
        <w:rPr>
          <w:rFonts w:ascii="Times New Roman" w:hAnsi="Times New Roman"/>
          <w:sz w:val="20"/>
        </w:rPr>
        <w:t xml:space="preserve">has served as Legacy Obsidian’s Chief Financial Officer since January 2026. Previously, from August 2018 to October 2024, she served as Chief Financial Officer of Aura Biosciences, Inc. (Nasdaq: AURA), a biopharmaceutical company. Previously, Ms. Feder served as Chief Financial Officer at Verastem, Inc. (Nasdaq: VSTM), a biopharmaceutical company, from July 2017 to June 2018. Prior to joining Verastem, Ms. Feder served as the Chief Financial Officer at the Clinton Health Access Initiative, Inc. from September 2011 to July 2017. Ms. Feder began her career at Deloitte &amp; Touche LLP, where she was senior manager of Audit, Consulting and Enterprise Risk Services. Ms. Feder holds a B.S. in Accounting from Yeshiva University’s Sy Syms School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Parameswaran Hari, M.D., M.S.</w:t>
      </w:r>
      <w:r>
        <w:rPr>
          <w:rFonts w:ascii="Times New Roman" w:hAnsi="Times New Roman"/>
          <w:sz w:val="20"/>
        </w:rPr>
        <w:t xml:space="preserve">, has served as Legacy Obsidian’s Chief Medical Officer since January 2023. Previously, Dr. Hari served as Senior Vice President, Clinical Science at Iovance from November 2021 to January 2023. Prior to Iovance, Dr. Hari was the Chief of Hematology and Oncology at the Medical College of Wisconsin from March 2017 to November 2021. Dr. Hari also served the American Society of Transplantation and Cellular Therapy as its Secretary. Dr. Hari holds a M.B.B.S. from Kerala University, an M.D. from Central University of Pondicherry, and an M.S. from the Medical College of Wisconsin. </w:t>
      </w:r>
    </w:p>
    <w:p>
      <w:pPr>
        <w:pStyle w:val="TextBody"/>
        <w:bidi w:val="0"/>
        <w:spacing w:before="240" w:after="0"/>
        <w:jc w:val="left"/>
        <w:rPr>
          <w:rFonts w:ascii="Times New Roman" w:hAnsi="Times New Roman"/>
          <w:sz w:val="20"/>
        </w:rPr>
      </w:pPr>
      <w:r>
        <w:rPr>
          <w:rFonts w:ascii="Times New Roman" w:hAnsi="Times New Roman"/>
          <w:b/>
          <w:i/>
          <w:sz w:val="20"/>
        </w:rPr>
        <w:t>Dana Alexander, M.B.A.</w:t>
      </w:r>
      <w:r>
        <w:rPr>
          <w:rFonts w:ascii="Times New Roman" w:hAnsi="Times New Roman"/>
          <w:sz w:val="20"/>
        </w:rPr>
        <w:t xml:space="preserve">, has served as Legacy Obsidian’s Chief Technical Officer since April 2024. Previously, Mr. Alexander served as Senior Vice President of Technical Operations at AlloVir, Inc. (formerly Nasdaq: ALVR), a late-stage T cell therapy company, from September 2020 to April 2024. Prior to that, Mr. Alexander served as Vice President of Operations including Head of Business Operations, from January 2020 to September 2020 and Site General Manager, from January 2018 to January 2020 at Brammer Bio, now part of Thermo Fisher Scientific Inc. (NYSE: TMO). He also previously served as Chief Operations Officer at Anika Therapeutics, Inc. (Nasdaq: ANIK), a joint preservation company, and Senior Director of Manufacturing Operations at Genzyme, now part of Sanofi SA (Nasdaq: SNY), a global pharmaceutical company. Mr. Alexander holds a B.S. in Chemical Engineering from Northeastern University and an M.B.A. from Boston University.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Non-Executive Directors </w:t>
      </w:r>
    </w:p>
    <w:p>
      <w:pPr>
        <w:pStyle w:val="TextBody"/>
        <w:bidi w:val="0"/>
        <w:spacing w:before="120" w:after="0"/>
        <w:jc w:val="left"/>
        <w:rPr>
          <w:rFonts w:ascii="Times New Roman" w:hAnsi="Times New Roman"/>
          <w:sz w:val="20"/>
        </w:rPr>
      </w:pPr>
      <w:r>
        <w:rPr>
          <w:rFonts w:ascii="Times New Roman" w:hAnsi="Times New Roman"/>
          <w:b/>
          <w:i/>
          <w:sz w:val="20"/>
        </w:rPr>
        <w:t>Maria Fardis, Ph.D., M.B.A</w:t>
      </w:r>
      <w:r>
        <w:rPr>
          <w:rFonts w:ascii="Times New Roman" w:hAnsi="Times New Roman"/>
          <w:sz w:val="20"/>
        </w:rPr>
        <w:t xml:space="preserve">., is chairperson of the Obsidian Board and has served as a member of the Obsidian Board since October 2021. Dr. Fardis has served as the Chief Executive Officer of AirNexus Therapeutics, a biotechnology company, since January 2026, and as a Venture Partner at Frazier Life Sciences Management, L.P., or Frazier, a healthcare investment firm, since September 2021. Dr. Fardis served as the Chief Executive Officer of Lassen Therapeutics, a biotechnology company, from April 2021 to November 2025 and as a member of its board of directors from April 2021 to July 2026. Dr. Fardis previously served as President and Chief Executive Officer of Iovance and as a member of its board of directors from June 2016 through June 2021. Dr. Fardis previously served as the Chief Operating Officer of Acerta Pharma B.V., a biopharmaceutical company, from January 2015 to March 2016. From April 2011 to December 2014, she worked at Pharmacyclics, Inc. (formerly Nasdaq: PCYC; acquired by AbbVie Inc.) in various roles and most recently served as Chief of Oncology Operations and Alliances. Prior to that, from 2001 to 2011, Dr. Fardis held increasingly senior positions in medicinal chemistry and project and portfolio management at Gilead Sciences, Inc. (Nasdaq: GILD). Dr. Fardis has served on the board of directors of CRISPR Therapeutics AG (Nasdaq: CRSP), a biopharmaceutical company, since June 2022. Dr. Fardis holds a B.S. in chemistry from the University of Illinois, Urbana-Champaign, a Ph.D. in Organic Chemistry from the University of California, Berkeley, and an M.B.A. from Golden Gate University. We believe Dr. Fardis is qualified to serve on the Board because of her experience as an executive in the life sciences industry, extensive experience in drug development, and strong scientific background. </w:t>
      </w:r>
    </w:p>
    <w:p>
      <w:pPr>
        <w:pStyle w:val="TextBody"/>
        <w:bidi w:val="0"/>
        <w:spacing w:before="240" w:after="0"/>
        <w:jc w:val="left"/>
        <w:rPr>
          <w:rFonts w:ascii="Times New Roman" w:hAnsi="Times New Roman"/>
          <w:sz w:val="20"/>
        </w:rPr>
      </w:pPr>
      <w:r>
        <w:rPr>
          <w:rFonts w:ascii="Times New Roman" w:hAnsi="Times New Roman"/>
          <w:b/>
          <w:i/>
          <w:sz w:val="20"/>
        </w:rPr>
        <w:t>Peter Barrett, Ph.D.</w:t>
      </w:r>
      <w:r>
        <w:rPr>
          <w:rFonts w:ascii="Times New Roman" w:hAnsi="Times New Roman"/>
          <w:sz w:val="20"/>
        </w:rPr>
        <w:t>, has served as a member of the Obsidian Board since September 2015. Dr. Barrett was formerly a partner at Atlas Venture, an early-stage life sciences venture capital fund, where he was involved in the creation of several therapeutic and drug discovery platform companies</w:t>
      </w:r>
      <w:r>
        <w:rPr>
          <w:rFonts w:ascii="Times New Roman" w:hAnsi="Times New Roman"/>
          <w:i/>
          <w:sz w:val="20"/>
        </w:rPr>
        <w:t>.</w:t>
      </w:r>
      <w:r>
        <w:rPr>
          <w:rFonts w:ascii="Times New Roman" w:hAnsi="Times New Roman"/>
          <w:sz w:val="20"/>
        </w:rPr>
        <w:t xml:space="preserve"> Previously, he was a co-founder, Executive Vice President and Chief Business Officer of Celera Genomics. Dr. Barrett has served as the Chairman of Synlogic, Inc. (Nasdaq: SYBX), a biotechnology company, since 2017 and on the board of directors of Revvity, Inc. (NYSE: RVTY), a life sciences and diagnostics company, since 2012. Dr. Barrett is also on the Advisory Council of the Blavatnik Fellowship program. Dr. Barrett previously served on the board of Larimar Therapeutics, Inc. (Nasdaq: LRMR), a biotechnology company, until 2023, and previously served on the board of Cadent Therapeutics (acquired by Novartis AG), Vitae Pharmaceuticals, Inc. (formerly Nasdaq: VTAE; acquired by Allergan PLC), Stromedix, Inc. (acquired by Biogen Idec), NovaMed Pharmaceuticals, Inc. (acquired by SciClone Pharmaceuticals, Inc.), Alnylam Pharmaceuticals, Inc. (Nasdaq: ALNY), Harbour Antibodies BV (acquired by Harbour BioMed), Momenta Pharmaceuticals, Inc. (Nasdaq: MNTA), Sirion Therapeutics, Inc. (acquired by Alcon Inc. and Bausch + Lomb Corporation), and Archemix (acquired by Baxter International Inc.). In addition, Dr. Barrett is a board member of Nucleate, a student run non-profit organization representing the global community of bio-innovators. Dr. Barrett holds a B.S. in chemistry from Lowell Technological Institute (now known as the University of Massachusetts, Lowell) and a Ph.D. in analytical chemistry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from Northeastern University. We believe Dr. Barrett is qualified to serve on the Board because of his extensive experience in the life sciences industry. </w:t>
      </w:r>
    </w:p>
    <w:p>
      <w:pPr>
        <w:pStyle w:val="TextBody"/>
        <w:bidi w:val="0"/>
        <w:spacing w:before="240" w:after="0"/>
        <w:jc w:val="left"/>
        <w:rPr>
          <w:rFonts w:ascii="Times New Roman" w:hAnsi="Times New Roman"/>
          <w:sz w:val="20"/>
        </w:rPr>
      </w:pPr>
      <w:r>
        <w:rPr>
          <w:rFonts w:ascii="Times New Roman" w:hAnsi="Times New Roman"/>
          <w:b/>
          <w:i/>
          <w:sz w:val="20"/>
        </w:rPr>
        <w:t>Heidi Hagen, M.B.A.</w:t>
      </w:r>
      <w:r>
        <w:rPr>
          <w:rFonts w:ascii="Times New Roman" w:hAnsi="Times New Roman"/>
          <w:sz w:val="20"/>
        </w:rPr>
        <w:t xml:space="preserve">, has served as a member of Obsidian’s Board since November 2021. Ms. Hagen has over 35 years of experience in the Biotechnology Industry primarily as an operations executive. Ms. Hagen has served as a member of the board of directors of Vericel Corporation (Nasdaq: VCEL; formerly known as Aastrom Biosciences, Inc.), a biopharmaceutical company, since August 2013. Ms. Hagen also serves as a member of the board of directors of Dimension Bio, Applied StemCell, Inc., and A-Alpha Bio, Inc. She previously served as the Chief Technical Officer of Sonoma Biotherapeutics, Inc., a biotechnology company, from November 2021 to June 2023. Prior to that, Ms. Hagen served as the Interim Chief Executive Officer and member of the board of directors of Ziopharm Oncology, Inc. (formerly Nasdaq: ZIOP; now Alaunos Therapeutics, Inc.), a biopharmaceutical company, from 2019 to 2021. Ms. Hagen also co-founded Vineti, Inc., a software platform company for cell and gene therapy supply chain management, where she served as Advisor and Chief Strategy Officer from 2015 to 2021. Prior to those experiences, Ms. Hagen was Senior Vice President of Operations at Dendreon (2002 to 2012) where she oversaw the commercialization of the first active cellular therapy, Provenge. And, she held various operational and project management roles at Immunex Corporation from 1993 to 2002. Ms. Hagen holds a B.S. in cell biology, an M.S. in bioengineering, and an M.B.A. from the University of Washington. We believe Ms. Hagen is qualified to serve on the Board because of her significant leadership experience in the biopharmaceutical industry. </w:t>
      </w:r>
    </w:p>
    <w:p>
      <w:pPr>
        <w:pStyle w:val="TextBody"/>
        <w:bidi w:val="0"/>
        <w:spacing w:before="240" w:after="0"/>
        <w:jc w:val="left"/>
        <w:rPr>
          <w:rFonts w:ascii="Times New Roman" w:hAnsi="Times New Roman"/>
          <w:sz w:val="20"/>
        </w:rPr>
      </w:pPr>
      <w:r>
        <w:rPr>
          <w:rFonts w:ascii="Times New Roman" w:hAnsi="Times New Roman"/>
          <w:b/>
          <w:i/>
          <w:sz w:val="20"/>
        </w:rPr>
        <w:t>Matthew Norkunas, M.D., M.B.A.</w:t>
      </w:r>
      <w:r>
        <w:rPr>
          <w:rFonts w:ascii="Times New Roman" w:hAnsi="Times New Roman"/>
          <w:sz w:val="20"/>
        </w:rPr>
        <w:t xml:space="preserve">, has served as a member of the Obsidian Board since April 2023. From January 2025 to August 2026, Dr. Norkunas served as the Chief Financial Officer and President of Tubulis, Inc. (acquired by Gilead Sciences, Inc.), a biotechnology company. From July 2020 to January 2025, Dr. Norkunas served as the Chief Financial Officer of Generation Bio Co. (formerly Nasdaq: GBIO; acquired by XOMA Royalty Corporation), a genetics medicine company. Previously, Dr. Norkunas served as the Chief Financial Officer and Head of Corporate and Business Development at SomaLogic, Inc. (acquired by Illumina, Inc.), a protein biomarker discovery and clinical diagnostics company, from February 2016 to June 2020. From July 2012 to January 2016, Dr. Norkunas served as a senior equity analyst at Marsico Capital Management, LLC, an investment company, where he served as the firm’s primary health care investment specialist. Dr. Norkunas began his career as a practicing anesthesiologist. Dr. Norkunas holds a B.A. from St. Mary’s College of Maryland, an M.D. from University of Maryland School of Medicine, and an M.B.A. from Columbia Business School. We believe Dr. Norkunas is qualified to serve on the Board because of his significant financial experience of biotechnology companies and clinical background. </w:t>
      </w:r>
    </w:p>
    <w:p>
      <w:pPr>
        <w:pStyle w:val="TextBody"/>
        <w:bidi w:val="0"/>
        <w:spacing w:before="240" w:after="0"/>
        <w:jc w:val="left"/>
        <w:rPr>
          <w:rFonts w:ascii="Times New Roman" w:hAnsi="Times New Roman"/>
          <w:sz w:val="20"/>
        </w:rPr>
      </w:pPr>
      <w:r>
        <w:rPr>
          <w:rFonts w:ascii="Times New Roman" w:hAnsi="Times New Roman"/>
          <w:b/>
          <w:i/>
          <w:sz w:val="20"/>
        </w:rPr>
        <w:t>Robert Ross, M.D.</w:t>
      </w:r>
      <w:r>
        <w:rPr>
          <w:rFonts w:ascii="Times New Roman" w:hAnsi="Times New Roman"/>
          <w:sz w:val="20"/>
        </w:rPr>
        <w:t xml:space="preserve">, has served as a member of the Obsidian Board since September 2020. Since November 2023, Dr. Ross has served as the Chief Executive Officer of Clasp Therapeutics, Inc., a pharmaceutical company. Prior to that, Dr. Ross served as the Chief Executive Officer and a member of board of directors of Surface Oncology, Inc. (formerly Nasdaq: SURF; acquired by Coherus BioSciences, Inc.), an immuno-oncology company, from April 2021 until July 2023 and had previously served as the Chief Medical Officer from October 2016 to March 2021. Dr. Ross served as Head of Oncology at bluebird bio, Inc. (formerly Nasdaq: BLUE; now Genetix Biotherapeutics, Inc.) from October 2015 to October 2016, Senior Vice President of Clinical Development and Pharmacovigilance from January 2015 to October 2016, and Vice President of Clinical Development from October 2012 to January 2015. Prior to that, he worked at Infinity Pharmaceuticals, Inc. from October 2007 to October 2012. Dr. Ross was a Fellow in Medical Oncology and a faculty member at the Dana Farber Cancer Institute from July 2003 to August 2007, and then maintained a clinical practice at Dana Farber Cancer Institute from August 2007 to October 2015. Dr. Ross has served on the board of directors of Xilio Therapeutics, Inc. (Nasdaq: XLO), a biotechnology company, since June 2022. Dr. Ross holds a B.S. in Biological Sciences and a B.A. in Philosophy from Stanford University, an M.S. in Medical Science as part of the Clinical Investigator Training Program from Harvard Medical School, and an M.D. from Columbia University College of Physicians and Surgeons. He completed his residency training in Internal Medicine at the University of California, San Francisco. We believe that Dr. Ross is qualified to serve on the Board because of his extensive executive experience in the life science industry and clinical background.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127696_15"/>
      <w:bookmarkEnd w:id="16"/>
      <w:r>
        <w:rPr>
          <w:rFonts w:ascii="Times New Roman" w:hAnsi="Times New Roman"/>
          <w:b/>
          <w:sz w:val="20"/>
        </w:rPr>
        <w:t xml:space="preserve">EXECUTIVE AND DIRECTOR COMPENSATION </w:t>
      </w:r>
    </w:p>
    <w:p>
      <w:pPr>
        <w:pStyle w:val="TextBody"/>
        <w:bidi w:val="0"/>
        <w:spacing w:before="240" w:after="0"/>
        <w:jc w:val="left"/>
        <w:rPr>
          <w:rFonts w:ascii="Times New Roman" w:hAnsi="Times New Roman"/>
          <w:i/>
          <w:sz w:val="20"/>
        </w:rPr>
      </w:pPr>
      <w:r>
        <w:rPr>
          <w:rFonts w:ascii="Times New Roman" w:hAnsi="Times New Roman"/>
          <w:i/>
          <w:sz w:val="20"/>
        </w:rPr>
        <w:t xml:space="preserve">Unless the context otherwise requires, references in this section to “Parent,” “we,” “us,” “our,” and the “Company” refer to Obsidian Therapeutics, Inc. (formerly Gazelle Parent, Inc.). Obsidian Therapeutics, Inc. (formerly Gazelle Parent, Inc.) was incorporated on April 14, 2026 and therefore did not have any executive officers or pay any executive compensation during the fiscal year ended December 31, 2025. Accordingly, the historical executive compensation disclosure below relates to the executive officers of Legacy Obsidian who served as executive officers of Legacy Obsidian during fiscal year 2025. </w:t>
      </w:r>
    </w:p>
    <w:p>
      <w:pPr>
        <w:pStyle w:val="TextBody"/>
        <w:bidi w:val="0"/>
        <w:spacing w:before="240" w:after="0"/>
        <w:jc w:val="left"/>
        <w:rPr>
          <w:rFonts w:ascii="Times New Roman" w:hAnsi="Times New Roman"/>
          <w:sz w:val="20"/>
        </w:rPr>
      </w:pPr>
      <w:r>
        <w:rPr>
          <w:rFonts w:ascii="Times New Roman" w:hAnsi="Times New Roman"/>
          <w:sz w:val="20"/>
        </w:rPr>
        <w:t>The following discussion contains forward looking statements that are based on our current plans, considerations, expectations, and determinations regarding future compensation programs. Please see the section titled “</w:t>
      </w:r>
      <w:r>
        <w:rPr>
          <w:rFonts w:ascii="Times New Roman" w:hAnsi="Times New Roman"/>
          <w:i/>
          <w:sz w:val="20"/>
        </w:rPr>
        <w:t>Special Note Regarding Forward-Looking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an emerging growth company, we have opted to comply with the executive compensation disclosure rules applicable to “emerging growth companies” as such term is defined in the rules promulgated under the Securities Act. The compensation provided to our named executive officers for the fiscal year ended December 31, 2025, or Fiscal Year 2025, is detailed in the 2025 Summary Compensation Table below and accompanying footnotes and narrative that follow. </w:t>
      </w:r>
    </w:p>
    <w:p>
      <w:pPr>
        <w:pStyle w:val="TextBody"/>
        <w:bidi w:val="0"/>
        <w:spacing w:before="240" w:after="0"/>
        <w:jc w:val="left"/>
        <w:rPr>
          <w:rFonts w:ascii="Times New Roman" w:hAnsi="Times New Roman"/>
          <w:sz w:val="20"/>
        </w:rPr>
      </w:pPr>
      <w:r>
        <w:rPr>
          <w:rFonts w:ascii="Times New Roman" w:hAnsi="Times New Roman"/>
          <w:sz w:val="20"/>
        </w:rPr>
        <w:t xml:space="preserve">Legacy Obsidian’s executive officers who served as executive officers during Fiscal Year 2025 are: </w:t>
      </w:r>
    </w:p>
    <w:p>
      <w:pPr>
        <w:pStyle w:val="TextBody"/>
        <w:bidi w:val="0"/>
        <w:spacing w:before="0" w:after="0"/>
        <w:jc w:val="left"/>
        <w:rPr/>
      </w:pPr>
      <w:r>
        <w:rPr/>
        <w:t> </w:t>
      </w:r>
    </w:p>
    <w:tbl>
      <w:tblPr>
        <w:tblW w:w="6115" w:type="dxa"/>
        <w:jc w:val="left"/>
        <w:tblInd w:w="0" w:type="dxa"/>
        <w:tblLayout w:type="fixed"/>
        <w:tblCellMar>
          <w:top w:w="0" w:type="dxa"/>
          <w:left w:w="0" w:type="dxa"/>
          <w:bottom w:w="0" w:type="dxa"/>
          <w:right w:w="0" w:type="dxa"/>
        </w:tblCellMar>
      </w:tblPr>
      <w:tblGrid>
        <w:gridCol w:w="75"/>
        <w:gridCol w:w="110"/>
        <w:gridCol w:w="60"/>
        <w:gridCol w:w="58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Madan Jagasia, M.D., M.S., Legacy Obsidian’s Chief Executive Officer; </w:t>
            </w:r>
          </w:p>
        </w:tc>
      </w:tr>
    </w:tbl>
    <w:p>
      <w:pPr>
        <w:pStyle w:val="TextBody"/>
        <w:bidi w:val="0"/>
        <w:spacing w:before="0" w:after="0"/>
        <w:jc w:val="left"/>
        <w:rPr/>
      </w:pPr>
      <w:r>
        <w:rPr/>
        <w:t> </w:t>
      </w:r>
    </w:p>
    <w:tbl>
      <w:tblPr>
        <w:tblW w:w="5590" w:type="dxa"/>
        <w:jc w:val="left"/>
        <w:tblInd w:w="0" w:type="dxa"/>
        <w:tblLayout w:type="fixed"/>
        <w:tblCellMar>
          <w:top w:w="0" w:type="dxa"/>
          <w:left w:w="0" w:type="dxa"/>
          <w:bottom w:w="0" w:type="dxa"/>
          <w:right w:w="0" w:type="dxa"/>
        </w:tblCellMar>
      </w:tblPr>
      <w:tblGrid>
        <w:gridCol w:w="75"/>
        <w:gridCol w:w="110"/>
        <w:gridCol w:w="60"/>
        <w:gridCol w:w="5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Dana Alexander, Legacy Obsidian’s Chief Technical Officer; and </w:t>
            </w:r>
          </w:p>
        </w:tc>
      </w:tr>
    </w:tbl>
    <w:p>
      <w:pPr>
        <w:pStyle w:val="TextBody"/>
        <w:bidi w:val="0"/>
        <w:spacing w:before="0" w:after="0"/>
        <w:jc w:val="left"/>
        <w:rPr/>
      </w:pPr>
      <w:r>
        <w:rPr/>
        <w:t> </w:t>
      </w:r>
    </w:p>
    <w:tbl>
      <w:tblPr>
        <w:tblW w:w="6280" w:type="dxa"/>
        <w:jc w:val="left"/>
        <w:tblInd w:w="0" w:type="dxa"/>
        <w:tblLayout w:type="fixed"/>
        <w:tblCellMar>
          <w:top w:w="0" w:type="dxa"/>
          <w:left w:w="0" w:type="dxa"/>
          <w:bottom w:w="0" w:type="dxa"/>
          <w:right w:w="0" w:type="dxa"/>
        </w:tblCellMar>
      </w:tblPr>
      <w:tblGrid>
        <w:gridCol w:w="75"/>
        <w:gridCol w:w="110"/>
        <w:gridCol w:w="60"/>
        <w:gridCol w:w="60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Parameswaran Hari, M.D., M.S., Legacy Obsidian’s Chief Medical Officer.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refer to these executive officers as Legacy Obsidian’s named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To date, the compensation of Legacy Obsidian’s named executive officers has primarily consisted of a combination of base salary, annual cash incentive compensation, and long-term incentive compensation, as described in more detail below. Legacy Obsidian’s executive officers, like all full-time employees, are eligible to participate in Legacy Obsidian’s health, welfare, and retirement benefit plans. </w:t>
      </w:r>
    </w:p>
    <w:p>
      <w:pPr>
        <w:pStyle w:val="TextBody"/>
        <w:bidi w:val="0"/>
        <w:spacing w:before="360" w:after="0"/>
        <w:jc w:val="left"/>
        <w:rPr>
          <w:rFonts w:ascii="Times New Roman" w:hAnsi="Times New Roman"/>
          <w:b/>
          <w:sz w:val="20"/>
        </w:rPr>
      </w:pPr>
      <w:r>
        <w:rPr>
          <w:rFonts w:ascii="Times New Roman" w:hAnsi="Times New Roman"/>
          <w:b/>
          <w:sz w:val="20"/>
        </w:rPr>
        <w:t xml:space="preserve">2025 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the total compensation earned by, or paid to, Legacy Obsidian’s named executive officers for services rendered to Legacy Obsidian in all capacities during Fiscal Year 2025: </w:t>
      </w:r>
    </w:p>
    <w:p>
      <w:pPr>
        <w:pStyle w:val="TextBody"/>
        <w:bidi w:val="0"/>
        <w:spacing w:before="0" w:after="0"/>
        <w:jc w:val="left"/>
        <w:rPr/>
      </w:pPr>
      <w:r>
        <w:rPr/>
        <w:t> </w:t>
      </w:r>
    </w:p>
    <w:tbl>
      <w:tblPr>
        <w:tblW w:w="10695" w:type="dxa"/>
        <w:jc w:val="left"/>
        <w:tblInd w:w="0" w:type="dxa"/>
        <w:tblLayout w:type="fixed"/>
        <w:tblCellMar>
          <w:top w:w="0" w:type="dxa"/>
          <w:left w:w="0" w:type="dxa"/>
          <w:bottom w:w="0" w:type="dxa"/>
          <w:right w:w="0" w:type="dxa"/>
        </w:tblCellMar>
      </w:tblPr>
      <w:tblGrid>
        <w:gridCol w:w="2525"/>
        <w:gridCol w:w="60"/>
        <w:gridCol w:w="60"/>
        <w:gridCol w:w="500"/>
        <w:gridCol w:w="60"/>
        <w:gridCol w:w="60"/>
        <w:gridCol w:w="60"/>
        <w:gridCol w:w="800"/>
        <w:gridCol w:w="60"/>
        <w:gridCol w:w="60"/>
        <w:gridCol w:w="60"/>
        <w:gridCol w:w="800"/>
        <w:gridCol w:w="60"/>
        <w:gridCol w:w="60"/>
        <w:gridCol w:w="60"/>
        <w:gridCol w:w="800"/>
        <w:gridCol w:w="60"/>
        <w:gridCol w:w="60"/>
        <w:gridCol w:w="279"/>
        <w:gridCol w:w="1211"/>
        <w:gridCol w:w="60"/>
        <w:gridCol w:w="60"/>
        <w:gridCol w:w="120"/>
        <w:gridCol w:w="1370"/>
        <w:gridCol w:w="215"/>
        <w:gridCol w:w="60"/>
        <w:gridCol w:w="60"/>
        <w:gridCol w:w="980"/>
        <w:gridCol w:w="75"/>
      </w:tblGrid>
      <w:tr>
        <w:trPr/>
        <w:tc>
          <w:tcPr>
            <w:tcW w:w="2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25" w:type="dxa"/>
            <w:tcBorders/>
            <w:vAlign w:val="center"/>
          </w:tcPr>
          <w:p>
            <w:pPr>
              <w:pStyle w:val="TableContents"/>
              <w:bidi w:val="0"/>
              <w:spacing w:before="0" w:after="283"/>
              <w:jc w:val="left"/>
              <w:rPr>
                <w:b/>
              </w:rPr>
            </w:pPr>
            <w:r>
              <w:rPr>
                <w:b/>
              </w:rPr>
              <w:t>Name and Principal Position</w:t>
            </w:r>
          </w:p>
        </w:tc>
        <w:tc>
          <w:tcPr>
            <w:tcW w:w="6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Salary</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Bonus</w:t>
              <w:b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Awards</w:t>
              <w:b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Non-Equity</w:t>
              <w:br/>
              <w:t>Incentive Plan</w:t>
              <w:br/>
              <w:t>Compensation</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br/>
              <w:t>Compensation</w:t>
              <w:b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br/>
              <w:t>($)</w:t>
            </w:r>
          </w:p>
        </w:tc>
        <w:tc>
          <w:tcPr>
            <w:tcW w:w="75"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Madan Jagasia, M.D., M.S.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sz w:val="4"/>
                <w:szCs w:val="4"/>
              </w:rPr>
            </w:pPr>
            <w:r>
              <w:rPr>
                <w:sz w:val="4"/>
                <w:szCs w:val="4"/>
              </w:rPr>
            </w:r>
          </w:p>
        </w:tc>
        <w:tc>
          <w:tcPr>
            <w:tcW w:w="121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1370"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525"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Chief Executive Officer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559,728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195,905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500,137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60,000</w:t>
            </w:r>
          </w:p>
        </w:tc>
        <w:tc>
          <w:tcPr>
            <w:tcW w:w="215"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1,315,770</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Dana Alexander, M.B.A.,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25"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Chief Technical Officer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434,700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106,502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148,795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689,997</w:t>
            </w:r>
          </w:p>
        </w:tc>
        <w:tc>
          <w:tcPr>
            <w:tcW w:w="75"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Parameswaran Hari, M.D., M.S.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sz w:val="4"/>
                <w:szCs w:val="4"/>
              </w:rPr>
            </w:pPr>
            <w:r>
              <w:rPr>
                <w:sz w:val="4"/>
                <w:szCs w:val="4"/>
              </w:rPr>
            </w:r>
          </w:p>
        </w:tc>
        <w:tc>
          <w:tcPr>
            <w:tcW w:w="121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1370"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525"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Chief Medical Officer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484,380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118,673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120,898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723,951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(1)</w:t>
            </w:r>
          </w:p>
        </w:tc>
        <w:tc>
          <w:tcPr>
            <w:tcW w:w="9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 reported represents a discretionary annual cash bonus earned by the applicable named executive officer for performance in the applicable fiscal year and paid in the next fiscal year. For more information on these bonuses, see the description of Fiscal Year 2025 annual cash bonuses below.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(2)</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 reported represents the aggregate incremental fair value related to the repricing, in Fiscal Year 2025, of certain stock option awards held by the applicable named executive officer that were granted prior to Fiscal Year 2025, computed in accordance with Financial Accounting Standards Board Accounting Standards Codification Topic 718, or FASB ASC Topic 718. The assumptions used in calculating the incremental fair values include a common stock fair value of $0.78, a risk-free interest rate ranging from 4.07% to 4.14%, an expected dividend yield of 0.00%, an expected term of 3.9 to 5.2 years, and an expected volatility ranging from 76.67% to 77.45%. The amount reported reflects the accounting cost for the repricing of certain option awards and do not correspond to the actual economic value that may be received by the named executive officer upon the exercise of the option awards or any sale of the underlying securities. </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Pr>
            <w:r>
              <w:rPr/>
              <w:t>(3)</w:t>
            </w:r>
          </w:p>
        </w:tc>
        <w:tc>
          <w:tcPr>
            <w:tcW w:w="994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 reported represents a travel stipend of $5,000 per month for Dr. Jagasia for travel between his home in Tennessee and our offices in Massachusetts, inclusive of certain housing costs, which was payable pursuant to the terms of his offer letter with Legacy Obsidian.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Narrative Disclosure to the 2025 Summary Compensation Table </w:t>
      </w:r>
    </w:p>
    <w:p>
      <w:pPr>
        <w:pStyle w:val="TextBody"/>
        <w:bidi w:val="0"/>
        <w:spacing w:before="120" w:after="0"/>
        <w:jc w:val="left"/>
        <w:rPr>
          <w:rFonts w:ascii="Times New Roman" w:hAnsi="Times New Roman"/>
          <w:b/>
          <w:i/>
          <w:sz w:val="20"/>
        </w:rPr>
      </w:pPr>
      <w:r>
        <w:rPr>
          <w:rFonts w:ascii="Times New Roman" w:hAnsi="Times New Roman"/>
          <w:b/>
          <w:i/>
          <w:sz w:val="20"/>
        </w:rPr>
        <w:t xml:space="preserve">2025 Base Salaries </w:t>
      </w:r>
    </w:p>
    <w:p>
      <w:pPr>
        <w:pStyle w:val="TextBody"/>
        <w:bidi w:val="0"/>
        <w:spacing w:before="120" w:after="0"/>
        <w:jc w:val="left"/>
        <w:rPr>
          <w:rFonts w:ascii="Times New Roman" w:hAnsi="Times New Roman"/>
          <w:sz w:val="20"/>
        </w:rPr>
      </w:pPr>
      <w:r>
        <w:rPr>
          <w:rFonts w:ascii="Times New Roman" w:hAnsi="Times New Roman"/>
          <w:sz w:val="20"/>
        </w:rPr>
        <w:t xml:space="preserve">During Fiscal Year 2025, Dr. Jagasia, Mr. Alexander, and Dr. Hari each received a base salary to compensate them for services rendered to us. Base salaries are intended to provide a fixed cash component of compensation reflecting the executive’s skill set, experience, role, and responsibilities. Base salaries are expected to be reviewed periodically and approved by the compensation committee of the Legacy Obsidian Board or Legacy Obsidian Board following recommendation by its compensation committee, and may be adjusted from time to time to realign salaries with market levels after taking into account individual responsibilities, performance, and experience, as well as changes in the business. </w:t>
      </w:r>
    </w:p>
    <w:p>
      <w:pPr>
        <w:pStyle w:val="TextBody"/>
        <w:bidi w:val="0"/>
        <w:spacing w:before="240" w:after="0"/>
        <w:jc w:val="left"/>
        <w:rPr>
          <w:rFonts w:ascii="Times New Roman" w:hAnsi="Times New Roman"/>
          <w:sz w:val="20"/>
        </w:rPr>
      </w:pPr>
      <w:r>
        <w:rPr>
          <w:rFonts w:ascii="Times New Roman" w:hAnsi="Times New Roman"/>
          <w:sz w:val="20"/>
        </w:rPr>
        <w:t xml:space="preserve">Fiscal Year 2025 base salaries for each of Legacy Obsidian’s named executive officers are set forth in the table below: </w:t>
      </w:r>
    </w:p>
    <w:p>
      <w:pPr>
        <w:pStyle w:val="TextBody"/>
        <w:bidi w:val="0"/>
        <w:spacing w:before="0" w:after="0"/>
        <w:jc w:val="left"/>
        <w:rPr/>
      </w:pPr>
      <w:r>
        <w:rPr/>
        <w:t> </w:t>
      </w:r>
    </w:p>
    <w:tbl>
      <w:tblPr>
        <w:tblW w:w="4045" w:type="dxa"/>
        <w:jc w:val="left"/>
        <w:tblInd w:w="0" w:type="dxa"/>
        <w:tblLayout w:type="fixed"/>
        <w:tblCellMar>
          <w:top w:w="0" w:type="dxa"/>
          <w:left w:w="0" w:type="dxa"/>
          <w:bottom w:w="0" w:type="dxa"/>
          <w:right w:w="0" w:type="dxa"/>
        </w:tblCellMar>
      </w:tblPr>
      <w:tblGrid>
        <w:gridCol w:w="2525"/>
        <w:gridCol w:w="120"/>
        <w:gridCol w:w="92"/>
        <w:gridCol w:w="1233"/>
        <w:gridCol w:w="75"/>
      </w:tblGrid>
      <w:tr>
        <w:trPr/>
        <w:tc>
          <w:tcPr>
            <w:tcW w:w="2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25" w:type="dxa"/>
            <w:tcBorders/>
            <w:vAlign w:val="center"/>
          </w:tcPr>
          <w:p>
            <w:pPr>
              <w:pStyle w:val="TableContents"/>
              <w:bidi w:val="0"/>
              <w:spacing w:before="0" w:after="283"/>
              <w:jc w:val="left"/>
              <w:rPr>
                <w:b/>
              </w:rPr>
            </w:pPr>
            <w:r>
              <w:rPr>
                <w:b/>
              </w:rPr>
              <w:t>Name</w:t>
            </w:r>
          </w:p>
        </w:tc>
        <w:tc>
          <w:tcPr>
            <w:tcW w:w="120"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Annual Base</w:t>
              <w:br/>
              <w:t>Salary ($)</w:t>
            </w:r>
          </w:p>
        </w:tc>
        <w:tc>
          <w:tcPr>
            <w:tcW w:w="75"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Madan Jagasia, M.D., M.S.</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559,728</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Dana Alexander, M.B.A.</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434,700</w:t>
            </w:r>
          </w:p>
        </w:tc>
        <w:tc>
          <w:tcPr>
            <w:tcW w:w="75"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Parameswaran Hari, M.D., M.S.</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484,380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2025 Annual Cash Bonuses </w:t>
      </w:r>
    </w:p>
    <w:p>
      <w:pPr>
        <w:pStyle w:val="TextBody"/>
        <w:bidi w:val="0"/>
        <w:spacing w:before="120" w:after="0"/>
        <w:jc w:val="left"/>
        <w:rPr>
          <w:rFonts w:ascii="Times New Roman" w:hAnsi="Times New Roman"/>
          <w:sz w:val="20"/>
        </w:rPr>
      </w:pPr>
      <w:r>
        <w:rPr>
          <w:rFonts w:ascii="Times New Roman" w:hAnsi="Times New Roman"/>
          <w:sz w:val="20"/>
        </w:rPr>
        <w:t xml:space="preserve">For Fiscal Year 2025, each of the named executive officers was eligible to earn an annual cash bonus based on the Company’s achievement of certain corporate performance milestones. The target annual bonus for each of Legacy Obsidian’s named executive officers for Fiscal Year 2025 was equal to the percentage of the executive’s respective annual base salary specified below: </w:t>
      </w:r>
    </w:p>
    <w:p>
      <w:pPr>
        <w:pStyle w:val="TextBody"/>
        <w:bidi w:val="0"/>
        <w:spacing w:before="0" w:after="0"/>
        <w:jc w:val="left"/>
        <w:rPr/>
      </w:pPr>
      <w:r>
        <w:rPr/>
        <w:t> </w:t>
      </w:r>
    </w:p>
    <w:tbl>
      <w:tblPr>
        <w:tblW w:w="4470" w:type="dxa"/>
        <w:jc w:val="left"/>
        <w:tblInd w:w="0" w:type="dxa"/>
        <w:tblLayout w:type="fixed"/>
        <w:tblCellMar>
          <w:top w:w="0" w:type="dxa"/>
          <w:left w:w="0" w:type="dxa"/>
          <w:bottom w:w="0" w:type="dxa"/>
          <w:right w:w="0" w:type="dxa"/>
        </w:tblCellMar>
      </w:tblPr>
      <w:tblGrid>
        <w:gridCol w:w="2525"/>
        <w:gridCol w:w="120"/>
        <w:gridCol w:w="287"/>
        <w:gridCol w:w="1248"/>
        <w:gridCol w:w="290"/>
      </w:tblGrid>
      <w:tr>
        <w:trPr/>
        <w:tc>
          <w:tcPr>
            <w:tcW w:w="2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525" w:type="dxa"/>
            <w:tcBorders/>
            <w:vAlign w:val="center"/>
          </w:tcPr>
          <w:p>
            <w:pPr>
              <w:pStyle w:val="TableContents"/>
              <w:bidi w:val="0"/>
              <w:spacing w:before="0" w:after="283"/>
              <w:jc w:val="left"/>
              <w:rPr>
                <w:b/>
              </w:rPr>
            </w:pPr>
            <w:r>
              <w:rPr>
                <w:b/>
              </w:rPr>
              <w:t>Name</w:t>
            </w:r>
          </w:p>
        </w:tc>
        <w:tc>
          <w:tcPr>
            <w:tcW w:w="12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Target Annual</w:t>
              <w:br/>
              <w:t>Bonus</w:t>
            </w:r>
          </w:p>
        </w:tc>
        <w:tc>
          <w:tcPr>
            <w:tcW w:w="290"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Madan Jagasia, M.D., M.S.</w:t>
            </w:r>
          </w:p>
        </w:tc>
        <w:tc>
          <w:tcPr>
            <w:tcW w:w="12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50</w:t>
            </w:r>
          </w:p>
        </w:tc>
        <w:tc>
          <w:tcPr>
            <w:tcW w:w="290" w:type="dxa"/>
            <w:tcBorders/>
            <w:shd w:fill="CCEEFF" w:val="clear"/>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Dana Alexander, M.B.A.</w:t>
            </w:r>
          </w:p>
        </w:tc>
        <w:tc>
          <w:tcPr>
            <w:tcW w:w="12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1248" w:type="dxa"/>
            <w:tcBorders/>
            <w:vAlign w:val="center"/>
          </w:tcPr>
          <w:p>
            <w:pPr>
              <w:pStyle w:val="TableContents"/>
              <w:bidi w:val="0"/>
              <w:spacing w:before="0" w:after="283"/>
              <w:jc w:val="right"/>
              <w:rPr/>
            </w:pPr>
            <w:r>
              <w:rPr/>
              <w:t>35</w:t>
            </w:r>
          </w:p>
        </w:tc>
        <w:tc>
          <w:tcPr>
            <w:tcW w:w="290"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Parameswaran Hari, M.D., M.S.</w:t>
            </w:r>
          </w:p>
        </w:tc>
        <w:tc>
          <w:tcPr>
            <w:tcW w:w="12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35</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Legacy Obsidian’s bonus program, each named executive officer’s annual cash bonus is typically determined by reference to the Company’s achievement of pre-determined clinical, financial and organizational, and pipeline goals. During Fiscal Year 2025, Legacy Obsidian made several strategic changes to our business and as a result, Legacy Obsidian’s Board determined that not all of the pre-determined corporate goals for Fiscal Year 2025 were applicable following such changes. However, in light of the continued progress toward certain corporate goals, Legacy Obsidian’s Board approved discretionary annual cash bonuses for the named executive officers equal to 70% of their applicable annual bonus targets. The annual cash bonus paid to each of Legacy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Obsidian’s named executive officers for Fiscal Year 2025 is set forth in the “</w:t>
      </w:r>
      <w:r>
        <w:rPr>
          <w:rFonts w:ascii="Times New Roman" w:hAnsi="Times New Roman"/>
          <w:i/>
          <w:sz w:val="20"/>
        </w:rPr>
        <w:t>Bonus</w:t>
      </w:r>
      <w:r>
        <w:rPr>
          <w:rFonts w:ascii="Times New Roman" w:hAnsi="Times New Roman"/>
          <w:sz w:val="20"/>
        </w:rPr>
        <w:t>” column of the “</w:t>
      </w:r>
      <w:r>
        <w:rPr>
          <w:rFonts w:ascii="Times New Roman" w:hAnsi="Times New Roman"/>
          <w:i/>
          <w:sz w:val="20"/>
        </w:rPr>
        <w:t>2025 Summary Compensation Table</w:t>
      </w:r>
      <w:r>
        <w:rPr>
          <w:rFonts w:ascii="Times New Roman" w:hAnsi="Times New Roman"/>
          <w:sz w:val="20"/>
        </w:rPr>
        <w:t xml:space="preserve">”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 Incentive Compensation </w:t>
      </w:r>
    </w:p>
    <w:p>
      <w:pPr>
        <w:pStyle w:val="TextBody"/>
        <w:bidi w:val="0"/>
        <w:spacing w:before="120" w:after="0"/>
        <w:jc w:val="left"/>
        <w:rPr>
          <w:rFonts w:ascii="Times New Roman" w:hAnsi="Times New Roman"/>
          <w:sz w:val="20"/>
        </w:rPr>
      </w:pPr>
      <w:r>
        <w:rPr>
          <w:rFonts w:ascii="Times New Roman" w:hAnsi="Times New Roman"/>
          <w:sz w:val="20"/>
        </w:rPr>
        <w:t>Legacy Obsidian believes equity grants provide its executives with a strong link to its long-term performance, create an ownership culture, and help to align the interests of its executives and stockholders. In addition, Legacy Obsidian believes equity grants promote executive retention because they encourage its executive officers to remain in its service during the vesting period. During Fiscal Year 2025, Legacy Obsidian did not grant any equity incentive awards to its executive officers. However, for retention and motivational purposes, during Fiscal Year 2025, Legacy Obsidian repriced certain options to purchase shares of its common stock that were previously granted to its employees and other service providers, including its named executive officers, to lower the exercise price of such options to the then-current fair market value of its common stock. For additional information regarding outstanding equity awards held by its named executive officers as of December 31, 2025, see the “</w:t>
      </w:r>
      <w:r>
        <w:rPr>
          <w:rFonts w:ascii="Times New Roman" w:hAnsi="Times New Roman"/>
          <w:i/>
          <w:sz w:val="20"/>
        </w:rPr>
        <w:t>Outstanding Equity Awards at 2025 Fiscal Year End</w:t>
      </w:r>
      <w:r>
        <w:rPr>
          <w:rFonts w:ascii="Times New Roman" w:hAnsi="Times New Roman"/>
          <w:sz w:val="20"/>
        </w:rPr>
        <w:t xml:space="preserve">” table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401(k) Plan and Health and Welfare Benefits </w:t>
      </w:r>
    </w:p>
    <w:p>
      <w:pPr>
        <w:pStyle w:val="TextBody"/>
        <w:bidi w:val="0"/>
        <w:spacing w:before="120" w:after="0"/>
        <w:jc w:val="left"/>
        <w:rPr>
          <w:rFonts w:ascii="Times New Roman" w:hAnsi="Times New Roman"/>
          <w:sz w:val="20"/>
        </w:rPr>
      </w:pPr>
      <w:r>
        <w:rPr>
          <w:rFonts w:ascii="Times New Roman" w:hAnsi="Times New Roman"/>
          <w:sz w:val="20"/>
        </w:rPr>
        <w:t xml:space="preserve">Legacy Obsidian currently maintains a tax-qualified 401(k) retirement savings plan, or the 401(k) Plan, for its employees, including its named executive officers, who satisfy certain eligibility requirements. Legacy Obsidian’s named executive officers are eligible to participate in the 401(k) Plan on the same terms as other full-time employees; provided, however, that employees with the title of Vice President or higher, including its named executive officers, were not permitted to receive matching or non-elective contributions under the 401(k) Plan during Fiscal Year 2025. Beginning in calendar year 2026, employees with the title of Vice President or Senior Vice President, but not executive officers, are eligible to receive matching and non-elective contributions under the 401(k) Plan on the same terms as other full-time employees. Legacy Obsidian’s 401(k) Plan is intended to qualify for favorable tax treatment under Section 401(a) of the Code and contains a cash or deferred feature that is intended to meet the requirements of Section 401(k) of the Code. Legacy Obsidian believes that providing a vehicle for tax-deferred retirement savings through our 401(k) Plan adds to the overall desirability of its executive compensation package and further incentivizes its employees, including its named executive officers, in accordance with its compensation policies. Other than the 401(k) Plan, it does not provide any qualified or non-qualified retirement or deferred compensation benefits to its employees, including its named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All of Legacy Obsidian’s full-time employees, including its named executive officers, are eligible to participate in its health and welfare plans. </w:t>
      </w:r>
    </w:p>
    <w:p>
      <w:pPr>
        <w:pStyle w:val="TextBody"/>
        <w:bidi w:val="0"/>
        <w:spacing w:before="360" w:after="0"/>
        <w:jc w:val="left"/>
        <w:rPr>
          <w:rFonts w:ascii="Times New Roman" w:hAnsi="Times New Roman"/>
          <w:b/>
          <w:i/>
          <w:sz w:val="20"/>
        </w:rPr>
      </w:pPr>
      <w:r>
        <w:rPr>
          <w:rFonts w:ascii="Times New Roman" w:hAnsi="Times New Roman"/>
          <w:b/>
          <w:i/>
          <w:sz w:val="20"/>
        </w:rPr>
        <w:t xml:space="preserve">Perquisites/Personal Benefits </w:t>
      </w:r>
    </w:p>
    <w:p>
      <w:pPr>
        <w:pStyle w:val="TextBody"/>
        <w:bidi w:val="0"/>
        <w:spacing w:before="120" w:after="0"/>
        <w:jc w:val="left"/>
        <w:rPr>
          <w:rFonts w:ascii="Times New Roman" w:hAnsi="Times New Roman"/>
          <w:sz w:val="20"/>
        </w:rPr>
      </w:pPr>
      <w:r>
        <w:rPr>
          <w:rFonts w:ascii="Times New Roman" w:hAnsi="Times New Roman"/>
          <w:sz w:val="20"/>
        </w:rPr>
        <w:t>Perquisites or other personal benefits are not a significant component of Legacy Obsidian’s executive compensation program. Accordingly, it does not provide significant perquisites or other personal benefits to its executive officers, including its named executive officers, except for stipends for travel and housing costs for Dr. Jagasia, as described in the “</w:t>
      </w:r>
      <w:r>
        <w:rPr>
          <w:rFonts w:ascii="Times New Roman" w:hAnsi="Times New Roman"/>
          <w:i/>
          <w:sz w:val="20"/>
        </w:rPr>
        <w:t>2025 Summary Compensation Table</w:t>
      </w:r>
      <w:r>
        <w:rPr>
          <w:rFonts w:ascii="Times New Roman" w:hAnsi="Times New Roman"/>
          <w:sz w:val="20"/>
        </w:rPr>
        <w:t xml:space="preserve">” above. </w:t>
      </w:r>
    </w:p>
    <w:p>
      <w:pPr>
        <w:pStyle w:val="TextBody"/>
        <w:bidi w:val="0"/>
        <w:spacing w:before="360" w:after="0"/>
        <w:jc w:val="left"/>
        <w:rPr>
          <w:rFonts w:ascii="Times New Roman" w:hAnsi="Times New Roman"/>
          <w:b/>
          <w:sz w:val="20"/>
        </w:rPr>
      </w:pPr>
      <w:r>
        <w:rPr>
          <w:rFonts w:ascii="Times New Roman" w:hAnsi="Times New Roman"/>
          <w:b/>
          <w:sz w:val="20"/>
        </w:rPr>
        <w:t xml:space="preserve">Employment Arrangements with Named Executive Officers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Employment Arrangements in Effect Prior to the Closing of the Mergers </w:t>
      </w:r>
    </w:p>
    <w:p>
      <w:pPr>
        <w:pStyle w:val="TextBody"/>
        <w:bidi w:val="0"/>
        <w:spacing w:before="120" w:after="0"/>
        <w:jc w:val="left"/>
        <w:rPr>
          <w:rFonts w:ascii="Times New Roman" w:hAnsi="Times New Roman"/>
          <w:sz w:val="20"/>
        </w:rPr>
      </w:pPr>
      <w:r>
        <w:rPr>
          <w:rFonts w:ascii="Times New Roman" w:hAnsi="Times New Roman"/>
          <w:sz w:val="20"/>
        </w:rPr>
        <w:t xml:space="preserve">Legacy Obsidian entered into offer letters with each of its named executive officers in connection with their commencement of employment, which set forth the terms and conditions of their employment, including initial base salary, initial target annual cash incentive compensation opportunity, initial equity awards, and eligibility to participate in Legacy Obsidian’s employee benefit plans generally offered to Legacy Obsidian’s employees.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Legacy Obsidian also entered into a Severance and Change in Control Agreement with each of its named executive officers that provide for specified payments and benefits in connection with a termination of employment in certain circumstances. Legacy Obsidian’s goal in providing these severance and change in control benefits is to offer sufficient cash continuity protection such that the named executive officers will focus their full time and attention on the requirements of the business rather than the potential implications of a qualifying employment termination or change in control for their respective positions. Legacy Obsidian prefers to have certainty regarding the potential severance amounts payable to its named executive officer, rather than negotiate severance at the time that a named executive officer’s employment terminates. </w:t>
      </w:r>
    </w:p>
    <w:p>
      <w:pPr>
        <w:pStyle w:val="TextBody"/>
        <w:bidi w:val="0"/>
        <w:spacing w:before="240" w:after="0"/>
        <w:jc w:val="left"/>
        <w:rPr>
          <w:rFonts w:ascii="Times New Roman" w:hAnsi="Times New Roman"/>
          <w:sz w:val="20"/>
        </w:rPr>
      </w:pPr>
      <w:r>
        <w:rPr>
          <w:rFonts w:ascii="Times New Roman" w:hAnsi="Times New Roman"/>
          <w:sz w:val="20"/>
        </w:rPr>
        <w:t xml:space="preserve">The material terms of the offer letters and Severance and Change in Control Agreements with the named executive officers are summarized below. </w:t>
      </w:r>
    </w:p>
    <w:p>
      <w:pPr>
        <w:pStyle w:val="TextBody"/>
        <w:bidi w:val="0"/>
        <w:spacing w:before="360" w:after="0"/>
        <w:jc w:val="left"/>
        <w:rPr>
          <w:rFonts w:ascii="Times New Roman" w:hAnsi="Times New Roman"/>
          <w:i/>
          <w:sz w:val="20"/>
        </w:rPr>
      </w:pPr>
      <w:r>
        <w:rPr>
          <w:rFonts w:ascii="Times New Roman" w:hAnsi="Times New Roman"/>
          <w:i/>
          <w:sz w:val="20"/>
        </w:rPr>
        <w:t xml:space="preserve">Madan Jagasia, M.D., M.S. Offer Letter </w:t>
      </w:r>
    </w:p>
    <w:p>
      <w:pPr>
        <w:pStyle w:val="TextBody"/>
        <w:bidi w:val="0"/>
        <w:spacing w:before="120" w:after="0"/>
        <w:jc w:val="left"/>
        <w:rPr>
          <w:rFonts w:ascii="Times New Roman" w:hAnsi="Times New Roman"/>
          <w:sz w:val="20"/>
        </w:rPr>
      </w:pPr>
      <w:r>
        <w:rPr>
          <w:rFonts w:ascii="Times New Roman" w:hAnsi="Times New Roman"/>
          <w:sz w:val="20"/>
        </w:rPr>
        <w:t xml:space="preserve">On January 4, 2023, Legacy Obsidian entered into an offer letter with Dr. Jagasia for the position of Chief Executive Officer, or the Jagasia Offer Letter, which provided for Dr. Jagasia’s at-will employment. Pursuant to the Jagasia Offer Letter, Dr. Jagasia was eligible to receive an annual base salary, subject to periodic review and adjustment at our discretion and an annual cash incentive bonus, as determined by Legacy Obsidian’s Board. In addition, Dr. Jagasia receives a monthly stipend of $5,000 for travel between his home in Tennessee and our offices in Massachusetts and is eligible to participate in the employee benefit plans generally available to Legacy Obsidian’s employees, subject to the terms of those plans. </w:t>
      </w:r>
    </w:p>
    <w:p>
      <w:pPr>
        <w:pStyle w:val="TextBody"/>
        <w:bidi w:val="0"/>
        <w:spacing w:before="360" w:after="0"/>
        <w:jc w:val="left"/>
        <w:rPr>
          <w:rFonts w:ascii="Times New Roman" w:hAnsi="Times New Roman"/>
          <w:i/>
          <w:sz w:val="20"/>
        </w:rPr>
      </w:pPr>
      <w:r>
        <w:rPr>
          <w:rFonts w:ascii="Times New Roman" w:hAnsi="Times New Roman"/>
          <w:i/>
          <w:sz w:val="20"/>
        </w:rPr>
        <w:t xml:space="preserve">Dana Alexander, M.B.A. Offer Letter </w:t>
      </w:r>
    </w:p>
    <w:p>
      <w:pPr>
        <w:pStyle w:val="TextBody"/>
        <w:bidi w:val="0"/>
        <w:spacing w:before="120" w:after="0"/>
        <w:jc w:val="left"/>
        <w:rPr>
          <w:rFonts w:ascii="Times New Roman" w:hAnsi="Times New Roman"/>
          <w:sz w:val="20"/>
        </w:rPr>
      </w:pPr>
      <w:r>
        <w:rPr>
          <w:rFonts w:ascii="Times New Roman" w:hAnsi="Times New Roman"/>
          <w:sz w:val="20"/>
        </w:rPr>
        <w:t xml:space="preserve">On April 21, 2024, Legacy Obsidian entered into an offer letter with Mr. Alexander for the position of Chief Technical Officer, or the Alexander Offer Letter, which provided for Mr. Alexander’s at-will employment. Pursuant to the Alexander Offer Letter, Mr. Alexander was eligible to receive an annual base salary, subject to periodic review and adjustment at our discretion and an annual cash incentive bonus, as determined by the Legacy Obsidian Board. In addition, Mr. Alexander is eligible to participate in the employee benefit plans generally available to Legacy Obsidian’s employees, subject to the terms of those plans. </w:t>
      </w:r>
    </w:p>
    <w:p>
      <w:pPr>
        <w:pStyle w:val="TextBody"/>
        <w:bidi w:val="0"/>
        <w:spacing w:before="360" w:after="0"/>
        <w:jc w:val="left"/>
        <w:rPr>
          <w:rFonts w:ascii="Times New Roman" w:hAnsi="Times New Roman"/>
          <w:i/>
          <w:sz w:val="20"/>
        </w:rPr>
      </w:pPr>
      <w:r>
        <w:rPr>
          <w:rFonts w:ascii="Times New Roman" w:hAnsi="Times New Roman"/>
          <w:i/>
          <w:sz w:val="20"/>
        </w:rPr>
        <w:t xml:space="preserve">Parameswaran Hari, M.D., M.S. Offer Letter </w:t>
      </w:r>
    </w:p>
    <w:p>
      <w:pPr>
        <w:pStyle w:val="TextBody"/>
        <w:bidi w:val="0"/>
        <w:spacing w:before="120" w:after="0"/>
        <w:jc w:val="left"/>
        <w:rPr>
          <w:rFonts w:ascii="Times New Roman" w:hAnsi="Times New Roman"/>
          <w:sz w:val="20"/>
        </w:rPr>
      </w:pPr>
      <w:r>
        <w:rPr>
          <w:rFonts w:ascii="Times New Roman" w:hAnsi="Times New Roman"/>
          <w:sz w:val="20"/>
        </w:rPr>
        <w:t xml:space="preserve">On January 7, 2023, Legacy Obsidian entered into an offer letter with Dr. Hari for the position of Chief Development Officer, or the Hari Offer Letter, which provided for Dr. Hari’s at-will employment. Pursuant to the Hari Offer Letter, Dr. Hari was eligible to receive an annual base salary, subject to periodic review and adjustment at our discretion and an annual cash incentive bonus, as determined by Legacy Obsidian’s Board. In addition, Dr. Hari is eligible to participate in the employee benefit plans generally available to Legacy Obsidian’s employees, subject to the terms of those plans. </w:t>
      </w:r>
    </w:p>
    <w:p>
      <w:pPr>
        <w:pStyle w:val="TextBody"/>
        <w:bidi w:val="0"/>
        <w:spacing w:before="360" w:after="0"/>
        <w:jc w:val="left"/>
        <w:rPr>
          <w:rFonts w:ascii="Times New Roman" w:hAnsi="Times New Roman"/>
          <w:i/>
          <w:sz w:val="20"/>
        </w:rPr>
      </w:pPr>
      <w:r>
        <w:rPr>
          <w:rFonts w:ascii="Times New Roman" w:hAnsi="Times New Roman"/>
          <w:i/>
          <w:sz w:val="20"/>
        </w:rPr>
        <w:t xml:space="preserve">Severance and Change in Control Agreements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Severance and Change in Control Agreements entered into with the named executive officers, in the event that a named executive officer’s employment was terminated by Legacy Obsidian for any reason other than Cause (as defined in the Severance and Change in Control Agreements), death or disability or by the named executive officer for Good Reason (as defined in the Severance and Change in Control Agreements), subject to the named executive officer’s execution, and the effectiveness, of a separation agreement, including a general release of claims in favor of Legacy Obsidian and its affiliates, the named executive officers were entitled to receive (i) (A) for Dr. Jagasia, an amount equal to 12 months of his current base salary, any earned but unpaid bonus for the fiscal year prior to the date of termination, and a pro-rated target bonus for the fiscal year of termination and (B) for Mr. Alexander and Dr. Hari, six months of his then-current base salary and (ii) if the named executive officer was participating in Legacy Obsidian’s group health plan immediately prior to the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termination and elected COBRA health continuation, a monthly cash payment for six months (or, in the case of Dr. Jagasia, 12 months) in an amount equal to the monthly employer contribution we would have made to provide health insurance to the named executive officer and his eligible dependents if he had remained employed by Legacy Obsidian.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lieu of the payments and benefits described above, in the event that a named executive officer’s employment was terminated by Legacy Obsidian for any reason other than Cause, death or disability or a by the named executive officer for Good Reason, in each case, immediately before, on, or within the 12 months immediately after a Change in Control (as defined in the Severance and Change in Control Agreements), subject to the named executive officer’s execution, and the effectiveness, of a separation agreement, including a general release of claims in favor of Legacy Obsidian and its affiliates, named executive officers were entitled to receive (i) (A) for Dr. Jagasia, an amount equal to 12 months of his current base salary plus his target annual bonus and any earned but unpaid bonus for the fiscal year prior to the date of termination and (B) for Mr. Alexander and Dr. Hari, an amount equal to nine months of his current base salary plus his target annual bonus and any earned but unpaid bonus for the fiscal year prior to the date of termination, (ii) if the named executive officer was participating in Legacy Obsidian’s group health plan immediately prior to the date of termination and elected COBRA health continuation, a monthly cash payment for nine months (or, in the case of Dr. Jagasia, 12 months) in an amount equal to the monthly employer contribution Legacy Obsidian would have made to provide health insurance to the named executive officer and his eligible dependents if he had remained employed by Legacy Obsidian and (iii) full acceleration of vesting of all stock options and other stock-based awards subject solely to time-based vesting held by the named executive officer and, for Dr. Jagasia, extension of the post-termination exercise period for his stock options until the earlier of six months following the date of termination and the original expiration date of the stock option. </w:t>
      </w:r>
    </w:p>
    <w:p>
      <w:pPr>
        <w:pStyle w:val="TextBody"/>
        <w:bidi w:val="0"/>
        <w:spacing w:before="240" w:after="0"/>
        <w:jc w:val="left"/>
        <w:rPr>
          <w:rFonts w:ascii="Times New Roman" w:hAnsi="Times New Roman"/>
          <w:sz w:val="20"/>
        </w:rPr>
      </w:pPr>
      <w:r>
        <w:rPr>
          <w:rFonts w:ascii="Times New Roman" w:hAnsi="Times New Roman"/>
          <w:sz w:val="20"/>
        </w:rPr>
        <w:t xml:space="preserve">The payments and benefits provided under the Severance and Change in Control Agreements in connection with a change in control may not have been eligible for a federal income tax deduction by Legacy Obsidian pursuant to Section 280G of the Code. These payments and benefits could have also subjected the named executive officers to an excise tax under Section 4999 of the Code. If the payments or benefits payable in connection with a change in control would be subject to the excise tax imposed under Section 4999 of the Code, then pursuant to each of the Severance and Change in Control Agreements, those payments or benefits would have been reduced, but only if such reduction would result in the named executive officer retaining a larger portion of such payments and benefits on an after-tax basis than if no reduction was made and the excises taxes had been paid.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Employment Arrangements in Effect Following the Closing of the Mergers </w:t>
      </w:r>
    </w:p>
    <w:p>
      <w:pPr>
        <w:pStyle w:val="TextBody"/>
        <w:bidi w:val="0"/>
        <w:spacing w:before="120" w:after="0"/>
        <w:jc w:val="left"/>
        <w:rPr>
          <w:rFonts w:ascii="Times New Roman" w:hAnsi="Times New Roman"/>
          <w:sz w:val="20"/>
        </w:rPr>
      </w:pPr>
      <w:r>
        <w:rPr>
          <w:rFonts w:ascii="Times New Roman" w:hAnsi="Times New Roman"/>
          <w:sz w:val="20"/>
        </w:rPr>
        <w:t xml:space="preserve">We entered into executive employment agreements with each of its named executive officers in connection with the Mergers that superseded the offer letters and adopted an Executive Severance Plan that superseded the Severance and Change in Control Agreements. The material terms of the executive employment agreements with the named executive officers and the Executive Severance Plan are summarized below. </w:t>
      </w:r>
    </w:p>
    <w:p>
      <w:pPr>
        <w:pStyle w:val="TextBody"/>
        <w:bidi w:val="0"/>
        <w:spacing w:before="360" w:after="0"/>
        <w:jc w:val="left"/>
        <w:rPr>
          <w:rFonts w:ascii="Times New Roman" w:hAnsi="Times New Roman"/>
          <w:i/>
          <w:sz w:val="20"/>
        </w:rPr>
      </w:pPr>
      <w:r>
        <w:rPr>
          <w:rFonts w:ascii="Times New Roman" w:hAnsi="Times New Roman"/>
          <w:i/>
          <w:sz w:val="20"/>
        </w:rPr>
        <w:t xml:space="preserve">Madan Jagasia, M.D., M.S. Executive Employment Agreement </w:t>
      </w:r>
    </w:p>
    <w:p>
      <w:pPr>
        <w:pStyle w:val="TextBody"/>
        <w:bidi w:val="0"/>
        <w:spacing w:before="120" w:after="0"/>
        <w:jc w:val="left"/>
        <w:rPr>
          <w:rFonts w:ascii="Times New Roman" w:hAnsi="Times New Roman"/>
          <w:sz w:val="20"/>
        </w:rPr>
      </w:pPr>
      <w:r>
        <w:rPr>
          <w:rFonts w:ascii="Times New Roman" w:hAnsi="Times New Roman"/>
          <w:sz w:val="20"/>
        </w:rPr>
        <w:t xml:space="preserve">We entered into an executive employment agreement with Dr. Jagasia for the position of Chief Executive Officer, or the Jagasia Employment Agreement, which superseded the Jagasia Offer Letter and became effective as of the closing of the Mergers. Pursuant to the Jagasia Employment Agreement, Dr. Jagasia is eligible to receive an annual base salary of $638,200, subject to annual review and adjustment at our discretion and an annual cash incentive bonus, as determined by our Board, which bonus has a target of 55% of Dr. Jagasia’s base salary. Dr. Jagasia is eligible to participate in the employee benefit plans generally available to employees, subject to the terms of those plans, and Severance Plan (as defined below) as a Tier 1 Executive, as defined in the Severance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Dana Alexander, M.B.A. Executive Employment Agreement </w:t>
      </w:r>
    </w:p>
    <w:p>
      <w:pPr>
        <w:pStyle w:val="TextBody"/>
        <w:bidi w:val="0"/>
        <w:spacing w:before="120" w:after="0"/>
        <w:jc w:val="left"/>
        <w:rPr>
          <w:rFonts w:ascii="Times New Roman" w:hAnsi="Times New Roman"/>
          <w:sz w:val="20"/>
        </w:rPr>
      </w:pPr>
      <w:r>
        <w:rPr>
          <w:rFonts w:ascii="Times New Roman" w:hAnsi="Times New Roman"/>
          <w:sz w:val="20"/>
        </w:rPr>
        <w:t xml:space="preserve">We entered into an executive employment agreement with Mr. Alexander for the position of Chief Technical Officer, or the Alexander Employment Agreement, which superseded the Alexander Offer Letter and became effective as of the closing of the Mergers. Pursuant to the Alexander Employment Agreement, Mr. Alexander is eligible to receive an annual base salary of $461,480, subject to annual review and adjustment at our discretion and an annual cash incentive bonus, as determined by our Board, which bonus has a target of 40% of Mr. Alexander’s base salary. Mr. Alexander is eligible to participate in the employee benefit plans generally available to employees, subject to the terms of those plans, and the Severance Plan as a Tier 2 Executive, as defined in the Severance Plan. </w:t>
      </w:r>
    </w:p>
    <w:p>
      <w:pPr>
        <w:pStyle w:val="TextBody"/>
        <w:bidi w:val="0"/>
        <w:spacing w:before="360" w:after="0"/>
        <w:jc w:val="left"/>
        <w:rPr>
          <w:rFonts w:ascii="Times New Roman" w:hAnsi="Times New Roman"/>
          <w:i/>
          <w:sz w:val="20"/>
        </w:rPr>
      </w:pPr>
      <w:r>
        <w:rPr>
          <w:rFonts w:ascii="Times New Roman" w:hAnsi="Times New Roman"/>
          <w:i/>
          <w:sz w:val="20"/>
        </w:rPr>
        <w:t xml:space="preserve">Parameswaran Hari, M.D., M.S. Executive Employment Agreement </w:t>
      </w:r>
    </w:p>
    <w:p>
      <w:pPr>
        <w:pStyle w:val="TextBody"/>
        <w:bidi w:val="0"/>
        <w:spacing w:before="120" w:after="0"/>
        <w:jc w:val="left"/>
        <w:rPr>
          <w:rFonts w:ascii="Times New Roman" w:hAnsi="Times New Roman"/>
          <w:sz w:val="20"/>
        </w:rPr>
      </w:pPr>
      <w:r>
        <w:rPr>
          <w:rFonts w:ascii="Times New Roman" w:hAnsi="Times New Roman"/>
          <w:sz w:val="20"/>
        </w:rPr>
        <w:t xml:space="preserve">We entered into an executive employment agreement with Dr. Hari for the position of Chief Medical Officer, or the Hari Employment Agreement, which superseded the Hari Offer Letter and became effective as of the closing of the Mergers. Pursuant to the Hari Employment Agreement, Dr. Hari is eligible to receive an annual base salary of $538,167, subject to annual review and adjustment at our discretion and an annual cash incentive bonus, as determined by our Board, which bonus has a target of 40% of Dr. Hari’s base salary. Dr. Hari is eligible to participate in the employee benefit plans generally available to employees, subject to the terms of those plans, and the Severance Plan as a Tier 2 Executive, as defined in the Severance Plan. </w:t>
      </w:r>
    </w:p>
    <w:p>
      <w:pPr>
        <w:pStyle w:val="TextBody"/>
        <w:bidi w:val="0"/>
        <w:spacing w:before="360" w:after="0"/>
        <w:jc w:val="left"/>
        <w:rPr>
          <w:rFonts w:ascii="Times New Roman" w:hAnsi="Times New Roman"/>
          <w:i/>
          <w:sz w:val="20"/>
        </w:rPr>
      </w:pPr>
      <w:r>
        <w:rPr>
          <w:rFonts w:ascii="Times New Roman" w:hAnsi="Times New Roman"/>
          <w:i/>
          <w:sz w:val="20"/>
        </w:rPr>
        <w:t xml:space="preserve">Executive Severance Plan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Mergers, Parent adopted an Executive Severance Plan, or the Severance Plan, that became effective as of the closing of the Mergers, in which the named executive officers and certain other employees are eligible to participate. </w:t>
      </w:r>
    </w:p>
    <w:p>
      <w:pPr>
        <w:pStyle w:val="TextBody"/>
        <w:bidi w:val="0"/>
        <w:spacing w:before="240" w:after="0"/>
        <w:jc w:val="left"/>
        <w:rPr>
          <w:rFonts w:ascii="Times New Roman" w:hAnsi="Times New Roman"/>
          <w:sz w:val="20"/>
        </w:rPr>
      </w:pPr>
      <w:r>
        <w:rPr>
          <w:rFonts w:ascii="Times New Roman" w:hAnsi="Times New Roman"/>
          <w:sz w:val="20"/>
        </w:rPr>
        <w:t xml:space="preserve">The Severance Plan provides that upon a (i) termination of a named executive officer’s employment by Parent for any reason other than due to Cause, death, or Disability or (ii) a named executive officer’s resignation for Good Reason (each as defined in the Severance Plan), in each case outside of the period beginning three months prior to and ending on the one-year anniversary of a Change in Control (as defined in the Severance Plan), or such period, the Change in Control Period, each named executive officer is entitled to receive, subject to the execution and delivery of an effective and irrevocable separation agreement containing, among other things, a general release of claims in Parent’s favor and continued compliance with all applicable continuing obligations: (A) continued payment of the named executive officer’s base salary for 12 months following termination, such period, the Severance Period, and, for the Chief Executive Officer, a pro-rated target bonus and any earned but unpaid annual incentive compensation for the prior year; and (B) an amount equal to the employer portion of the monthly COBRA premium until the earliest of (x) the end of the Severance Period, (y) the date the named executive officer becomes eligible for group medical plan benefits under any other employer’s group medical plan, or (z) the cessation of the named executive officer’s health continuation rights under COBRA. </w:t>
      </w:r>
    </w:p>
    <w:p>
      <w:pPr>
        <w:pStyle w:val="TextBody"/>
        <w:bidi w:val="0"/>
        <w:spacing w:before="240" w:after="0"/>
        <w:jc w:val="left"/>
        <w:rPr>
          <w:rFonts w:ascii="Times New Roman" w:hAnsi="Times New Roman"/>
          <w:sz w:val="20"/>
        </w:rPr>
      </w:pPr>
      <w:r>
        <w:rPr>
          <w:rFonts w:ascii="Times New Roman" w:hAnsi="Times New Roman"/>
          <w:sz w:val="20"/>
        </w:rPr>
        <w:t xml:space="preserve">The Severance Plan also provides that upon a (i) termination of a named executive officer’s employment by Parent other than for Cause or due to death or Disability or (ii) resignation by a named executive officer for Good Reason, in each case within the Change in Control Period, each named executive officer is entitled to receive, in lieu of the payments and benefits above and subject to the execution and delivery of an effective and irrevocable separation agreement containing, among other things, a general release of claims in Parent’s favor and continued compliance with all applicable continuing obligations: (A) a lump sum amount equal to one times (or, in the case of the Chief Executive Officer, one and a half times) the sum of the named executive officer’s base salary and target annual bonus in effect immediately prior to the date of termination or immediately prior to the change in control, if higher; (B) any earned but unpaid annual incentive compensation for the prior year; (C) an amount equal to the employer portion of the monthly COBRA premium until the earliest of (x) 12 months (or, in the case of the Chief Executive Officer, 18 months) following termination of employment, (y) the date the named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executive officer becomes eligible for group medical plan benefits under any other employer’s group medical plan, or (z) the cessation of the named executive officer’s health continuation rights under COBRA; and (D) accelerated vesting of all outstanding and unvested equity awards held by the named executive officer that are subject solely to time-based vesting and, for the Chief Executive Officer, all vested stock options will remain exercisable until the earlier of six months following the date of termination and the original expiration date of the stock option.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280G of the Code, Parent may not be eligible for a U.S. federal income tax deduction on the payments and benefits provided under the Severance Plan in connection with a Change in Control. These payments and benefits may also subject an eligible participant, including the named executive officers, to an excise tax under Section 4999 of the Code. If the payments or benefits payable in connection with a Change in Control would be subject to the excise tax imposed under Section 4999 of the Code, then those payments or benefits will be reduced if such reduction would result in a higher net after-tax benefit to the eligible participant. </w:t>
      </w:r>
    </w:p>
    <w:p>
      <w:pPr>
        <w:pStyle w:val="TextBody"/>
        <w:bidi w:val="0"/>
        <w:spacing w:before="360" w:after="0"/>
        <w:jc w:val="left"/>
        <w:rPr>
          <w:rFonts w:ascii="Times New Roman" w:hAnsi="Times New Roman"/>
          <w:b/>
          <w:sz w:val="20"/>
        </w:rPr>
      </w:pPr>
      <w:r>
        <w:rPr>
          <w:rFonts w:ascii="Times New Roman" w:hAnsi="Times New Roman"/>
          <w:b/>
          <w:sz w:val="20"/>
        </w:rPr>
        <w:t xml:space="preserve">Outstanding Equity Awards at 2025 Fiscal Year End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concerning outstanding equity awards held by Legacy Obsidian’s named executive officers as of December 31, 2025. </w:t>
      </w:r>
    </w:p>
    <w:p>
      <w:pPr>
        <w:pStyle w:val="TextBody"/>
        <w:bidi w:val="0"/>
        <w:spacing w:before="0" w:after="0"/>
        <w:jc w:val="left"/>
        <w:rPr/>
      </w:pPr>
      <w:r>
        <w:rPr/>
        <w:t> </w:t>
      </w:r>
    </w:p>
    <w:tbl>
      <w:tblPr>
        <w:tblW w:w="12635" w:type="dxa"/>
        <w:jc w:val="left"/>
        <w:tblInd w:w="0" w:type="dxa"/>
        <w:tblLayout w:type="fixed"/>
        <w:tblCellMar>
          <w:top w:w="0" w:type="dxa"/>
          <w:left w:w="0" w:type="dxa"/>
          <w:bottom w:w="0" w:type="dxa"/>
          <w:right w:w="0" w:type="dxa"/>
        </w:tblCellMar>
      </w:tblPr>
      <w:tblGrid>
        <w:gridCol w:w="2240"/>
        <w:gridCol w:w="60"/>
        <w:gridCol w:w="60"/>
        <w:gridCol w:w="575"/>
        <w:gridCol w:w="60"/>
        <w:gridCol w:w="60"/>
        <w:gridCol w:w="178"/>
        <w:gridCol w:w="1492"/>
        <w:gridCol w:w="60"/>
        <w:gridCol w:w="60"/>
        <w:gridCol w:w="72"/>
        <w:gridCol w:w="1193"/>
        <w:gridCol w:w="60"/>
        <w:gridCol w:w="60"/>
        <w:gridCol w:w="83"/>
        <w:gridCol w:w="1362"/>
        <w:gridCol w:w="215"/>
        <w:gridCol w:w="60"/>
        <w:gridCol w:w="155"/>
        <w:gridCol w:w="2070"/>
        <w:gridCol w:w="215"/>
        <w:gridCol w:w="60"/>
        <w:gridCol w:w="105"/>
        <w:gridCol w:w="770"/>
        <w:gridCol w:w="60"/>
        <w:gridCol w:w="60"/>
        <w:gridCol w:w="119"/>
        <w:gridCol w:w="996"/>
        <w:gridCol w:w="75"/>
      </w:tblGrid>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5"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Option Awards(1)</w:t>
            </w:r>
          </w:p>
        </w:tc>
        <w:tc>
          <w:tcPr>
            <w:tcW w:w="75"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left"/>
              <w:rPr/>
            </w:pPr>
            <w:r>
              <w:rPr/>
              <w:t> </w:t>
            </w:r>
          </w:p>
        </w:tc>
        <w:tc>
          <w:tcPr>
            <w:tcW w:w="6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Grant</w:t>
              <w:b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Vesting</w:t>
              <w:br/>
              <w:t>Commencement</w:t>
              <w:b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w:t>
              <w:br/>
              <w:t>(#)</w:t>
              <w:br/>
              <w:t>Exercisable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 (#)</w:t>
              <w:br/>
              <w:t>Unexercisable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 Incentive Plan</w:t>
              <w:br/>
              <w:t>Awards: Number of</w:t>
              <w:br/>
              <w:t>Securities Underlying</w:t>
              <w:br/>
              <w:t>Unexercised</w:t>
              <w:br/>
              <w:t>Unearned</w:t>
              <w:br/>
              <w:t>Options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Exercise</w:t>
              <w:br/>
              <w:t>Price</w:t>
              <w:b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Expiration</w:t>
              <w:br/>
              <w:t>Date</w:t>
            </w:r>
          </w:p>
        </w:tc>
        <w:tc>
          <w:tcPr>
            <w:tcW w:w="75" w:type="dxa"/>
            <w:tcBorders/>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Madan Jagasia, M.D., M.S.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6/25/2024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6/25/2024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1,557,750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2,596,250</w:t>
            </w:r>
          </w:p>
        </w:tc>
        <w:tc>
          <w:tcPr>
            <w:tcW w:w="215"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207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0.78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6/24/2034</w:t>
            </w:r>
          </w:p>
        </w:tc>
        <w:tc>
          <w:tcPr>
            <w:tcW w:w="75" w:type="dxa"/>
            <w:tcBorders/>
            <w:shd w:fill="CCEE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2/28/2023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1/30/2023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4,868,516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2,212,962</w:t>
            </w:r>
          </w:p>
        </w:tc>
        <w:tc>
          <w:tcPr>
            <w:tcW w:w="215"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207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0.78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2/27/2033</w:t>
            </w:r>
          </w:p>
        </w:tc>
        <w:tc>
          <w:tcPr>
            <w:tcW w:w="75" w:type="dxa"/>
            <w:tcBorders/>
            <w:shd w:fill="CCEE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2/28/2023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9/13/2023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55,324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207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0.78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2/27/2033</w:t>
            </w:r>
          </w:p>
        </w:tc>
        <w:tc>
          <w:tcPr>
            <w:tcW w:w="75" w:type="dxa"/>
            <w:tcBorders/>
            <w:shd w:fill="CCEE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2/28/2023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110,648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207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0.78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2/27/2033</w:t>
            </w:r>
          </w:p>
        </w:tc>
        <w:tc>
          <w:tcPr>
            <w:tcW w:w="75" w:type="dxa"/>
            <w:tcBorders/>
            <w:shd w:fill="CCEE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2/28/2023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1/3/2024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103,732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6,916</w:t>
            </w:r>
          </w:p>
        </w:tc>
        <w:tc>
          <w:tcPr>
            <w:tcW w:w="215"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207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0.78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2/27/2033</w:t>
            </w:r>
          </w:p>
        </w:tc>
        <w:tc>
          <w:tcPr>
            <w:tcW w:w="75" w:type="dxa"/>
            <w:tcBorders/>
            <w:shd w:fill="CCEE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2/28/2023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1/12/2024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48,408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6,916</w:t>
            </w:r>
          </w:p>
        </w:tc>
        <w:tc>
          <w:tcPr>
            <w:tcW w:w="215" w:type="dxa"/>
            <w:tcBorders/>
            <w:shd w:fill="CCEEFF" w:val="clear"/>
            <w:vAlign w:val="center"/>
          </w:tcPr>
          <w:p>
            <w:pPr>
              <w:pStyle w:val="TableContents"/>
              <w:bidi w:val="0"/>
              <w:spacing w:before="0" w:after="283"/>
              <w:jc w:val="left"/>
              <w:rPr/>
            </w:pPr>
            <w:r>
              <w:rPr/>
              <w:t>(7)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207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0.78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2/27/2033</w:t>
            </w:r>
          </w:p>
        </w:tc>
        <w:tc>
          <w:tcPr>
            <w:tcW w:w="75" w:type="dxa"/>
            <w:tcBorders/>
            <w:shd w:fill="CCEE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2/28/2023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442,592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207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0.78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2/27/2033</w:t>
            </w:r>
          </w:p>
        </w:tc>
        <w:tc>
          <w:tcPr>
            <w:tcW w:w="75" w:type="dxa"/>
            <w:tcBorders/>
            <w:shd w:fill="CCEEFF" w:val="clear"/>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Dana Alexander, M.B.A.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6/25/2024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4/29/2024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372,375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362" w:type="dxa"/>
            <w:tcBorders/>
            <w:vAlign w:val="center"/>
          </w:tcPr>
          <w:p>
            <w:pPr>
              <w:pStyle w:val="TableContents"/>
              <w:bidi w:val="0"/>
              <w:spacing w:before="0" w:after="283"/>
              <w:jc w:val="right"/>
              <w:rPr/>
            </w:pPr>
            <w:r>
              <w:rPr/>
              <w:t>620,625</w:t>
            </w:r>
          </w:p>
        </w:tc>
        <w:tc>
          <w:tcPr>
            <w:tcW w:w="215"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07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0.78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6/24/2034</w:t>
            </w:r>
          </w:p>
        </w:tc>
        <w:tc>
          <w:tcPr>
            <w:tcW w:w="75"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5/15/2024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4/29/2024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630,694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362" w:type="dxa"/>
            <w:tcBorders/>
            <w:vAlign w:val="center"/>
          </w:tcPr>
          <w:p>
            <w:pPr>
              <w:pStyle w:val="TableContents"/>
              <w:bidi w:val="0"/>
              <w:spacing w:before="0" w:after="283"/>
              <w:jc w:val="right"/>
              <w:rPr/>
            </w:pPr>
            <w:r>
              <w:rPr/>
              <w:t>1,051,157</w:t>
            </w:r>
          </w:p>
        </w:tc>
        <w:tc>
          <w:tcPr>
            <w:tcW w:w="215"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070" w:type="dxa"/>
            <w:tcBorders/>
            <w:vAlign w:val="center"/>
          </w:tcPr>
          <w:p>
            <w:pPr>
              <w:pStyle w:val="TableContents"/>
              <w:bidi w:val="0"/>
              <w:spacing w:before="0" w:after="283"/>
              <w:jc w:val="right"/>
              <w:rPr/>
            </w:pPr>
            <w:r>
              <w:rPr/>
              <w:t>177,037</w:t>
            </w:r>
          </w:p>
        </w:tc>
        <w:tc>
          <w:tcPr>
            <w:tcW w:w="215" w:type="dxa"/>
            <w:tcBorders/>
            <w:vAlign w:val="center"/>
          </w:tcPr>
          <w:p>
            <w:pPr>
              <w:pStyle w:val="TableContents"/>
              <w:bidi w:val="0"/>
              <w:spacing w:before="0" w:after="283"/>
              <w:jc w:val="left"/>
              <w:rPr/>
            </w:pPr>
            <w:r>
              <w:rPr/>
              <w:t>(8) </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0.78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5/14/2034</w:t>
            </w:r>
          </w:p>
        </w:tc>
        <w:tc>
          <w:tcPr>
            <w:tcW w:w="75" w:type="dxa"/>
            <w:tcBorders/>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Parameswaran Hari, M.D., M.S.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6/25/2024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6/25/2024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353,812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589,688</w:t>
            </w:r>
          </w:p>
        </w:tc>
        <w:tc>
          <w:tcPr>
            <w:tcW w:w="215"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207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0.78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6/24/2034</w:t>
            </w:r>
          </w:p>
        </w:tc>
        <w:tc>
          <w:tcPr>
            <w:tcW w:w="75" w:type="dxa"/>
            <w:tcBorders/>
            <w:shd w:fill="CCEE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2/28/2023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1/17/2023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1,217,128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553,241</w:t>
            </w:r>
          </w:p>
        </w:tc>
        <w:tc>
          <w:tcPr>
            <w:tcW w:w="215"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207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0.78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2/27/2033</w:t>
            </w:r>
          </w:p>
        </w:tc>
        <w:tc>
          <w:tcPr>
            <w:tcW w:w="75" w:type="dxa"/>
            <w:tcBorders/>
            <w:shd w:fill="CCEE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2/28/2023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9/13/2023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48,685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207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0.78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2/27/2033</w:t>
            </w:r>
          </w:p>
        </w:tc>
        <w:tc>
          <w:tcPr>
            <w:tcW w:w="75" w:type="dxa"/>
            <w:tcBorders/>
            <w:shd w:fill="CCEE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2/28/2023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1/3/2024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91,284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6,086</w:t>
            </w:r>
          </w:p>
        </w:tc>
        <w:tc>
          <w:tcPr>
            <w:tcW w:w="215"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207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0.78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2/27/2033</w:t>
            </w:r>
          </w:p>
        </w:tc>
        <w:tc>
          <w:tcPr>
            <w:tcW w:w="75" w:type="dxa"/>
            <w:tcBorders/>
            <w:shd w:fill="CCEE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2/28/2023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97,370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207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0.78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2/27/2033</w:t>
            </w:r>
          </w:p>
        </w:tc>
        <w:tc>
          <w:tcPr>
            <w:tcW w:w="75" w:type="dxa"/>
            <w:tcBorders/>
            <w:shd w:fill="CCEE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2/28/2023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1/12/2024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42,599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6,086</w:t>
            </w:r>
          </w:p>
        </w:tc>
        <w:tc>
          <w:tcPr>
            <w:tcW w:w="215" w:type="dxa"/>
            <w:tcBorders/>
            <w:shd w:fill="CCEEFF" w:val="clear"/>
            <w:vAlign w:val="center"/>
          </w:tcPr>
          <w:p>
            <w:pPr>
              <w:pStyle w:val="TableContents"/>
              <w:bidi w:val="0"/>
              <w:spacing w:before="0" w:after="283"/>
              <w:jc w:val="left"/>
              <w:rPr/>
            </w:pPr>
            <w:r>
              <w:rPr/>
              <w:t>(7)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207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0.78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2/27/2033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(1)</w:t>
            </w:r>
          </w:p>
        </w:tc>
        <w:tc>
          <w:tcPr>
            <w:tcW w:w="9936"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All awards were granted under Legacy Obsidian’s 2016 Stock Option and Grant Plan and are subject to certain acceleration of vesting rights as set forth in the applicable named executive officer’s Severance and Change in Control Agreement, as described above. </w:t>
            </w:r>
          </w:p>
        </w:tc>
      </w:tr>
    </w:tbl>
    <w:tbl>
      <w:tblPr>
        <w:tblW w:w="4210" w:type="dxa"/>
        <w:jc w:val="left"/>
        <w:tblInd w:w="0" w:type="dxa"/>
        <w:tblLayout w:type="fixed"/>
        <w:tblCellMar>
          <w:top w:w="0" w:type="dxa"/>
          <w:left w:w="0" w:type="dxa"/>
          <w:bottom w:w="0" w:type="dxa"/>
          <w:right w:w="0" w:type="dxa"/>
        </w:tblCellMar>
      </w:tblPr>
      <w:tblGrid>
        <w:gridCol w:w="305"/>
        <w:gridCol w:w="3905"/>
      </w:tblGrid>
      <w:tr>
        <w:trPr/>
        <w:tc>
          <w:tcPr>
            <w:tcW w:w="305" w:type="dxa"/>
            <w:tcBorders/>
            <w:vAlign w:val="center"/>
          </w:tcPr>
          <w:p>
            <w:pPr>
              <w:pStyle w:val="TableContents"/>
              <w:bidi w:val="0"/>
              <w:spacing w:before="0" w:after="283"/>
              <w:jc w:val="left"/>
              <w:rPr/>
            </w:pPr>
            <w:r>
              <w:rPr/>
              <w:t>(2)</w:t>
            </w:r>
          </w:p>
        </w:tc>
        <w:tc>
          <w:tcPr>
            <w:tcW w:w="390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Options were repriced to $0.78 per share in June 2025. </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(3)</w:t>
            </w:r>
          </w:p>
        </w:tc>
        <w:tc>
          <w:tcPr>
            <w:tcW w:w="991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This award vests in equal quarterly installments over four years from the Vesting Commencement Date, subject to the grantee’s continued service through the applicable vesting date. </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(4)</w:t>
            </w:r>
          </w:p>
        </w:tc>
        <w:tc>
          <w:tcPr>
            <w:tcW w:w="99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This award vested 25% on the first anniversary of the Vesting Commencement Date, with the remainder vesting in equal quarterly installments over the following three years, subject to the grantee’s continued service through the applicable vesting date. </w:t>
            </w:r>
          </w:p>
        </w:tc>
      </w:tr>
    </w:tbl>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(5)</w:t>
            </w:r>
          </w:p>
        </w:tc>
        <w:tc>
          <w:tcPr>
            <w:tcW w:w="9931"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This award vested 50% on the Vesting Commencement Date, with the remainder vesting in equal quarterly installments over the following two years, subject to the grantee’s continued service through the applicable vesting date. </w:t>
            </w:r>
          </w:p>
        </w:tc>
      </w:tr>
    </w:tbl>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pPr>
            <w:r>
              <w:rPr/>
              <w:t>(6)</w:t>
            </w:r>
          </w:p>
        </w:tc>
        <w:tc>
          <w:tcPr>
            <w:tcW w:w="994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19% of the award vested on April 29, 2025 and the remainder vests in equal 1/16th installments on each June 25th, September 25th, December 25th and March 25th thereafter, through the four-year anniversary of the grant date, subject to the grantee’s continued service through the applicable vesting date. </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(7)</w:t>
            </w:r>
          </w:p>
        </w:tc>
        <w:tc>
          <w:tcPr>
            <w:tcW w:w="991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This award vests in equal quarterly installments over two years from the Vesting Commencement Date, subject to the grantee’s continued service through the applicable vesting date. </w:t>
            </w:r>
          </w:p>
        </w:tc>
      </w:tr>
    </w:tbl>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(8)</w:t>
            </w:r>
          </w:p>
        </w:tc>
        <w:tc>
          <w:tcPr>
            <w:tcW w:w="993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This award vests 50% upon the achievement of certain corporate performance goals, and 50% in equal quarterly installments over the two years thereafter, subject to the grantee’s continued service through the applicable vesting dates.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Employee Benefit and Equity Compensation Plans </w:t>
      </w:r>
    </w:p>
    <w:p>
      <w:pPr>
        <w:pStyle w:val="TextBody"/>
        <w:bidi w:val="0"/>
        <w:spacing w:before="120" w:after="0"/>
        <w:jc w:val="left"/>
        <w:rPr>
          <w:rFonts w:ascii="Times New Roman" w:hAnsi="Times New Roman"/>
          <w:b/>
          <w:i/>
          <w:sz w:val="20"/>
        </w:rPr>
      </w:pPr>
      <w:r>
        <w:rPr>
          <w:rFonts w:ascii="Times New Roman" w:hAnsi="Times New Roman"/>
          <w:b/>
          <w:i/>
          <w:sz w:val="20"/>
        </w:rPr>
        <w:t xml:space="preserve">2016 Stock Option and Grant Plan </w:t>
      </w:r>
    </w:p>
    <w:p>
      <w:pPr>
        <w:pStyle w:val="TextBody"/>
        <w:bidi w:val="0"/>
        <w:spacing w:before="120" w:after="0"/>
        <w:jc w:val="left"/>
        <w:rPr>
          <w:rFonts w:ascii="Times New Roman" w:hAnsi="Times New Roman"/>
          <w:sz w:val="20"/>
        </w:rPr>
      </w:pPr>
      <w:r>
        <w:rPr>
          <w:rFonts w:ascii="Times New Roman" w:hAnsi="Times New Roman"/>
          <w:sz w:val="20"/>
        </w:rPr>
        <w:t>The 2016 Stock Option and Grant Plan, or 2016 Plan, was initially adopted by the Legacy Obsidian Board and approved by Legacy Obsidian’s stockholders on March 23, 2016, and most recently amended in March 2024 to increase the number of shares reserved for issuance thereunder. The 2016 Plan expired in March 2026. Under the 2016 Plan, as amended, Legacy Obsidian reserved for issuance an aggregate of 48,749,161 shares of Legacy Obsidian common stock. The maximum number of shares that could have been issued pursuant to incentive stock options under the 2016 Plan was 48,749,161 shares. These numbers were subject to adjustment in the event of a reorganization, stock split, reverse stock split, stock dividend, recapitalization, reclassification, or other similar change in capitalization or event. As of December 31, 2025, options to purchase 38,061,610 shares of Legacy Obsidian’s common stock were outstanding under the 2016 Plan. Legacy Obsidian’s Board determined not to make any further awards under the 2016 Plan following the closing of the Mergers and the PIPE Financing all outstanding awards under the 2016 Plan will continue to be governed by their existing terms. In connection with the Mergers, we adopted a new incentive equity plan under which we will grant equity-based awards following the Mergers and the PIPE Financing, as described under “—</w:t>
      </w:r>
      <w:r>
        <w:rPr>
          <w:rFonts w:ascii="Times New Roman" w:hAnsi="Times New Roman"/>
          <w:i/>
          <w:sz w:val="20"/>
        </w:rPr>
        <w:t>2026 Equity Incentive Plan</w:t>
      </w:r>
      <w:r>
        <w:rPr>
          <w:rFonts w:ascii="Times New Roman" w:hAnsi="Times New Roman"/>
          <w:sz w:val="20"/>
        </w:rPr>
        <w:t xml:space="preserve">” below. The following summary describes the material terms of the 2016 Plan. This summary is not a complete description of all provisions of the 2016 Plan and is qualified in its entirety by reference to the 2016 Plan. </w:t>
      </w:r>
    </w:p>
    <w:p>
      <w:pPr>
        <w:pStyle w:val="TextBody"/>
        <w:bidi w:val="0"/>
        <w:spacing w:before="240" w:after="0"/>
        <w:jc w:val="left"/>
        <w:rPr>
          <w:rFonts w:ascii="Times New Roman" w:hAnsi="Times New Roman"/>
          <w:sz w:val="20"/>
        </w:rPr>
      </w:pPr>
      <w:r>
        <w:rPr>
          <w:rFonts w:ascii="Times New Roman" w:hAnsi="Times New Roman"/>
          <w:sz w:val="20"/>
        </w:rPr>
        <w:t xml:space="preserve">The shares of Legacy Obsidian common stock underlying any awards that are forfeited, cancelled, reacquired by us prior to vesting, satisfied without the issuance of Legacy Obsidian common stock, or otherwise terminated (other than by exercise) and shares that are withheld upon exercise of an option or settlement of an award to cover the exercise price or tax withholding under the 2016 Plan were previously added back to the shares of Legacy Obsidian common stock available for issuance under our 2016 Plan (and, following the completion of the Mergers and the PIPE Financing, are added back to the shares of our common stock available for issuance under the 2026 Equity Plan, or 2026 Plan). </w:t>
      </w:r>
    </w:p>
    <w:p>
      <w:pPr>
        <w:pStyle w:val="TextBody"/>
        <w:bidi w:val="0"/>
        <w:spacing w:before="240" w:after="0"/>
        <w:jc w:val="left"/>
        <w:rPr>
          <w:rFonts w:ascii="Times New Roman" w:hAnsi="Times New Roman"/>
          <w:sz w:val="20"/>
        </w:rPr>
      </w:pPr>
      <w:r>
        <w:rPr>
          <w:rFonts w:ascii="Times New Roman" w:hAnsi="Times New Roman"/>
          <w:sz w:val="20"/>
        </w:rPr>
        <w:t xml:space="preserve">The Legacy Obsidian Board acted as administrator of the 2016 Plan. The administrator had full power to, among other things, select, from among the individuals eligible for awards, the individuals to whom awards will be granted, make any combination of awards to participants, determine the specific terms and conditions of each award, and accelerate at any time the exercisability or vesting of any award, subject to the provisions of the 2016 Plan. Persons eligible to participate in Legacy Obsidian’s 2016 Plan were Legacy Obsidian’s full or part-time officers, employees, directors, consultants, and other key persons as selected from time to time by the administrator in its discretion. </w:t>
      </w:r>
    </w:p>
    <w:p>
      <w:pPr>
        <w:pStyle w:val="TextBody"/>
        <w:bidi w:val="0"/>
        <w:spacing w:before="240" w:after="0"/>
        <w:jc w:val="left"/>
        <w:rPr>
          <w:rFonts w:ascii="Times New Roman" w:hAnsi="Times New Roman"/>
          <w:sz w:val="20"/>
        </w:rPr>
      </w:pPr>
      <w:r>
        <w:rPr>
          <w:rFonts w:ascii="Times New Roman" w:hAnsi="Times New Roman"/>
          <w:sz w:val="20"/>
        </w:rPr>
        <w:t xml:space="preserve">The 2016 Plan permitted the granting of (1) options to purchase common stock intended to qualify as incentive stock options under Section 422 of the Code and (2) options that do not so qualify. The option exercise price of each option was determined by the administrator but could not be less than 100% of the fair market value of the common stock on the date of grant or, in the case of an incentive stock option granted to a 10% owner, the exercise price could not be less than 110% of the fair market value of Legacy Obsidian common stock on the date of grant. The term of each option was fixed by the administrator and could not exceed ten years from the date of grant (or five years in the case of certain incentive stock option grants). The administrator determined at what time or times each option may be exercised.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administrator of the 2016 Plan could have awarded restricted shares of Legacy Obsidian common stock and restricted stock units subject to such conditions and restrictions as it determined. These conditions and restrictions could have included continued employment or other service relationship through a specified vesting period and/or the achievement of certain performance goals.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administrator of the 2016 Plan could also have granted shares of common stock that were free from any restrictions under the 2016 Plan. Unrestricted stock could have been granted to participants in recognition of past services or for other valid consideration and could have been issued in lieu of cash compensation due to such participant.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event of certain corporate transactions and events, including a reorganization, recapitalization, reclassification, stock dividend, stock split, reverse stock split, or other similar change to capital stock, the administrator of the 2016 Plan is required to make appropriate adjustments to the maximum number of shares reserved for issuance under the 2016 Plan, the number and kind of securities subject to outstanding awards under the 2016 Plan, and the repurchase or exercise price of any outstanding awards under the 2016 Plan. </w:t>
      </w:r>
    </w:p>
    <w:p>
      <w:pPr>
        <w:pStyle w:val="TextBody"/>
        <w:bidi w:val="0"/>
        <w:spacing w:before="240" w:after="0"/>
        <w:jc w:val="left"/>
        <w:rPr>
          <w:rFonts w:ascii="Times New Roman" w:hAnsi="Times New Roman"/>
          <w:sz w:val="20"/>
        </w:rPr>
      </w:pPr>
      <w:r>
        <w:rPr>
          <w:rFonts w:ascii="Times New Roman" w:hAnsi="Times New Roman"/>
          <w:sz w:val="20"/>
        </w:rPr>
        <w:t xml:space="preserve">The 2016 Plan provides that upon the effective time of a Sale Event (as defined in the 2016 Plan), the 2016 Plan and all outstanding stock options under the 2016 Plan will terminate, unless assumed or continued by the successor entity. In the event of such termination, optionees will be provided an opportunity to exercise options that were then exercisable or would become exercisable as of the effective time of the Sale Event within a specified period of time prior to the consummation of the Sale Event. In addition, Legacy Obsidian had the right to provide for cash payment to holders of options, in exchange for the cancellation thereof, in an amount equal to the difference between the value of the consideration payable per share of Legacy Obsidian common stock in the Sale Event and the per share exercise price of such options, multiplied by the number of shares subject to such option to the extent then vested and exercisable. In the event of a Sale Event, unvested restricted stock and restricted stock units (other than those becoming vested as a result of the Sale Event) will be forfeited unless such awards were assumed or continued by the successor entity. If shares of restricted stock are forfeited in connection with a Sale Event, those shares of restricted stock may be repurchased at a price per share equal to the original per share purchase price of such shares. Legacy Obsidian had the right to provide for cash payment to holders of restricted stock or restricted stock units, in exchange for the cancellation thereof, in an amount per share equal to the value of the consideration payable per share of common stock in the Sale Event. </w:t>
      </w:r>
    </w:p>
    <w:p>
      <w:pPr>
        <w:pStyle w:val="TextBody"/>
        <w:bidi w:val="0"/>
        <w:spacing w:before="240" w:after="0"/>
        <w:jc w:val="left"/>
        <w:rPr>
          <w:rFonts w:ascii="Times New Roman" w:hAnsi="Times New Roman"/>
          <w:sz w:val="20"/>
        </w:rPr>
      </w:pPr>
      <w:r>
        <w:rPr>
          <w:rFonts w:ascii="Times New Roman" w:hAnsi="Times New Roman"/>
          <w:sz w:val="20"/>
        </w:rPr>
        <w:t>Legacy Obsidian’s Board had authority to amend or discontinue the 2016 Plan at any time, subject to stockholder approval where required by applicable law. The administrator of the 2016 Plan is authorized to amend or cancel any outstanding award for purposes of satisfying changes in law or for any other lawful purpose, provided that no such action would adversely affect rights under an outstanding award without the holder’s consent. The administrator of the 2016 Plan is authorized to exercise its discretion to reduce the exercise price of outstanding stock options or effect the repricing of such awards through cancellation and re-grants.</w:t>
      </w:r>
    </w:p>
    <w:p>
      <w:pPr>
        <w:pStyle w:val="TextBody"/>
        <w:bidi w:val="0"/>
        <w:spacing w:before="240" w:after="0"/>
        <w:jc w:val="left"/>
        <w:rPr>
          <w:rFonts w:ascii="Times New Roman" w:hAnsi="Times New Roman"/>
          <w:sz w:val="20"/>
        </w:rPr>
      </w:pPr>
      <w:r>
        <w:rPr>
          <w:rFonts w:ascii="Times New Roman" w:hAnsi="Times New Roman"/>
          <w:sz w:val="20"/>
        </w:rPr>
        <w:t xml:space="preserve">The 2016 Plan expired in March 2026. As described above, the Legacy Obsidian Board has determined not to make any further awards under our 2016 Plan following the completion of the Mergers.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2026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The 2026 Plan was adopted by the Parent Board and approved by Parent’s sole stockholder on June 30, 2026, and became effective immediately preceding the closing of the Mergers. The 2026 Plan replaced the 2016 Plan. The 2026 Plan allows Obsidian to make equity-based and cash-based incentive awards to our officers, employees, directors, and consultants. The following summary describes the material terms of the 2026 Plan. This summary is not a complete description of all provisions of the 2026 Plan and is qualified in its entirety by reference to the 2026 Plan, which is filed as an exhibit to the registration statement of which this prospectus is a part. </w:t>
      </w:r>
    </w:p>
    <w:p>
      <w:pPr>
        <w:pStyle w:val="TextBody"/>
        <w:bidi w:val="0"/>
        <w:spacing w:before="240" w:after="0"/>
        <w:jc w:val="left"/>
        <w:rPr>
          <w:rFonts w:ascii="Times New Roman" w:hAnsi="Times New Roman"/>
          <w:sz w:val="20"/>
        </w:rPr>
      </w:pPr>
      <w:r>
        <w:rPr>
          <w:rFonts w:ascii="Times New Roman" w:hAnsi="Times New Roman"/>
          <w:i/>
          <w:sz w:val="20"/>
        </w:rPr>
        <w:t>Authorized Shares</w:t>
      </w:r>
      <w:r>
        <w:rPr>
          <w:rFonts w:ascii="Times New Roman" w:hAnsi="Times New Roman"/>
          <w:sz w:val="20"/>
        </w:rPr>
        <w:t xml:space="preserve">. We have reserved 7,494,541 shares of our common stock for issuance under the 2026 Plan, or the Initial Limit. The 2026 Plan provides that the number of shares reserved and available for issuance under the 2026 Plan will automatically increase on January 1, 2027 and each January thereafter during the term of the 2026 Plan, by (i) 5% of the sum of (A) the number of shares of our common stock issued and outstanding on the immediately preceding December 31, (B) the number of shares of our preferred stock issued and outstanding on the immediately preceding December 31 and (C) the number of shares of our stock issuable pursuant to the exercise of any outstanding, pre-funded warrants to acquire our common stock or preferred stock on the date immediately preceding December 31, or the Outstanding Shares, or (ii) such lesser number of shares as determined by our compensation committee, or the Annual Increase. The number of shares of our common stock reserved for issuance under the 2026 Plan will be subject to adjustment in the event of a stock split, stock dividend, or other change in our capitalization.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shares we issue under the 2026 Plan will be authorized but unissued shares or shares that we reacquire. The shares of our common stock underlying any awards under the 2026 Plan and the 2016 Plan that are forfeited, cancelled, held back upon exercise or settlement of an award to satisfy the exercise price or tax withholding, reacquired by us prior to vesting, satisfied without the issuance of stock, expire, or are otherwise terminated (other than by exercise) are added back to the shares of common stock available for issuance under the 2026 Plan. The maximum number of shares of our common stock that may be issued pursuant to incentive stock options shall not exceed the Initial Limit, cumulatively increased on January 1, 2027 and on each January 1 thereafter by the lesser of the Annual Increase for such year or the Initial Limit. </w:t>
      </w:r>
    </w:p>
    <w:p>
      <w:pPr>
        <w:pStyle w:val="TextBody"/>
        <w:bidi w:val="0"/>
        <w:spacing w:before="240" w:after="0"/>
        <w:jc w:val="left"/>
        <w:rPr>
          <w:rFonts w:ascii="Times New Roman" w:hAnsi="Times New Roman"/>
          <w:sz w:val="20"/>
        </w:rPr>
      </w:pPr>
      <w:r>
        <w:rPr>
          <w:rFonts w:ascii="Times New Roman" w:hAnsi="Times New Roman"/>
          <w:i/>
          <w:sz w:val="20"/>
        </w:rPr>
        <w:t>Non-Employee Director Limit</w:t>
      </w:r>
      <w:r>
        <w:rPr>
          <w:rFonts w:ascii="Times New Roman" w:hAnsi="Times New Roman"/>
          <w:sz w:val="20"/>
        </w:rPr>
        <w:t xml:space="preserve">. The grant date fair value of all awards under the 2026 Plan and all other cash compensation paid by us to any non-employee director during any one calendar year for services as a non-employee director may not exceed $750,000; provided, however, that such amount shall be $1,000,000 for the calendar year in which the applicable non-employee director is initially elected or appointed to our Board. </w:t>
      </w:r>
    </w:p>
    <w:p>
      <w:pPr>
        <w:pStyle w:val="TextBody"/>
        <w:bidi w:val="0"/>
        <w:spacing w:before="240" w:after="0"/>
        <w:jc w:val="left"/>
        <w:rPr>
          <w:rFonts w:ascii="Times New Roman" w:hAnsi="Times New Roman"/>
          <w:sz w:val="20"/>
        </w:rPr>
      </w:pPr>
      <w:r>
        <w:rPr>
          <w:rFonts w:ascii="Times New Roman" w:hAnsi="Times New Roman"/>
          <w:i/>
          <w:sz w:val="20"/>
        </w:rPr>
        <w:t>Plan Administration</w:t>
      </w:r>
      <w:r>
        <w:rPr>
          <w:rFonts w:ascii="Times New Roman" w:hAnsi="Times New Roman"/>
          <w:sz w:val="20"/>
        </w:rPr>
        <w:t xml:space="preserve">. The 2026 Plan is administered by our compensation committee. Our compensation committee has full power to select, from among the individuals eligible for awards, the individuals to whom awards will be granted and the number of shares subject to such awards, to make any combination of awards to participants, to accelerate at any time the exercisability or vesting of any award, and to determine the specific terms and conditions of each award, subject to the provisions of the 2026 Plan. The compensation committee is specifically authorized to exercise its discretion to reduce the exercise price of outstanding stock options and stock appreciation rights or effect the repricing of such awards through cancellation and re-grants without stockholder approval. </w:t>
      </w:r>
    </w:p>
    <w:p>
      <w:pPr>
        <w:pStyle w:val="TextBody"/>
        <w:bidi w:val="0"/>
        <w:spacing w:before="240" w:after="0"/>
        <w:jc w:val="left"/>
        <w:rPr>
          <w:rFonts w:ascii="Times New Roman" w:hAnsi="Times New Roman"/>
          <w:sz w:val="20"/>
        </w:rPr>
      </w:pPr>
      <w:r>
        <w:rPr>
          <w:rFonts w:ascii="Times New Roman" w:hAnsi="Times New Roman"/>
          <w:i/>
          <w:sz w:val="20"/>
        </w:rPr>
        <w:t>Eligibility</w:t>
      </w:r>
      <w:r>
        <w:rPr>
          <w:rFonts w:ascii="Times New Roman" w:hAnsi="Times New Roman"/>
          <w:sz w:val="20"/>
        </w:rPr>
        <w:t xml:space="preserve">. Persons eligible to participate in the 2026 Plan are our employees, non-employee directors, and consultants and its affiliates selected from time to time by our compensation committee in its discretion. </w:t>
      </w:r>
    </w:p>
    <w:p>
      <w:pPr>
        <w:pStyle w:val="TextBody"/>
        <w:bidi w:val="0"/>
        <w:spacing w:before="240" w:after="0"/>
        <w:jc w:val="left"/>
        <w:rPr>
          <w:rFonts w:ascii="Times New Roman" w:hAnsi="Times New Roman"/>
          <w:sz w:val="20"/>
        </w:rPr>
      </w:pPr>
      <w:r>
        <w:rPr>
          <w:rFonts w:ascii="Times New Roman" w:hAnsi="Times New Roman"/>
          <w:i/>
          <w:sz w:val="20"/>
        </w:rPr>
        <w:t>Stock Options</w:t>
      </w:r>
      <w:r>
        <w:rPr>
          <w:rFonts w:ascii="Times New Roman" w:hAnsi="Times New Roman"/>
          <w:sz w:val="20"/>
        </w:rPr>
        <w:t xml:space="preserve">. The 2026 Plan permits the granting of both options to purchase common stock intended to qualify as incentive stock options under Section 422 of the Code and options that do not so qualify. The option exercise price of each option is determined by our compensation committee but may not be less than 100% of the fair market value of our common stock on the date of grant unless the option (i) is granted pursuant to a transaction described in and in a manner consistent with, Section 424(a) of the Code, (ii) is granted to an individual who is not subject to United States income tax, or (iii) complies with or is exempt from Section 409A of the Code. The term of each option is fixed by our compensation committee and may not exceed ten years from the date of grant (or five years in the case of certain incentive stock options). Our compensation committee determines at what time or times each option may be exercised. </w:t>
      </w:r>
    </w:p>
    <w:p>
      <w:pPr>
        <w:pStyle w:val="TextBody"/>
        <w:bidi w:val="0"/>
        <w:spacing w:before="240" w:after="0"/>
        <w:jc w:val="left"/>
        <w:rPr>
          <w:rFonts w:ascii="Times New Roman" w:hAnsi="Times New Roman"/>
          <w:sz w:val="20"/>
        </w:rPr>
      </w:pPr>
      <w:r>
        <w:rPr>
          <w:rFonts w:ascii="Times New Roman" w:hAnsi="Times New Roman"/>
          <w:i/>
          <w:sz w:val="20"/>
        </w:rPr>
        <w:t>Stock Appreciation Rights</w:t>
      </w:r>
      <w:r>
        <w:rPr>
          <w:rFonts w:ascii="Times New Roman" w:hAnsi="Times New Roman"/>
          <w:sz w:val="20"/>
        </w:rPr>
        <w:t xml:space="preserve">. Our compensation committee may award stock appreciation rights under the 2026 Plan subject to such conditions and restrictions as it determines. Stock appreciation rights entitle the recipient to shares of our common stock, or cash, equal to the value of the appreciation in our stock price over the exercise price. The exercise price of each stock appreciation right may not be less than 100% of the fair market value of our common stock on the date of grant unless the stock appreciation right (i) is granted pursuant to a transaction described in, and in a manner consistent with, Section 424(a) of the Code, (ii) is granted to an individual who is not subject to United States income tax, or (iii) complies with or is exempt from Section 409A of the Code. The term of each stock appreciation right will be fixed by our compensation committee and may not exceed ten years from the date of grant. Our compensation committee will determine at what time or times each stock appreciation right may be exercised. </w:t>
      </w:r>
    </w:p>
    <w:p>
      <w:pPr>
        <w:pStyle w:val="TextBody"/>
        <w:bidi w:val="0"/>
        <w:spacing w:before="240" w:after="0"/>
        <w:jc w:val="left"/>
        <w:rPr>
          <w:rFonts w:ascii="Times New Roman" w:hAnsi="Times New Roman"/>
          <w:sz w:val="20"/>
        </w:rPr>
      </w:pPr>
      <w:r>
        <w:rPr>
          <w:rFonts w:ascii="Times New Roman" w:hAnsi="Times New Roman"/>
          <w:i/>
          <w:sz w:val="20"/>
        </w:rPr>
        <w:t>Restricted Stock and Restricted Stock Units</w:t>
      </w:r>
      <w:r>
        <w:rPr>
          <w:rFonts w:ascii="Times New Roman" w:hAnsi="Times New Roman"/>
          <w:sz w:val="20"/>
        </w:rPr>
        <w:t xml:space="preserve">. Our compensation committee may award restricted shares of common stock and restricted stock units to participants subject to such conditions and restrictions as it determines. These conditions and restrictions may include the achievement of certain performance goals and/or continued employment or other service relationship with us through a specified vesting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Unrestricted Stock Awards</w:t>
      </w:r>
      <w:r>
        <w:rPr>
          <w:rFonts w:ascii="Times New Roman" w:hAnsi="Times New Roman"/>
          <w:sz w:val="20"/>
        </w:rPr>
        <w:t xml:space="preserve">. Our compensation committee may grant shares of common stock that are free from any restrictions under the 2026 Plan. Unrestricted stock may be granted to participants in recognition of past services or for other valid consideration and may be issued in lieu of cash compensation due to such participant. </w:t>
      </w:r>
    </w:p>
    <w:p>
      <w:pPr>
        <w:pStyle w:val="TextBody"/>
        <w:bidi w:val="0"/>
        <w:spacing w:before="240" w:after="0"/>
        <w:jc w:val="left"/>
        <w:rPr>
          <w:rFonts w:ascii="Times New Roman" w:hAnsi="Times New Roman"/>
          <w:sz w:val="20"/>
        </w:rPr>
      </w:pPr>
      <w:r>
        <w:rPr>
          <w:rFonts w:ascii="Times New Roman" w:hAnsi="Times New Roman"/>
          <w:i/>
          <w:sz w:val="20"/>
        </w:rPr>
        <w:t>Dividend Equivalent Rights</w:t>
      </w:r>
      <w:r>
        <w:rPr>
          <w:rFonts w:ascii="Times New Roman" w:hAnsi="Times New Roman"/>
          <w:sz w:val="20"/>
        </w:rPr>
        <w:t xml:space="preserve">. Our compensation committee may grant dividend equivalent rights to participants that entitle the recipient to receive credits for dividends that would be paid if the recipient had held a specified number of shares of common stock. </w:t>
      </w:r>
    </w:p>
    <w:p>
      <w:pPr>
        <w:pStyle w:val="TextBody"/>
        <w:bidi w:val="0"/>
        <w:spacing w:before="240" w:after="0"/>
        <w:jc w:val="left"/>
        <w:rPr>
          <w:rFonts w:ascii="Times New Roman" w:hAnsi="Times New Roman"/>
          <w:sz w:val="20"/>
        </w:rPr>
      </w:pPr>
      <w:r>
        <w:rPr>
          <w:rFonts w:ascii="Times New Roman" w:hAnsi="Times New Roman"/>
          <w:i/>
          <w:sz w:val="20"/>
        </w:rPr>
        <w:t>Cash-Based Awards</w:t>
      </w:r>
      <w:r>
        <w:rPr>
          <w:rFonts w:ascii="Times New Roman" w:hAnsi="Times New Roman"/>
          <w:sz w:val="20"/>
        </w:rPr>
        <w:t xml:space="preserve">. Our compensation committee may grant cash bonuses under the 2026 Plan to participants, subject to the achievement of certain performance goals. </w:t>
      </w:r>
    </w:p>
    <w:p>
      <w:pPr>
        <w:pStyle w:val="TextBody"/>
        <w:bidi w:val="0"/>
        <w:spacing w:before="240" w:after="0"/>
        <w:jc w:val="left"/>
        <w:rPr>
          <w:rFonts w:ascii="Times New Roman" w:hAnsi="Times New Roman"/>
          <w:sz w:val="20"/>
        </w:rPr>
      </w:pPr>
      <w:r>
        <w:rPr>
          <w:rFonts w:ascii="Times New Roman" w:hAnsi="Times New Roman"/>
          <w:i/>
          <w:sz w:val="20"/>
        </w:rPr>
        <w:t>Sale Event</w:t>
      </w:r>
      <w:r>
        <w:rPr>
          <w:rFonts w:ascii="Times New Roman" w:hAnsi="Times New Roman"/>
          <w:sz w:val="20"/>
        </w:rPr>
        <w:t xml:space="preserve">. The 2026 Plan provides that, upon the effectiveness of a Sale Event (as defined in the 2026 Plan), an acquirer or successor entity may assume, continue, or substitute outstanding awards under the 2026 Plan. To the extent that awards granted under the 2026 Plan are not assumed, continued, or substituted by the successor entity, the 2026 Plan and all awards granted under the 2026 Plan will terminate. In such case, except as may be otherwise provided in the relevant award agreement, all awards with time-based vesting, conditions, or restrictions will become fully vested and exercisable or nonforfeitable as of the effective time of the Sale Event and all awards with conditions and restrictions relating to the attainment of performance goals may become vested and exercisable or nonforfeitable in connection with the Sale Event in the plan administrator’s discretion or to the extent specified in the relevant award agreement. In the event of such termination, (i) individuals holding options and stock appreciation rights will be permitted to exercise any options and stock appreciation rights (to the extent exercisable) within a specified time period, as determined by our compensation committee, prior to the Sale Event or (ii) we may make or provide for a payment, in cash or in kind, to participants holding vested and exercisable options and stock appreciation rights equal to the difference between the per share consideration payable to stockholders in the Sale Event and the exercise price of the options or stock appreciation rights; provided, that any options or stock appreciation rights with exercise prices equal to or greater than such per share consideration will be cancelled for no consideration. In addition, we may make or provide for a payment, in cash or in kind, to the participants holding other awards in an amount equal to the per share consideration payable to stockholders in the Sale Event multiplied by the number of vested shares of common stock under such awards. </w:t>
      </w:r>
    </w:p>
    <w:p>
      <w:pPr>
        <w:pStyle w:val="TextBody"/>
        <w:bidi w:val="0"/>
        <w:spacing w:before="240" w:after="0"/>
        <w:jc w:val="left"/>
        <w:rPr>
          <w:rFonts w:ascii="Times New Roman" w:hAnsi="Times New Roman"/>
          <w:sz w:val="20"/>
        </w:rPr>
      </w:pPr>
      <w:r>
        <w:rPr>
          <w:rFonts w:ascii="Times New Roman" w:hAnsi="Times New Roman"/>
          <w:i/>
          <w:sz w:val="20"/>
        </w:rPr>
        <w:t>Amendment</w:t>
      </w:r>
      <w:r>
        <w:rPr>
          <w:rFonts w:ascii="Times New Roman" w:hAnsi="Times New Roman"/>
          <w:sz w:val="20"/>
        </w:rPr>
        <w:t xml:space="preserve">. Our Board may amend or discontinue the 2026 Plan and our compensation committee may amend or cancel outstanding awards for purposes of satisfying changes in law or any other lawful purpose, but no such action may materially and adversely affect rights under an award without the holder’s consent. Certain amendments to the 2026 Plan require the approval of our stockholders. Our compensation committee is specifically authorized to exercise its discretion to reduce the exercise price of outstanding stock options and stock appreciation rights or effect the repricing of such awards through cancellation and re-grants without stockholder consent. </w:t>
      </w:r>
    </w:p>
    <w:p>
      <w:pPr>
        <w:pStyle w:val="TextBody"/>
        <w:bidi w:val="0"/>
        <w:spacing w:before="240" w:after="0"/>
        <w:jc w:val="left"/>
        <w:rPr>
          <w:rFonts w:ascii="Times New Roman" w:hAnsi="Times New Roman"/>
          <w:sz w:val="20"/>
        </w:rPr>
      </w:pPr>
      <w:r>
        <w:rPr>
          <w:rFonts w:ascii="Times New Roman" w:hAnsi="Times New Roman"/>
          <w:sz w:val="20"/>
        </w:rPr>
        <w:t xml:space="preserve">No awards may be granted under the 2026 Plan after the date that is ten years from the effective date of the 2026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2026 Employee Stock Purchase Plan </w:t>
      </w:r>
    </w:p>
    <w:p>
      <w:pPr>
        <w:pStyle w:val="TextBody"/>
        <w:bidi w:val="0"/>
        <w:spacing w:before="120" w:after="0"/>
        <w:jc w:val="left"/>
        <w:rPr>
          <w:rFonts w:ascii="Times New Roman" w:hAnsi="Times New Roman"/>
          <w:sz w:val="20"/>
        </w:rPr>
      </w:pPr>
      <w:r>
        <w:rPr>
          <w:rFonts w:ascii="Times New Roman" w:hAnsi="Times New Roman"/>
          <w:sz w:val="20"/>
        </w:rPr>
        <w:t xml:space="preserve">The 2026 ESPP was adopted by the Parent Board and approved by Parent’s sole stockholder on June 30, 2026, and became effective on the date immediately preceding the closing of the Mergers. The 2026 ESPP has two components: a component intended to qualify as an “employee stock purchase plan” within the meaning of Section 423 of the Code, or the 423 Component, and a component that is not intended to so qualify, or the Non-423 Component. Except as otherwise provided, the Non-423 Component will be operated and administered in the same manner as the 423 Component, except where prohibited by law. The following summary describes the material terms of the 2026 ESPP. This summary is not a complete description of all provisions of the 2026 ESPP and is qualified in its entirety by reference to the 2026 ESPP, which is filed as an exhibit to the registration statement of which this prospectus is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Authorized Shares</w:t>
      </w:r>
      <w:r>
        <w:rPr>
          <w:rFonts w:ascii="Times New Roman" w:hAnsi="Times New Roman"/>
          <w:sz w:val="20"/>
        </w:rPr>
        <w:t xml:space="preserve">. The 2026 ESPP initially reserves and authorizes the issuance of 7,494,541 that the number of shares reserved and available for issuance will automatically increase on January 1, 2027 and each January 1 thereafter through January 1, 2036 by the least of (i) the Initial ESPP Limit, (ii) 1% of the Outstanding Shares or (iii) such number of shares of our common stock as determined by the administrator of the 2026 ESPP. The number of shares reserved under the 2026 ESPP is subject to adjustment in the event of a stock split, stock dividend, or other change in our capitalization. </w:t>
      </w:r>
    </w:p>
    <w:p>
      <w:pPr>
        <w:pStyle w:val="TextBody"/>
        <w:bidi w:val="0"/>
        <w:spacing w:before="240" w:after="0"/>
        <w:jc w:val="left"/>
        <w:rPr>
          <w:rFonts w:ascii="Times New Roman" w:hAnsi="Times New Roman"/>
          <w:sz w:val="20"/>
        </w:rPr>
      </w:pPr>
      <w:r>
        <w:rPr>
          <w:rFonts w:ascii="Times New Roman" w:hAnsi="Times New Roman"/>
          <w:i/>
          <w:sz w:val="20"/>
        </w:rPr>
        <w:t>Eligibility</w:t>
      </w:r>
      <w:r>
        <w:rPr>
          <w:rFonts w:ascii="Times New Roman" w:hAnsi="Times New Roman"/>
          <w:sz w:val="20"/>
        </w:rPr>
        <w:t xml:space="preserve">. All individuals classified as employees on our payroll records or a “designated company” (as defined in the 2026 ESPP) as of the first day of the applicable offering period are eligible to participate in the 2026 ESPP, provided that the administrator of the 2026 ESPP may determine in advance of an offering that employees are eligible only if, as of the first day of the offering, they (a) are customarily employed by us or a Designated Company (as defined in the ESPP) for more than 20 hours a week (or such lesser amount determined by the administrator of the 2026 ESPP), (b) are customarily employed by us or a Designated Company for more than five months per calendar year, (c) have completed a minimum period of employment as determined by the administrator of the 2026 ESPP, provided such service requirement does not exceed two years of employment, and/or (d) they are not highly compensated employees. However, any employee who owns, or as a result of participation in the 2026 ESPP would own or hold, 5% or more of the total combined voting power or value of all classes of our stock will not be eligible to purchase shares of common stock under the 2026 ESPP. </w:t>
      </w:r>
    </w:p>
    <w:p>
      <w:pPr>
        <w:pStyle w:val="TextBody"/>
        <w:bidi w:val="0"/>
        <w:spacing w:before="240" w:after="0"/>
        <w:jc w:val="left"/>
        <w:rPr>
          <w:rFonts w:ascii="Times New Roman" w:hAnsi="Times New Roman"/>
          <w:sz w:val="20"/>
        </w:rPr>
      </w:pPr>
      <w:r>
        <w:rPr>
          <w:rFonts w:ascii="Times New Roman" w:hAnsi="Times New Roman"/>
          <w:i/>
          <w:sz w:val="20"/>
        </w:rPr>
        <w:t>Offerings</w:t>
      </w:r>
      <w:r>
        <w:rPr>
          <w:rFonts w:ascii="Times New Roman" w:hAnsi="Times New Roman"/>
          <w:sz w:val="20"/>
        </w:rPr>
        <w:t xml:space="preserve">. We may make one or more offerings each year to our employees to purchase shares of our common stock under the 2026 ESPP, each of which may consist of one or more purchase periods. Offerings will begin and end on the dates determined by the administrator of the 2026 ESPP, except that no offering will exceed 27 months in duration. Each eligible employee may elect to participate in any offering by submitting an enrollment form by the deadline established by the administrator of the 2026 ESPP. </w:t>
      </w:r>
    </w:p>
    <w:p>
      <w:pPr>
        <w:pStyle w:val="TextBody"/>
        <w:bidi w:val="0"/>
        <w:spacing w:before="240" w:after="0"/>
        <w:jc w:val="left"/>
        <w:rPr>
          <w:rFonts w:ascii="Times New Roman" w:hAnsi="Times New Roman"/>
          <w:sz w:val="20"/>
        </w:rPr>
      </w:pPr>
      <w:r>
        <w:rPr>
          <w:rFonts w:ascii="Times New Roman" w:hAnsi="Times New Roman"/>
          <w:sz w:val="20"/>
        </w:rPr>
        <w:t xml:space="preserve">Each employee who is a participant in the 2026 ESPP may purchase shares by authorizing payroll deductions at a minimum of 1% and up to a maximum of 15% of such participant’s eligible compensation during an offering period (or such other minimum and maximum as determined by the administrator in advance of an offering). Unless the participating employee has previously withdrawn from the offering, such participant’s accumulated payroll deductions will be used to purchase shares of our common stock on the last day of each purchase period at a price equal to 85% of the fair market value of the shares on the first day or the last day of the purchase period, whichever is lower, provided that no more than the number of shares of our common stock determined by dividing $25,000 by the fair market value of our common stock on the first day of such offering period (or such other maximum number of shares as may be established by the administrator of the 2026 ESPP) may be purchased by any one employee during any purchase period. Under applicable tax rules, an employee may purchase no more than $25,000 worth of shares of our common stock, valued at the start of the offering period, under the 2026 ESPP for each calendar year during which any option granted to the employee is outstanding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accumulated payroll deductions of any employee who is not a participant on the last day of an offering period will be refunded. An employee’s rights under the 2026 ESPP terminate upon voluntary withdrawal from the plan or when the employee ceases employment with us for any reason. </w:t>
      </w:r>
    </w:p>
    <w:p>
      <w:pPr>
        <w:pStyle w:val="TextBody"/>
        <w:bidi w:val="0"/>
        <w:spacing w:before="240" w:after="0"/>
        <w:jc w:val="left"/>
        <w:rPr>
          <w:rFonts w:ascii="Times New Roman" w:hAnsi="Times New Roman"/>
          <w:sz w:val="20"/>
        </w:rPr>
      </w:pPr>
      <w:r>
        <w:rPr>
          <w:rFonts w:ascii="Times New Roman" w:hAnsi="Times New Roman"/>
          <w:i/>
          <w:sz w:val="20"/>
        </w:rPr>
        <w:t>Sale Event.</w:t>
      </w:r>
      <w:r>
        <w:rPr>
          <w:rFonts w:ascii="Times New Roman" w:hAnsi="Times New Roman"/>
          <w:sz w:val="20"/>
        </w:rPr>
        <w:t xml:space="preserve"> In the case of and subject to the consummation of a Sale Event (as defined in the 2026 ESPP), the administrator of the 2026 ESPP, in its discretion, and on such terms and conditions as it deems appropriate, is authorized to take any one or more of the following actions under the 2026 ESPP or with respect to any right under the 2026 ESPP or to facilitate such transactions or events: (i) provide for either (A) termination of any outstanding option in exchange for an amount of cash, if any, equal to the amount that would have been obtained upon the exercise of such option had such option been currently exercisable or (B) the replacement of such outstanding option with other options or property selected by the administrator of the 2026 ESPP in its sole discretion; (ii) provide that the outstanding options under the 2026 ESPP shall be assumed by the successor or survivor corporation, or a parent or subsidiary thereof, or shall be substituted for similar options covering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 of the successor or survivor corporation, or a parent or subsidiary thereof, with appropriate adjustments as to the number and kind of shares and prices; (iii) make adjustments in the number and type of shares of common stock (or other securities or property) subject to outstanding options under the 2026 ESPP and/or in terms and conditions of outstanding options and options that may be granted in the future; (iv) provide that the offering with respect to which an option relates will be shortened by setting a new exercise date on which such offering period will end; and (v) provide that all outstanding options shall terminate without being exercised and all amounts in the accounts of participants shall be promptly refunded. </w:t>
      </w:r>
    </w:p>
    <w:p>
      <w:pPr>
        <w:pStyle w:val="TextBody"/>
        <w:bidi w:val="0"/>
        <w:spacing w:before="240" w:after="0"/>
        <w:jc w:val="left"/>
        <w:rPr>
          <w:rFonts w:ascii="Times New Roman" w:hAnsi="Times New Roman"/>
          <w:sz w:val="20"/>
        </w:rPr>
      </w:pPr>
      <w:r>
        <w:rPr>
          <w:rFonts w:ascii="Times New Roman" w:hAnsi="Times New Roman"/>
          <w:i/>
          <w:sz w:val="20"/>
        </w:rPr>
        <w:t>Amendment</w:t>
      </w:r>
      <w:r>
        <w:rPr>
          <w:rFonts w:ascii="Times New Roman" w:hAnsi="Times New Roman"/>
          <w:sz w:val="20"/>
        </w:rPr>
        <w:t xml:space="preserve">. The 2026 ESPP may be terminated or amended by our Board at any time. An amendment that increases the number of shares of our common stock authorized under the 2026 ESPP and certain other amendments require the approval of our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Senior Executive Cash Incentive Bonus Plan </w:t>
      </w:r>
    </w:p>
    <w:p>
      <w:pPr>
        <w:pStyle w:val="TextBody"/>
        <w:bidi w:val="0"/>
        <w:spacing w:before="120" w:after="0"/>
        <w:jc w:val="left"/>
        <w:rPr>
          <w:rFonts w:ascii="Times New Roman" w:hAnsi="Times New Roman"/>
          <w:sz w:val="20"/>
        </w:rPr>
      </w:pPr>
      <w:r>
        <w:rPr>
          <w:rFonts w:ascii="Times New Roman" w:hAnsi="Times New Roman"/>
          <w:sz w:val="20"/>
        </w:rPr>
        <w:t xml:space="preserve">On June 22, 2026, our Board adopted the Senior Executive Cash Incentive Bonus Plan, or the Bonus Plan. The Bonus Plan provides for cash bonus payments based upon our and individual performance targets established by our compensation committee. The performance targets will be related to our financial or operational measures or objectives, or Corporate Performance Goals, as well as individual performance objectives. The following summary describes the material terms of the Bonus Plan. This summary is not a complete description of all provisions of the Bonus Plan and is qualified in its entirety by reference to the Bonus Plan, which is filed as an exhibit to the registration statement of which this prospectus is a part. </w:t>
      </w:r>
    </w:p>
    <w:p>
      <w:pPr>
        <w:pStyle w:val="TextBody"/>
        <w:bidi w:val="0"/>
        <w:spacing w:before="240" w:after="0"/>
        <w:jc w:val="left"/>
        <w:rPr>
          <w:rFonts w:ascii="Times New Roman" w:hAnsi="Times New Roman"/>
          <w:sz w:val="20"/>
        </w:rPr>
      </w:pPr>
      <w:r>
        <w:rPr>
          <w:rFonts w:ascii="Times New Roman" w:hAnsi="Times New Roman"/>
          <w:sz w:val="20"/>
        </w:rPr>
        <w:t xml:space="preserve">Our compensation committee may select Corporate Performance Goals from among the following: research and development, publication, clinical, and/or regulatory milestones; revenue; corporate revenue; earnings before interest, taxes, depreciation, and amortization; net income (loss) (either before or after interest, taxes, depreciation, and/or amortization); changes in the market price of our common stock; economic value-added; acquisitions or strategic transactions, including licenses, collaborations, joint ventures, or promotion arrangements; financing or other capital raising transactions; operating income (loss); return on capital, assets, equity, or investment; stockholder returns; return on sales; gross or net profit levels; productivity; expense efficiency; margins; operating efficiency; customer satisfaction; working capital; earnings (loss) per share of our common stock; sales or market shares; number of prescriptions or prescribing physicians; coverage decisions; leadership development, employee retention and recruiting, and other human resources matters; operating income; and/or net annual recurring revenue; or any other performance goal selected by our compensation committee, any of which may be (A) measured in absolute terms or as compared to any incremental increase, (B) measured in terms of growth, as compared to results of a peer group, or (C) measured against the market as a whole, compared to applicable market indices, and/or measured on a pre-tax or post-tax basis. </w:t>
      </w:r>
    </w:p>
    <w:p>
      <w:pPr>
        <w:pStyle w:val="TextBody"/>
        <w:bidi w:val="0"/>
        <w:spacing w:before="240" w:after="0"/>
        <w:jc w:val="left"/>
        <w:rPr>
          <w:rFonts w:ascii="Times New Roman" w:hAnsi="Times New Roman"/>
          <w:sz w:val="20"/>
        </w:rPr>
      </w:pPr>
      <w:r>
        <w:rPr>
          <w:rFonts w:ascii="Times New Roman" w:hAnsi="Times New Roman"/>
          <w:sz w:val="20"/>
        </w:rPr>
        <w:t xml:space="preserve">Each executive officer who is selected to participate in the Bonus Plan will have a target bonus opportunity set for each performance period. The bonus formulas will be adopted in each performance period by the compensation committee and communicated to each executive. The Corporate Performance Goals will be measured at the end of each performance period after our financial reports have been published or such other appropriate time as the compensation committee determines. If the Corporate Performance Goals and individual performance objectives are met, payments will be made as soon as practicable following the end of each performance period, but not later than 74 days after the end of the year in which such performance period ends. Subject to any rights contained in any agreement between the executive officer and us, an executive officer shall be required to be employed by us on the bonus payment date to be eligible to receive a bonus payment under the Bonus Plan. The Bonus Plan also permits our compensation committee to approve additional bonuses to executive officers in its sole discretion.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the compensation awarded to, earned by, or paid to each person who served as a non-employee member of the Legacy Obsidian Board for their services to Legacy Obsidian during Fiscal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2025. Other than as set forth in the table and described more fully below, Legacy Obsidian did not pay any compensation, make any equity awards or non-equity awards to, or pay any other compensation to any of the non-employee members of the Legacy Obsidian Board in Fiscal Year 2025. During the Fiscal Year 2025, Legacy Obsidian did not have a formal non-employee director compensation program; however, in the Fiscal Year 2025, Dr. Fardis received $50,000 in cash compensation for her services as chairperson of the Legacy Obsidian Board, Ms. Hagen and Dr. Ross each received $25,000 in cash compensation for service as an independent director and Dr. Norkunas received $35,000 in cash compensation for service as an independent director and chair of the audit committee of the Legacy Obsidian Board. We reimburse non-employee members of the Legacy Obsidian Board for reasonable travel and out-of-pocket expenses incurred in attending meetings of the Legacy Obsidian Board and committees of the Legacy Obsidian Board. Dr. Jagasia, who is our Chief Executive Officer, did not receive any additional compensation for his service as a director, and Dr. Barrett, who serves on the Legacy Obsidian Board as a representative of a fund that is an investor in Legacy Obsidian, did not receive cash or equity compensation from Legacy Obsidian in Fiscal Year 2025 and, accordingly, he has been omitted from the table below. The compensation received by Dr. Jagasia, as a named executive officer of Legacy Obsidian, is presented in “</w:t>
      </w:r>
      <w:r>
        <w:rPr>
          <w:rFonts w:ascii="Times New Roman" w:hAnsi="Times New Roman"/>
          <w:i/>
          <w:sz w:val="20"/>
        </w:rPr>
        <w:t>2025 Summary Compensation Table</w:t>
      </w:r>
      <w:r>
        <w:rPr>
          <w:rFonts w:ascii="Times New Roman" w:hAnsi="Times New Roman"/>
          <w:sz w:val="20"/>
        </w:rPr>
        <w:t xml:space="preserve">” above. </w:t>
      </w:r>
    </w:p>
    <w:p>
      <w:pPr>
        <w:pStyle w:val="TextBody"/>
        <w:bidi w:val="0"/>
        <w:spacing w:before="0" w:after="0"/>
        <w:jc w:val="left"/>
        <w:rPr/>
      </w:pPr>
      <w:r>
        <w:rPr/>
        <w:t> </w:t>
      </w:r>
    </w:p>
    <w:tbl>
      <w:tblPr>
        <w:tblW w:w="5493" w:type="dxa"/>
        <w:jc w:val="left"/>
        <w:tblInd w:w="0" w:type="dxa"/>
        <w:tblLayout w:type="fixed"/>
        <w:tblCellMar>
          <w:top w:w="0" w:type="dxa"/>
          <w:left w:w="0" w:type="dxa"/>
          <w:bottom w:w="0" w:type="dxa"/>
          <w:right w:w="0" w:type="dxa"/>
        </w:tblCellMar>
      </w:tblPr>
      <w:tblGrid>
        <w:gridCol w:w="1580"/>
        <w:gridCol w:w="120"/>
        <w:gridCol w:w="128"/>
        <w:gridCol w:w="1452"/>
        <w:gridCol w:w="60"/>
        <w:gridCol w:w="120"/>
        <w:gridCol w:w="71"/>
        <w:gridCol w:w="818"/>
        <w:gridCol w:w="60"/>
        <w:gridCol w:w="120"/>
        <w:gridCol w:w="62"/>
        <w:gridCol w:w="827"/>
        <w:gridCol w:w="75"/>
      </w:tblGrid>
      <w:tr>
        <w:trPr/>
        <w:tc>
          <w:tcPr>
            <w:tcW w:w="15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80" w:type="dxa"/>
            <w:tcBorders/>
            <w:vAlign w:val="center"/>
          </w:tcPr>
          <w:p>
            <w:pPr>
              <w:pStyle w:val="TableContents"/>
              <w:bidi w:val="0"/>
              <w:spacing w:before="0" w:after="283"/>
              <w:jc w:val="left"/>
              <w:rPr>
                <w:b/>
              </w:rPr>
            </w:pPr>
            <w:r>
              <w:rPr>
                <w:b/>
              </w:rPr>
              <w:t>Name</w:t>
            </w:r>
          </w:p>
        </w:tc>
        <w:tc>
          <w:tcPr>
            <w:tcW w:w="120" w:type="dxa"/>
            <w:tcBorders/>
            <w:vAlign w:val="center"/>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Fees Earned or</w:t>
              <w:br/>
              <w:t>Paid in Cash</w:t>
              <w:b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Awards</w:t>
              <w:br/>
              <w:t>($)(2) (3)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w:t>
            </w:r>
          </w:p>
        </w:tc>
        <w:tc>
          <w:tcPr>
            <w:tcW w:w="75"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Robert Ross</w:t>
            </w:r>
          </w:p>
        </w:tc>
        <w:tc>
          <w:tcPr>
            <w:tcW w:w="12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pPr>
            <w:r>
              <w:rPr/>
              <w:t>25,000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17,332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42,332</w:t>
            </w:r>
          </w:p>
        </w:tc>
        <w:tc>
          <w:tcPr>
            <w:tcW w:w="75" w:type="dxa"/>
            <w:tcBorders/>
            <w:shd w:fill="CCEEFF" w:val="clear"/>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Heidi Hagen</w:t>
            </w:r>
          </w:p>
        </w:tc>
        <w:tc>
          <w:tcPr>
            <w:tcW w:w="12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52" w:type="dxa"/>
            <w:tcBorders/>
            <w:vAlign w:val="center"/>
          </w:tcPr>
          <w:p>
            <w:pPr>
              <w:pStyle w:val="TableContents"/>
              <w:bidi w:val="0"/>
              <w:spacing w:before="0" w:after="283"/>
              <w:jc w:val="right"/>
              <w:rPr/>
            </w:pPr>
            <w:r>
              <w:rPr/>
              <w:t>25,000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18" w:type="dxa"/>
            <w:tcBorders/>
            <w:vAlign w:val="center"/>
          </w:tcPr>
          <w:p>
            <w:pPr>
              <w:pStyle w:val="TableContents"/>
              <w:bidi w:val="0"/>
              <w:spacing w:before="0" w:after="283"/>
              <w:jc w:val="right"/>
              <w:rPr/>
            </w:pPr>
            <w:r>
              <w:rPr/>
              <w:t>27,093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52,093</w:t>
            </w:r>
          </w:p>
        </w:tc>
        <w:tc>
          <w:tcPr>
            <w:tcW w:w="75"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Maria Fardis</w:t>
            </w:r>
          </w:p>
        </w:tc>
        <w:tc>
          <w:tcPr>
            <w:tcW w:w="12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pPr>
            <w:r>
              <w:rPr/>
              <w:t>50,000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60,909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110,909</w:t>
            </w:r>
          </w:p>
        </w:tc>
        <w:tc>
          <w:tcPr>
            <w:tcW w:w="75" w:type="dxa"/>
            <w:tcBorders/>
            <w:shd w:fill="CCEEFF" w:val="clear"/>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Matthew Norkunas</w:t>
            </w:r>
          </w:p>
        </w:tc>
        <w:tc>
          <w:tcPr>
            <w:tcW w:w="12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52" w:type="dxa"/>
            <w:tcBorders/>
            <w:vAlign w:val="center"/>
          </w:tcPr>
          <w:p>
            <w:pPr>
              <w:pStyle w:val="TableContents"/>
              <w:bidi w:val="0"/>
              <w:spacing w:before="0" w:after="283"/>
              <w:jc w:val="right"/>
              <w:rPr/>
            </w:pPr>
            <w:r>
              <w:rPr/>
              <w:t>35,000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18" w:type="dxa"/>
            <w:tcBorders/>
            <w:vAlign w:val="center"/>
          </w:tcPr>
          <w:p>
            <w:pPr>
              <w:pStyle w:val="TableContents"/>
              <w:bidi w:val="0"/>
              <w:spacing w:before="0" w:after="283"/>
              <w:jc w:val="right"/>
              <w:rPr/>
            </w:pPr>
            <w:r>
              <w:rPr/>
              <w:t>10,721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45,721</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pPr>
            <w:r>
              <w:rPr/>
              <w:t>(1)</w:t>
            </w:r>
          </w:p>
        </w:tc>
        <w:tc>
          <w:tcPr>
            <w:tcW w:w="99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represent the cash fees each director received for their services to the Legacy Obsidian Board during Fiscal Year 2025.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(2)</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 reported represents the aggregate incremental fair value related to the repricing, in Fiscal Year 2025, of certain stock option awards held by the non-employee directors that were granted prior to Fiscal Year 2025, computed in accordance with FASB ASC Topic 718. The assumptions used in calculating the incremental fair values include a common stock fair value of $0.78, a risk-free interest rate ranging from 4.03% to 4.14%, an expected dividend yield of 0.00%, an expected term of 3.2 to 5.2 years, and an expected volatility ranging from 76.86% to 80.18%. The amounts reported in this column reflect the accounting cost for the repricing of certain option awards and do not correspond to the actual economic value that may be received by our non-employee directors upon the exercise of the option awards or any sale of the underlying securities. </w:t>
            </w:r>
          </w:p>
        </w:tc>
      </w:tr>
    </w:tbl>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r>
              <w:rPr/>
              <w:t>(3)</w:t>
            </w:r>
          </w:p>
        </w:tc>
        <w:tc>
          <w:tcPr>
            <w:tcW w:w="9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2025, each non-employee director held options to purchase the aggregate number of shares of common stock as set forth below: </w:t>
            </w:r>
          </w:p>
        </w:tc>
      </w:tr>
    </w:tbl>
    <w:p>
      <w:pPr>
        <w:pStyle w:val="TextBody"/>
        <w:bidi w:val="0"/>
        <w:spacing w:before="0" w:after="0"/>
        <w:jc w:val="left"/>
        <w:rPr/>
      </w:pPr>
      <w:r>
        <w:rPr/>
        <w:t> </w:t>
      </w:r>
    </w:p>
    <w:tbl>
      <w:tblPr>
        <w:tblW w:w="3055" w:type="dxa"/>
        <w:jc w:val="left"/>
        <w:tblInd w:w="0" w:type="dxa"/>
        <w:tblLayout w:type="fixed"/>
        <w:tblCellMar>
          <w:top w:w="0" w:type="dxa"/>
          <w:left w:w="0" w:type="dxa"/>
          <w:bottom w:w="0" w:type="dxa"/>
          <w:right w:w="0" w:type="dxa"/>
        </w:tblCellMar>
      </w:tblPr>
      <w:tblGrid>
        <w:gridCol w:w="1580"/>
        <w:gridCol w:w="120"/>
        <w:gridCol w:w="73"/>
        <w:gridCol w:w="1207"/>
        <w:gridCol w:w="75"/>
      </w:tblGrid>
      <w:tr>
        <w:trPr/>
        <w:tc>
          <w:tcPr>
            <w:tcW w:w="15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80" w:type="dxa"/>
            <w:tcBorders/>
            <w:vAlign w:val="center"/>
          </w:tcPr>
          <w:p>
            <w:pPr>
              <w:pStyle w:val="TableContents"/>
              <w:bidi w:val="0"/>
              <w:spacing w:before="0" w:after="283"/>
              <w:jc w:val="left"/>
              <w:rPr>
                <w:b/>
              </w:rPr>
            </w:pPr>
            <w:r>
              <w:rPr>
                <w:b/>
              </w:rPr>
              <w:t>Name</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br/>
              <w:t>Underlying</w:t>
              <w:br/>
              <w:t>Outstanding</w:t>
              <w:br/>
              <w:t>Option</w:t>
              <w:br/>
              <w:t>Awards</w:t>
            </w:r>
          </w:p>
        </w:tc>
        <w:tc>
          <w:tcPr>
            <w:tcW w:w="75"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Robert Ross</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517,500</w:t>
            </w:r>
          </w:p>
        </w:tc>
        <w:tc>
          <w:tcPr>
            <w:tcW w:w="75" w:type="dxa"/>
            <w:tcBorders/>
            <w:shd w:fill="CCEEFF" w:val="clear"/>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Heidi Hagen</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517,500</w:t>
            </w:r>
          </w:p>
        </w:tc>
        <w:tc>
          <w:tcPr>
            <w:tcW w:w="75"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Maria Fardis</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1,222,500</w:t>
            </w:r>
          </w:p>
        </w:tc>
        <w:tc>
          <w:tcPr>
            <w:tcW w:w="75" w:type="dxa"/>
            <w:tcBorders/>
            <w:shd w:fill="CCEEFF" w:val="clear"/>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Matthew Norkunas</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262,500</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None of our non-employee directors held stock awards other than options as of December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Non-Employee Director Compensation Policy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Mergers, Parent adopted a non-employee director compensation policy that became effective upon the completion of the Mergers and is designed to enable us to attract and retain, on a long-term basis, highly qualified non-employee directors. Under the policy, each director who is not an employee is paid cash compensation following the completion of the Mergers, as set forth below, which amounts are payable quarterly in arrears and prorated for partial years of service: </w:t>
      </w:r>
    </w:p>
    <w:p>
      <w:pPr>
        <w:pStyle w:val="TextBody"/>
        <w:bidi w:val="0"/>
        <w:spacing w:before="0" w:after="0"/>
        <w:jc w:val="left"/>
        <w:rPr/>
      </w:pPr>
      <w:r>
        <w:rPr/>
        <w:t> </w:t>
      </w:r>
    </w:p>
    <w:tbl>
      <w:tblPr>
        <w:tblW w:w="6640" w:type="dxa"/>
        <w:jc w:val="left"/>
        <w:tblInd w:w="0" w:type="dxa"/>
        <w:tblLayout w:type="fixed"/>
        <w:tblCellMar>
          <w:top w:w="0" w:type="dxa"/>
          <w:left w:w="0" w:type="dxa"/>
          <w:bottom w:w="0" w:type="dxa"/>
          <w:right w:w="0" w:type="dxa"/>
        </w:tblCellMar>
      </w:tblPr>
      <w:tblGrid>
        <w:gridCol w:w="4445"/>
        <w:gridCol w:w="120"/>
        <w:gridCol w:w="340"/>
        <w:gridCol w:w="1660"/>
        <w:gridCol w:w="75"/>
      </w:tblGrid>
      <w:tr>
        <w:trPr/>
        <w:tc>
          <w:tcPr>
            <w:tcW w:w="4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445" w:type="dxa"/>
            <w:tcBorders/>
            <w:vAlign w:val="center"/>
          </w:tcPr>
          <w:p>
            <w:pPr>
              <w:pStyle w:val="TableContents"/>
              <w:bidi w:val="0"/>
              <w:spacing w:before="0" w:after="283"/>
              <w:jc w:val="left"/>
              <w:rPr>
                <w:b/>
              </w:rPr>
            </w:pPr>
            <w:r>
              <w:rPr>
                <w:b/>
              </w:rPr>
              <w:t>Board of Directors:</w:t>
            </w:r>
          </w:p>
        </w:tc>
        <w:tc>
          <w:tcPr>
            <w:tcW w:w="120" w:type="dxa"/>
            <w:tcBorders/>
            <w:vAlign w:val="center"/>
          </w:tcPr>
          <w:p>
            <w:pPr>
              <w:pStyle w:val="TableContents"/>
              <w:bidi w:val="0"/>
              <w:spacing w:before="0" w:after="283"/>
              <w:jc w:val="left"/>
              <w:rPr/>
            </w:pPr>
            <w:r>
              <w:rPr/>
              <w:t>  </w:t>
            </w:r>
          </w:p>
        </w:tc>
        <w:tc>
          <w:tcPr>
            <w:tcW w:w="2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Annual Retainer</w:t>
            </w:r>
          </w:p>
        </w:tc>
        <w:tc>
          <w:tcPr>
            <w:tcW w:w="75" w:type="dxa"/>
            <w:tcBorders/>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Members</w:t>
            </w:r>
          </w:p>
        </w:tc>
        <w:tc>
          <w:tcPr>
            <w:tcW w:w="12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w:t>
            </w:r>
          </w:p>
        </w:tc>
        <w:tc>
          <w:tcPr>
            <w:tcW w:w="1660" w:type="dxa"/>
            <w:tcBorders/>
            <w:shd w:fill="CCEEFF" w:val="clear"/>
            <w:vAlign w:val="center"/>
          </w:tcPr>
          <w:p>
            <w:pPr>
              <w:pStyle w:val="TableContents"/>
              <w:bidi w:val="0"/>
              <w:spacing w:before="0" w:after="283"/>
              <w:jc w:val="right"/>
              <w:rPr/>
            </w:pPr>
            <w:r>
              <w:rPr/>
              <w:t>40,000</w:t>
            </w:r>
          </w:p>
        </w:tc>
        <w:tc>
          <w:tcPr>
            <w:tcW w:w="75" w:type="dxa"/>
            <w:tcBorders/>
            <w:shd w:fill="CCEEFF" w:val="clear"/>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Additional retainer for non-executive chair</w:t>
            </w:r>
          </w:p>
        </w:tc>
        <w:tc>
          <w:tcPr>
            <w:tcW w:w="12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w:t>
            </w:r>
          </w:p>
        </w:tc>
        <w:tc>
          <w:tcPr>
            <w:tcW w:w="1660" w:type="dxa"/>
            <w:tcBorders/>
            <w:vAlign w:val="center"/>
          </w:tcPr>
          <w:p>
            <w:pPr>
              <w:pStyle w:val="TableContents"/>
              <w:bidi w:val="0"/>
              <w:spacing w:before="0" w:after="283"/>
              <w:jc w:val="right"/>
              <w:rPr/>
            </w:pPr>
            <w:r>
              <w:rPr/>
              <w:t>30,000</w:t>
            </w:r>
          </w:p>
        </w:tc>
        <w:tc>
          <w:tcPr>
            <w:tcW w:w="75" w:type="dxa"/>
            <w:tcBorders/>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283"/>
              <w:jc w:val="left"/>
              <w:rPr>
                <w:sz w:val="4"/>
                <w:szCs w:val="4"/>
              </w:rPr>
            </w:pPr>
            <w:r>
              <w:rPr>
                <w:sz w:val="4"/>
                <w:szCs w:val="4"/>
              </w:rPr>
            </w:r>
          </w:p>
        </w:tc>
        <w:tc>
          <w:tcPr>
            <w:tcW w:w="2195" w:type="dxa"/>
            <w:gridSpan w:val="4"/>
            <w:tcBorders/>
            <w:vAlign w:val="center"/>
          </w:tcPr>
          <w:p>
            <w:pPr>
              <w:pStyle w:val="TableContents"/>
              <w:bidi w:val="0"/>
              <w:spacing w:before="0" w:after="283"/>
              <w:jc w:val="left"/>
              <w:rPr>
                <w:sz w:val="4"/>
                <w:szCs w:val="4"/>
              </w:rPr>
            </w:pPr>
            <w:r>
              <w:rPr>
                <w:sz w:val="4"/>
                <w:szCs w:val="4"/>
              </w:rPr>
            </w:r>
          </w:p>
        </w:tc>
      </w:tr>
      <w:tr>
        <w:trPr/>
        <w:tc>
          <w:tcPr>
            <w:tcW w:w="4445" w:type="dxa"/>
            <w:tcBorders/>
            <w:vAlign w:val="center"/>
          </w:tcPr>
          <w:p>
            <w:pPr>
              <w:pStyle w:val="TableContents"/>
              <w:bidi w:val="0"/>
              <w:spacing w:before="0" w:after="283"/>
              <w:jc w:val="left"/>
              <w:rPr>
                <w:b/>
              </w:rPr>
            </w:pPr>
            <w:r>
              <w:rPr>
                <w:b/>
              </w:rPr>
              <w:t>Audit Committee:</w:t>
            </w:r>
          </w:p>
        </w:tc>
        <w:tc>
          <w:tcPr>
            <w:tcW w:w="120" w:type="dxa"/>
            <w:tcBorders/>
            <w:vAlign w:val="center"/>
          </w:tcPr>
          <w:p>
            <w:pPr>
              <w:pStyle w:val="TableContents"/>
              <w:bidi w:val="0"/>
              <w:spacing w:before="0" w:after="283"/>
              <w:jc w:val="left"/>
              <w:rPr/>
            </w:pPr>
            <w:r>
              <w:rPr/>
              <w:t>  </w:t>
            </w:r>
          </w:p>
        </w:tc>
        <w:tc>
          <w:tcPr>
            <w:tcW w:w="2000" w:type="dxa"/>
            <w:gridSpan w:val="2"/>
            <w:tcBorders/>
            <w:vAlign w:val="center"/>
          </w:tcPr>
          <w:p>
            <w:pPr>
              <w:pStyle w:val="TableContents"/>
              <w:bidi w:val="0"/>
              <w:spacing w:before="0" w:after="283"/>
              <w:jc w:val="center"/>
              <w:rPr>
                <w:b/>
              </w:rPr>
            </w:pPr>
            <w:r>
              <w:rPr>
                <w:b/>
              </w:rPr>
              <w:t>Additional Amount</w:t>
            </w:r>
          </w:p>
        </w:tc>
        <w:tc>
          <w:tcPr>
            <w:tcW w:w="75" w:type="dxa"/>
            <w:tcBorders/>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Members (other than chair)</w:t>
            </w:r>
          </w:p>
        </w:tc>
        <w:tc>
          <w:tcPr>
            <w:tcW w:w="12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w:t>
            </w:r>
          </w:p>
        </w:tc>
        <w:tc>
          <w:tcPr>
            <w:tcW w:w="1660" w:type="dxa"/>
            <w:tcBorders/>
            <w:shd w:fill="CCEEFF" w:val="clear"/>
            <w:vAlign w:val="center"/>
          </w:tcPr>
          <w:p>
            <w:pPr>
              <w:pStyle w:val="TableContents"/>
              <w:bidi w:val="0"/>
              <w:spacing w:before="0" w:after="283"/>
              <w:jc w:val="right"/>
              <w:rPr/>
            </w:pPr>
            <w:r>
              <w:rPr/>
              <w:t>10,000</w:t>
            </w:r>
          </w:p>
        </w:tc>
        <w:tc>
          <w:tcPr>
            <w:tcW w:w="75" w:type="dxa"/>
            <w:tcBorders/>
            <w:shd w:fill="CCEEFF" w:val="clear"/>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Retainer for chair</w:t>
            </w:r>
          </w:p>
        </w:tc>
        <w:tc>
          <w:tcPr>
            <w:tcW w:w="12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w:t>
            </w:r>
          </w:p>
        </w:tc>
        <w:tc>
          <w:tcPr>
            <w:tcW w:w="1660" w:type="dxa"/>
            <w:tcBorders/>
            <w:vAlign w:val="center"/>
          </w:tcPr>
          <w:p>
            <w:pPr>
              <w:pStyle w:val="TableContents"/>
              <w:bidi w:val="0"/>
              <w:spacing w:before="0" w:after="283"/>
              <w:jc w:val="right"/>
              <w:rPr/>
            </w:pPr>
            <w:r>
              <w:rPr/>
              <w:t>20,000</w:t>
            </w:r>
          </w:p>
        </w:tc>
        <w:tc>
          <w:tcPr>
            <w:tcW w:w="75" w:type="dxa"/>
            <w:tcBorders/>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Compensation Committee:</w:t>
            </w:r>
          </w:p>
        </w:tc>
        <w:tc>
          <w:tcPr>
            <w:tcW w:w="12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sz w:val="4"/>
                <w:szCs w:val="4"/>
              </w:rPr>
            </w:pPr>
            <w:r>
              <w:rPr>
                <w:sz w:val="4"/>
                <w:szCs w:val="4"/>
              </w:rPr>
            </w:r>
          </w:p>
        </w:tc>
        <w:tc>
          <w:tcPr>
            <w:tcW w:w="166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Members (other than chair)</w:t>
            </w:r>
          </w:p>
        </w:tc>
        <w:tc>
          <w:tcPr>
            <w:tcW w:w="12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w:t>
            </w:r>
          </w:p>
        </w:tc>
        <w:tc>
          <w:tcPr>
            <w:tcW w:w="1660" w:type="dxa"/>
            <w:tcBorders/>
            <w:vAlign w:val="center"/>
          </w:tcPr>
          <w:p>
            <w:pPr>
              <w:pStyle w:val="TableContents"/>
              <w:bidi w:val="0"/>
              <w:spacing w:before="0" w:after="283"/>
              <w:jc w:val="right"/>
              <w:rPr/>
            </w:pPr>
            <w:r>
              <w:rPr/>
              <w:t>7,500</w:t>
            </w:r>
          </w:p>
        </w:tc>
        <w:tc>
          <w:tcPr>
            <w:tcW w:w="75" w:type="dxa"/>
            <w:tcBorders/>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Retainer for chair</w:t>
            </w:r>
          </w:p>
        </w:tc>
        <w:tc>
          <w:tcPr>
            <w:tcW w:w="12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w:t>
            </w:r>
          </w:p>
        </w:tc>
        <w:tc>
          <w:tcPr>
            <w:tcW w:w="1660" w:type="dxa"/>
            <w:tcBorders/>
            <w:shd w:fill="CCEEFF" w:val="clear"/>
            <w:vAlign w:val="center"/>
          </w:tcPr>
          <w:p>
            <w:pPr>
              <w:pStyle w:val="TableContents"/>
              <w:bidi w:val="0"/>
              <w:spacing w:before="0" w:after="283"/>
              <w:jc w:val="right"/>
              <w:rPr/>
            </w:pPr>
            <w:r>
              <w:rPr/>
              <w:t>15,000</w:t>
            </w:r>
          </w:p>
        </w:tc>
        <w:tc>
          <w:tcPr>
            <w:tcW w:w="75" w:type="dxa"/>
            <w:tcBorders/>
            <w:shd w:fill="CCEEFF" w:val="clear"/>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Nominating and Corporate Governance Committee:</w:t>
            </w:r>
          </w:p>
        </w:tc>
        <w:tc>
          <w:tcPr>
            <w:tcW w:w="12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Members (other than chair)</w:t>
            </w:r>
          </w:p>
        </w:tc>
        <w:tc>
          <w:tcPr>
            <w:tcW w:w="12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w:t>
            </w:r>
          </w:p>
        </w:tc>
        <w:tc>
          <w:tcPr>
            <w:tcW w:w="1660" w:type="dxa"/>
            <w:tcBorders/>
            <w:shd w:fill="CCEEFF" w:val="clear"/>
            <w:vAlign w:val="center"/>
          </w:tcPr>
          <w:p>
            <w:pPr>
              <w:pStyle w:val="TableContents"/>
              <w:bidi w:val="0"/>
              <w:spacing w:before="0" w:after="283"/>
              <w:jc w:val="right"/>
              <w:rPr/>
            </w:pPr>
            <w:r>
              <w:rPr/>
              <w:t>5,000</w:t>
            </w:r>
          </w:p>
        </w:tc>
        <w:tc>
          <w:tcPr>
            <w:tcW w:w="75" w:type="dxa"/>
            <w:tcBorders/>
            <w:shd w:fill="CCEEFF" w:val="clear"/>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Retainer for chair</w:t>
            </w:r>
          </w:p>
        </w:tc>
        <w:tc>
          <w:tcPr>
            <w:tcW w:w="12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w:t>
            </w:r>
          </w:p>
        </w:tc>
        <w:tc>
          <w:tcPr>
            <w:tcW w:w="1660" w:type="dxa"/>
            <w:tcBorders/>
            <w:vAlign w:val="center"/>
          </w:tcPr>
          <w:p>
            <w:pPr>
              <w:pStyle w:val="TableContents"/>
              <w:bidi w:val="0"/>
              <w:spacing w:before="0" w:after="283"/>
              <w:jc w:val="right"/>
              <w:rPr/>
            </w:pPr>
            <w:r>
              <w:rPr/>
              <w:t>10,000</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non-employee director compensation policy provides that, upon initial election to our Board, each non-employee director will be granted an initial stock option award to purchase a number of shares of our common stock equal to 0.122% of the total number of outstanding shares of our common stock on the date of grant, or the Initial Grant. The Initial Grant will vest in equal monthly installments over three years following the date of grant, subject to continued service through the applicable vesting date. Furthermore, upon the closing of the Mergers and on the date of each annual meeting of stockholders following the completion of the Mergers, each non-employee director who is serving as a non-employee director as of the closing of the Mergers or who continues as a non-employee director following such meeting, as applicable, was or will be (as applicable) granted an annual stock option award to purchase a number of shares of our common stock equal to 0.061% of the total number of outstanding shares of our common stock on the date of grant, or the Annual Grant. The Annual Grant will vest in full on the earlier of the first anniversary of the date of grant and our next annual meeting of stockholders, subject to continued service through the applicable vesting date. All outstanding awards granted to non-employee directors will become fully vested and exercisable upon a Sale Event (as defined in the 2026 Plan). </w:t>
      </w:r>
    </w:p>
    <w:p>
      <w:pPr>
        <w:pStyle w:val="TextBody"/>
        <w:bidi w:val="0"/>
        <w:spacing w:before="240" w:after="0"/>
        <w:jc w:val="left"/>
        <w:rPr>
          <w:rFonts w:ascii="Times New Roman" w:hAnsi="Times New Roman"/>
          <w:sz w:val="20"/>
        </w:rPr>
      </w:pPr>
      <w:r>
        <w:rPr>
          <w:rFonts w:ascii="Times New Roman" w:hAnsi="Times New Roman"/>
          <w:sz w:val="20"/>
        </w:rPr>
        <w:t xml:space="preserve">The grant date fair value of all awards and all other cash compensation paid by us to any non-employee director during any one calendar year for services as a non-employee director may not exceed $750,000; provided, however, that such amount shall be $1,000,000 for the calendar year in which the applicable non-employee director is initially elected or appointed to our Board. </w:t>
      </w:r>
    </w:p>
    <w:p>
      <w:pPr>
        <w:pStyle w:val="TextBody"/>
        <w:bidi w:val="0"/>
        <w:spacing w:before="240" w:after="0"/>
        <w:jc w:val="left"/>
        <w:rPr>
          <w:rFonts w:ascii="Times New Roman" w:hAnsi="Times New Roman"/>
          <w:sz w:val="20"/>
        </w:rPr>
      </w:pPr>
      <w:r>
        <w:rPr>
          <w:rFonts w:ascii="Times New Roman" w:hAnsi="Times New Roman"/>
          <w:sz w:val="20"/>
        </w:rPr>
        <w:t xml:space="preserve">We reimburse all reasonable out-of-pocket expenses incurred by non-employee directors in attending meetings of the Board and committees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127696_16"/>
      <w:bookmarkEnd w:id="17"/>
      <w:r>
        <w:rPr>
          <w:rFonts w:ascii="Times New Roman" w:hAnsi="Times New Roman"/>
          <w:b/>
          <w:sz w:val="20"/>
        </w:rPr>
        <w:t xml:space="preserve">CERTAIN RELATIONSHIPS AND RELATED PARTY TRANSACTIONS </w:t>
      </w:r>
    </w:p>
    <w:p>
      <w:pPr>
        <w:pStyle w:val="TextBody"/>
        <w:bidi w:val="0"/>
        <w:spacing w:before="240" w:after="0"/>
        <w:jc w:val="left"/>
        <w:rPr>
          <w:rFonts w:ascii="Times New Roman" w:hAnsi="Times New Roman"/>
          <w:sz w:val="20"/>
        </w:rPr>
      </w:pPr>
      <w:r>
        <w:rPr>
          <w:rFonts w:ascii="Times New Roman" w:hAnsi="Times New Roman"/>
          <w:sz w:val="20"/>
        </w:rPr>
        <w:t xml:space="preserve">Obsidian Therapeutics, Inc. (formerly Gazelle Parent, Inc.) was incorporated on April 14, 2026 and therefore was not a party to any related person transactions during the periods presented below (except for the PIPE Financing described below). Accordingly, the historical related person transaction disclosure below relates to transactions involving Legacy Obsidian. The following is a description of transactions or series of transactions since January 1, 2023, to which Legacy Obsidian (referred to herein as “we,” “our” or “Legacy Obsidian”) was a party, in which: </w:t>
      </w:r>
    </w:p>
    <w:p>
      <w:pPr>
        <w:pStyle w:val="TextBody"/>
        <w:bidi w:val="0"/>
        <w:spacing w:before="0" w:after="0"/>
        <w:jc w:val="left"/>
        <w:rPr/>
      </w:pPr>
      <w:r>
        <w:rPr/>
        <w:t> </w:t>
      </w:r>
    </w:p>
    <w:tbl>
      <w:tblPr>
        <w:tblW w:w="6670" w:type="dxa"/>
        <w:jc w:val="left"/>
        <w:tblInd w:w="0" w:type="dxa"/>
        <w:tblLayout w:type="fixed"/>
        <w:tblCellMar>
          <w:top w:w="0" w:type="dxa"/>
          <w:left w:w="0" w:type="dxa"/>
          <w:bottom w:w="0" w:type="dxa"/>
          <w:right w:w="0" w:type="dxa"/>
        </w:tblCellMar>
      </w:tblPr>
      <w:tblGrid>
        <w:gridCol w:w="75"/>
        <w:gridCol w:w="110"/>
        <w:gridCol w:w="60"/>
        <w:gridCol w:w="64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 involved in the transaction exceeds, or will exceed, $120,000;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 which any of our executive officers, directors or holder of five percent or more of any class of our capital stock, including their immediate family members or affiliated entities, had or will have a direct or indirect material interest.</w:t>
            </w:r>
          </w:p>
        </w:tc>
      </w:tr>
    </w:tbl>
    <w:p>
      <w:pPr>
        <w:pStyle w:val="TextBody"/>
        <w:bidi w:val="0"/>
        <w:spacing w:before="240" w:after="0"/>
        <w:jc w:val="left"/>
        <w:rPr>
          <w:rFonts w:ascii="Times New Roman" w:hAnsi="Times New Roman"/>
          <w:sz w:val="20"/>
        </w:rPr>
      </w:pPr>
      <w:r>
        <w:rPr>
          <w:rFonts w:ascii="Times New Roman" w:hAnsi="Times New Roman"/>
          <w:sz w:val="20"/>
        </w:rPr>
        <w:t>Compensation arrangements for our named executive officers and our directors are described elsewhere in this prospectus under the sections titled “</w:t>
      </w:r>
      <w:r>
        <w:rPr>
          <w:rFonts w:ascii="Times New Roman" w:hAnsi="Times New Roman"/>
          <w:i/>
          <w:sz w:val="20"/>
        </w:rPr>
        <w:t>Executive Compensation</w:t>
      </w:r>
      <w:r>
        <w:rPr>
          <w:rFonts w:ascii="Times New Roman" w:hAnsi="Times New Roman"/>
          <w:sz w:val="20"/>
        </w:rPr>
        <w:t>” and “</w:t>
      </w:r>
      <w:r>
        <w:rPr>
          <w:rFonts w:ascii="Times New Roman" w:hAnsi="Times New Roman"/>
          <w:i/>
          <w:sz w:val="20"/>
        </w:rPr>
        <w:t>Director Compensation</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PIPE Financing</w:t>
      </w:r>
    </w:p>
    <w:p>
      <w:pPr>
        <w:pStyle w:val="TextBody"/>
        <w:bidi w:val="0"/>
        <w:spacing w:before="120" w:after="0"/>
        <w:jc w:val="left"/>
        <w:rPr>
          <w:rFonts w:ascii="Times New Roman" w:hAnsi="Times New Roman"/>
          <w:sz w:val="20"/>
        </w:rPr>
      </w:pPr>
      <w:r>
        <w:rPr>
          <w:rFonts w:ascii="Times New Roman" w:hAnsi="Times New Roman"/>
          <w:sz w:val="20"/>
        </w:rPr>
        <w:t xml:space="preserve">On April 14, 2026, Parent, Legacy Obsidian and Legacy Galera entered into a securities purchase agreement, or the Securities Purchase Agreement, with certain qualified institutional buyers and/or accredited investors, or the Investors. Pursuant to the Securities Purchase Agreement, and subject to the terms and conditions therein, the Investors agreed to purchase, and Legacy Galera agreed to issue and sell, immediately prior to the effective time of the Obsidian Merger, shares of Legacy Galera’s Series C Non-Voting Convertible Preferred Stock, par value $0.001 per share, or the Series C Preferred Stock, for an aggregate purchase price of $350.0 million, or the PIPE Financing. The PIPE Financing closed on July 31, 2026. On August 3, 2026, each outstanding share of Legacy Galera common stock (including those resulting from the conversion of the preferred stock and pre-funded warrants, but excluding dissenting shares and certain excluded shares as described in the prospectus filed by the Parent on July 2, 2026) was converted into the right to receive a number of shares of Parent Common Stock calculated as described in the prospectus filed by the Parent on July 2, 2026. The following table summarizes purchases of the Legacy Galera preferred stock, as converted to Legacy Galera common stock and ultimately exchanged for Parent Common Stock by related persons: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15"/>
        <w:gridCol w:w="120"/>
        <w:gridCol w:w="1499"/>
        <w:gridCol w:w="120"/>
        <w:gridCol w:w="135"/>
        <w:gridCol w:w="2210"/>
        <w:gridCol w:w="60"/>
        <w:gridCol w:w="120"/>
        <w:gridCol w:w="277"/>
        <w:gridCol w:w="2773"/>
        <w:gridCol w:w="76"/>
      </w:tblGrid>
      <w:tr>
        <w:trPr/>
        <w:tc>
          <w:tcPr>
            <w:tcW w:w="2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281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Participant</w:t>
            </w:r>
          </w:p>
        </w:tc>
        <w:tc>
          <w:tcPr>
            <w:tcW w:w="120" w:type="dxa"/>
            <w:tcBorders/>
            <w:vAlign w:val="center"/>
          </w:tcPr>
          <w:p>
            <w:pPr>
              <w:pStyle w:val="TableContents"/>
              <w:bidi w:val="0"/>
              <w:spacing w:before="0" w:after="283"/>
              <w:jc w:val="left"/>
              <w:rPr/>
            </w:pPr>
            <w:r>
              <w:rPr/>
              <w:t>  </w:t>
            </w:r>
          </w:p>
        </w:tc>
        <w:tc>
          <w:tcPr>
            <w:tcW w:w="1499"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Affiliated Director(s)</w:t>
              <w:br/>
              <w:t>or Officer(s)</w:t>
            </w:r>
          </w:p>
        </w:tc>
        <w:tc>
          <w:tcPr>
            <w:tcW w:w="120" w:type="dxa"/>
            <w:tcBorders/>
            <w:vAlign w:val="center"/>
          </w:tcPr>
          <w:p>
            <w:pPr>
              <w:pStyle w:val="TableContents"/>
              <w:bidi w:val="0"/>
              <w:spacing w:before="0" w:after="283"/>
              <w:jc w:val="left"/>
              <w:rPr/>
            </w:pPr>
            <w:r>
              <w:rPr/>
              <w:t>  </w:t>
            </w:r>
          </w:p>
        </w:tc>
        <w:tc>
          <w:tcPr>
            <w:tcW w:w="23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of</w:t>
              <w:br/>
              <w:t>Parent Common Stock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Original Purchase Price</w:t>
            </w:r>
          </w:p>
        </w:tc>
        <w:tc>
          <w:tcPr>
            <w:tcW w:w="76" w:type="dxa"/>
            <w:tcBorders/>
            <w:vAlign w:val="center"/>
          </w:tcPr>
          <w:p>
            <w:pPr>
              <w:pStyle w:val="TableContents"/>
              <w:bidi w:val="0"/>
              <w:spacing w:before="0" w:after="283"/>
              <w:jc w:val="left"/>
              <w:rPr/>
            </w:pPr>
            <w:r>
              <w:rPr/>
              <w:t> </w:t>
            </w:r>
          </w:p>
        </w:tc>
      </w:tr>
      <w:tr>
        <w:trPr/>
        <w:tc>
          <w:tcPr>
            <w:tcW w:w="28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RA Capital and its Affiliates(1)</w:t>
            </w:r>
          </w:p>
        </w:tc>
        <w:tc>
          <w:tcPr>
            <w:tcW w:w="120" w:type="dxa"/>
            <w:tcBorders/>
            <w:shd w:fill="CCEEFF" w:val="clear"/>
            <w:vAlign w:val="center"/>
          </w:tcPr>
          <w:p>
            <w:pPr>
              <w:pStyle w:val="TableContents"/>
              <w:bidi w:val="0"/>
              <w:spacing w:before="0" w:after="283"/>
              <w:jc w:val="left"/>
              <w:rPr/>
            </w:pPr>
            <w:r>
              <w:rPr/>
              <w:t>  </w:t>
            </w:r>
          </w:p>
        </w:tc>
        <w:tc>
          <w:tcPr>
            <w:tcW w:w="1499" w:type="dxa"/>
            <w:tcBorders/>
            <w:shd w:fill="CCEEFF" w:val="clear"/>
            <w:vAlign w:val="center"/>
          </w:tcPr>
          <w:p>
            <w:pPr>
              <w:pStyle w:val="TableContents"/>
              <w:bidi w:val="0"/>
              <w:spacing w:before="0" w:after="283"/>
              <w:jc w:val="right"/>
              <w:rPr/>
            </w:pPr>
            <w:r>
              <w:rPr/>
              <w:t>— </w:t>
            </w:r>
          </w:p>
        </w:tc>
        <w:tc>
          <w:tcPr>
            <w:tcW w:w="12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2210" w:type="dxa"/>
            <w:tcBorders/>
            <w:shd w:fill="CCEEFF" w:val="clear"/>
            <w:vAlign w:val="center"/>
          </w:tcPr>
          <w:p>
            <w:pPr>
              <w:pStyle w:val="TableContents"/>
              <w:bidi w:val="0"/>
              <w:spacing w:before="0" w:after="283"/>
              <w:jc w:val="right"/>
              <w:rPr/>
            </w:pPr>
            <w:r>
              <w:rPr/>
              <w:t>3,124,859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w:t>
            </w:r>
          </w:p>
        </w:tc>
        <w:tc>
          <w:tcPr>
            <w:tcW w:w="2773" w:type="dxa"/>
            <w:tcBorders/>
            <w:shd w:fill="CCEEFF" w:val="clear"/>
            <w:vAlign w:val="center"/>
          </w:tcPr>
          <w:p>
            <w:pPr>
              <w:pStyle w:val="TableContents"/>
              <w:bidi w:val="0"/>
              <w:spacing w:before="0" w:after="283"/>
              <w:jc w:val="right"/>
              <w:rPr/>
            </w:pPr>
            <w:r>
              <w:rPr/>
              <w:t>37,499,641.20</w:t>
            </w:r>
          </w:p>
        </w:tc>
        <w:tc>
          <w:tcPr>
            <w:tcW w:w="76" w:type="dxa"/>
            <w:tcBorders/>
            <w:shd w:fill="CCEEFF" w:val="clear"/>
            <w:vAlign w:val="center"/>
          </w:tcPr>
          <w:p>
            <w:pPr>
              <w:pStyle w:val="TableContents"/>
              <w:bidi w:val="0"/>
              <w:spacing w:before="0" w:after="283"/>
              <w:jc w:val="left"/>
              <w:rPr/>
            </w:pPr>
            <w:r>
              <w:rPr/>
              <w:t> </w:t>
            </w:r>
          </w:p>
        </w:tc>
      </w:tr>
      <w:tr>
        <w:trPr/>
        <w:tc>
          <w:tcPr>
            <w:tcW w:w="2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Atlas Venture Fund and its Affiliates(2)</w:t>
            </w:r>
          </w:p>
        </w:tc>
        <w:tc>
          <w:tcPr>
            <w:tcW w:w="120" w:type="dxa"/>
            <w:tcBorders/>
            <w:vAlign w:val="center"/>
          </w:tcPr>
          <w:p>
            <w:pPr>
              <w:pStyle w:val="TableContents"/>
              <w:bidi w:val="0"/>
              <w:spacing w:before="0" w:after="283"/>
              <w:jc w:val="left"/>
              <w:rPr/>
            </w:pPr>
            <w:r>
              <w:rPr/>
              <w:t>  </w:t>
            </w:r>
          </w:p>
        </w:tc>
        <w:tc>
          <w:tcPr>
            <w:tcW w:w="1499" w:type="dxa"/>
            <w:tcBorders/>
            <w:vAlign w:val="center"/>
          </w:tcPr>
          <w:p>
            <w:pPr>
              <w:pStyle w:val="TableContents"/>
              <w:bidi w:val="0"/>
              <w:spacing w:before="0" w:after="20"/>
              <w:jc w:val="right"/>
              <w:rPr/>
            </w:pPr>
            <w:r>
              <w:rPr/>
              <w:t>— </w:t>
            </w:r>
          </w:p>
        </w:tc>
        <w:tc>
          <w:tcPr>
            <w:tcW w:w="12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right"/>
              <w:rPr/>
            </w:pPr>
            <w:r>
              <w:rPr/>
              <w:t>208,324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w:t>
            </w:r>
          </w:p>
        </w:tc>
        <w:tc>
          <w:tcPr>
            <w:tcW w:w="2773" w:type="dxa"/>
            <w:tcBorders/>
            <w:vAlign w:val="center"/>
          </w:tcPr>
          <w:p>
            <w:pPr>
              <w:pStyle w:val="TableContents"/>
              <w:bidi w:val="0"/>
              <w:spacing w:before="0" w:after="283"/>
              <w:jc w:val="right"/>
              <w:rPr/>
            </w:pPr>
            <w:r>
              <w:rPr/>
              <w:t>2,500,000.00</w:t>
            </w:r>
          </w:p>
        </w:tc>
        <w:tc>
          <w:tcPr>
            <w:tcW w:w="76" w:type="dxa"/>
            <w:tcBorders/>
            <w:vAlign w:val="center"/>
          </w:tcPr>
          <w:p>
            <w:pPr>
              <w:pStyle w:val="TableContents"/>
              <w:bidi w:val="0"/>
              <w:spacing w:before="0" w:after="283"/>
              <w:jc w:val="left"/>
              <w:rPr/>
            </w:pPr>
            <w:r>
              <w:rPr/>
              <w:t> </w:t>
            </w:r>
          </w:p>
        </w:tc>
      </w:tr>
      <w:tr>
        <w:trPr/>
        <w:tc>
          <w:tcPr>
            <w:tcW w:w="28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Deep Track Biotechnology Master Fund, Ltd.(3)</w:t>
            </w:r>
          </w:p>
        </w:tc>
        <w:tc>
          <w:tcPr>
            <w:tcW w:w="120" w:type="dxa"/>
            <w:tcBorders/>
            <w:shd w:fill="CCEEFF" w:val="clear"/>
            <w:vAlign w:val="center"/>
          </w:tcPr>
          <w:p>
            <w:pPr>
              <w:pStyle w:val="TableContents"/>
              <w:bidi w:val="0"/>
              <w:spacing w:before="0" w:after="283"/>
              <w:jc w:val="left"/>
              <w:rPr/>
            </w:pPr>
            <w:r>
              <w:rPr/>
              <w:t>  </w:t>
            </w:r>
          </w:p>
        </w:tc>
        <w:tc>
          <w:tcPr>
            <w:tcW w:w="1499" w:type="dxa"/>
            <w:tcBorders/>
            <w:shd w:fill="CCEEFF" w:val="clear"/>
            <w:vAlign w:val="center"/>
          </w:tcPr>
          <w:p>
            <w:pPr>
              <w:pStyle w:val="TableContents"/>
              <w:bidi w:val="0"/>
              <w:spacing w:before="0" w:after="283"/>
              <w:jc w:val="right"/>
              <w:rPr/>
            </w:pPr>
            <w:r>
              <w:rPr/>
              <w:t>— </w:t>
            </w:r>
          </w:p>
        </w:tc>
        <w:tc>
          <w:tcPr>
            <w:tcW w:w="12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2210" w:type="dxa"/>
            <w:tcBorders/>
            <w:shd w:fill="CCEEFF" w:val="clear"/>
            <w:vAlign w:val="center"/>
          </w:tcPr>
          <w:p>
            <w:pPr>
              <w:pStyle w:val="TableContents"/>
              <w:bidi w:val="0"/>
              <w:spacing w:before="0" w:after="283"/>
              <w:jc w:val="right"/>
              <w:rPr/>
            </w:pPr>
            <w:r>
              <w:rPr/>
              <w:t>833,296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w:t>
            </w:r>
          </w:p>
        </w:tc>
        <w:tc>
          <w:tcPr>
            <w:tcW w:w="2773" w:type="dxa"/>
            <w:tcBorders/>
            <w:shd w:fill="CCEEFF" w:val="clear"/>
            <w:vAlign w:val="center"/>
          </w:tcPr>
          <w:p>
            <w:pPr>
              <w:pStyle w:val="TableContents"/>
              <w:bidi w:val="0"/>
              <w:spacing w:before="0" w:after="283"/>
              <w:jc w:val="right"/>
              <w:rPr/>
            </w:pPr>
            <w:r>
              <w:rPr/>
              <w:t>10,000,000.00</w:t>
            </w:r>
          </w:p>
        </w:tc>
        <w:tc>
          <w:tcPr>
            <w:tcW w:w="76" w:type="dxa"/>
            <w:tcBorders/>
            <w:shd w:fill="CCEEFF" w:val="clear"/>
            <w:vAlign w:val="center"/>
          </w:tcPr>
          <w:p>
            <w:pPr>
              <w:pStyle w:val="TableContents"/>
              <w:bidi w:val="0"/>
              <w:spacing w:before="0" w:after="283"/>
              <w:jc w:val="left"/>
              <w:rPr/>
            </w:pPr>
            <w:r>
              <w:rPr/>
              <w:t> </w:t>
            </w:r>
          </w:p>
        </w:tc>
      </w:tr>
      <w:tr>
        <w:trPr/>
        <w:tc>
          <w:tcPr>
            <w:tcW w:w="2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Novo Holdings A/S(4)</w:t>
            </w:r>
          </w:p>
        </w:tc>
        <w:tc>
          <w:tcPr>
            <w:tcW w:w="120" w:type="dxa"/>
            <w:tcBorders/>
            <w:vAlign w:val="center"/>
          </w:tcPr>
          <w:p>
            <w:pPr>
              <w:pStyle w:val="TableContents"/>
              <w:bidi w:val="0"/>
              <w:spacing w:before="0" w:after="283"/>
              <w:jc w:val="left"/>
              <w:rPr/>
            </w:pPr>
            <w:r>
              <w:rPr/>
              <w:t>  </w:t>
            </w:r>
          </w:p>
        </w:tc>
        <w:tc>
          <w:tcPr>
            <w:tcW w:w="1499" w:type="dxa"/>
            <w:tcBorders/>
            <w:vAlign w:val="center"/>
          </w:tcPr>
          <w:p>
            <w:pPr>
              <w:pStyle w:val="TableContents"/>
              <w:bidi w:val="0"/>
              <w:spacing w:before="0" w:after="283"/>
              <w:jc w:val="right"/>
              <w:rPr/>
            </w:pPr>
            <w:r>
              <w:rPr/>
              <w:t>— </w:t>
            </w:r>
          </w:p>
        </w:tc>
        <w:tc>
          <w:tcPr>
            <w:tcW w:w="12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right"/>
              <w:rPr/>
            </w:pPr>
            <w:r>
              <w:rPr/>
              <w:t>1,666,592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w:t>
            </w:r>
          </w:p>
        </w:tc>
        <w:tc>
          <w:tcPr>
            <w:tcW w:w="2773" w:type="dxa"/>
            <w:tcBorders/>
            <w:vAlign w:val="center"/>
          </w:tcPr>
          <w:p>
            <w:pPr>
              <w:pStyle w:val="TableContents"/>
              <w:bidi w:val="0"/>
              <w:spacing w:before="0" w:after="283"/>
              <w:jc w:val="right"/>
              <w:rPr/>
            </w:pPr>
            <w:r>
              <w:rPr/>
              <w:t>20,000,000.00</w:t>
            </w:r>
          </w:p>
        </w:tc>
        <w:tc>
          <w:tcPr>
            <w:tcW w:w="7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(1)</w:t>
            </w:r>
          </w:p>
        </w:tc>
        <w:tc>
          <w:tcPr>
            <w:tcW w:w="99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Entities affiliated with RA Capital Management, L.P., or RA Capital, collectively hold five percent or more of our capital stock. </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(2)</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Atlas Venture Opportunity Fund III, L.P. is affiliated with Atlas Venture Life Science Advisors, LLC, or Atlas Venture. Entities affiliated with Atlas Venture collectively hold five percent or more of our capital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125" w:type="dxa"/>
        <w:jc w:val="left"/>
        <w:tblInd w:w="0" w:type="dxa"/>
        <w:tblLayout w:type="fixed"/>
        <w:tblCellMar>
          <w:top w:w="0" w:type="dxa"/>
          <w:left w:w="0" w:type="dxa"/>
          <w:bottom w:w="0" w:type="dxa"/>
          <w:right w:w="0" w:type="dxa"/>
        </w:tblCellMar>
      </w:tblPr>
      <w:tblGrid>
        <w:gridCol w:w="305"/>
        <w:gridCol w:w="4820"/>
      </w:tblGrid>
      <w:tr>
        <w:trPr/>
        <w:tc>
          <w:tcPr>
            <w:tcW w:w="305" w:type="dxa"/>
            <w:tcBorders/>
            <w:vAlign w:val="center"/>
          </w:tcPr>
          <w:p>
            <w:pPr>
              <w:pStyle w:val="TableContents"/>
              <w:bidi w:val="0"/>
              <w:spacing w:before="0" w:after="283"/>
              <w:jc w:val="left"/>
              <w:rPr/>
            </w:pPr>
            <w:r>
              <w:rPr/>
              <w:t>(3)</w:t>
            </w:r>
          </w:p>
        </w:tc>
        <w:tc>
          <w:tcPr>
            <w:tcW w:w="48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entity holds five percent or more of our capital stock. </w:t>
            </w:r>
          </w:p>
        </w:tc>
      </w:tr>
    </w:tbl>
    <w:tbl>
      <w:tblPr>
        <w:tblW w:w="5125" w:type="dxa"/>
        <w:jc w:val="left"/>
        <w:tblInd w:w="0" w:type="dxa"/>
        <w:tblLayout w:type="fixed"/>
        <w:tblCellMar>
          <w:top w:w="0" w:type="dxa"/>
          <w:left w:w="0" w:type="dxa"/>
          <w:bottom w:w="0" w:type="dxa"/>
          <w:right w:w="0" w:type="dxa"/>
        </w:tblCellMar>
      </w:tblPr>
      <w:tblGrid>
        <w:gridCol w:w="305"/>
        <w:gridCol w:w="4820"/>
      </w:tblGrid>
      <w:tr>
        <w:trPr/>
        <w:tc>
          <w:tcPr>
            <w:tcW w:w="305" w:type="dxa"/>
            <w:tcBorders/>
            <w:vAlign w:val="center"/>
          </w:tcPr>
          <w:p>
            <w:pPr>
              <w:pStyle w:val="TableContents"/>
              <w:bidi w:val="0"/>
              <w:spacing w:before="0" w:after="283"/>
              <w:jc w:val="left"/>
              <w:rPr/>
            </w:pPr>
            <w:r>
              <w:rPr/>
              <w:t>(4)</w:t>
            </w:r>
          </w:p>
        </w:tc>
        <w:tc>
          <w:tcPr>
            <w:tcW w:w="48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entity holds five percent or more of our capital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Securities Purchase Agreement, Parent and, Legacy Galera also entered into the 2026 PIPE Registration Rights Agreement with the PIPE Financing investors, pursuant to which we agreed to prepare and file this resale registration statement with the SEC within 30 calendar days following the closing of the PIPE Financing. </w:t>
      </w:r>
    </w:p>
    <w:p>
      <w:pPr>
        <w:pStyle w:val="TextBody"/>
        <w:bidi w:val="0"/>
        <w:spacing w:before="360" w:after="0"/>
        <w:jc w:val="left"/>
        <w:rPr>
          <w:rFonts w:ascii="Times New Roman" w:hAnsi="Times New Roman"/>
          <w:b/>
          <w:sz w:val="20"/>
        </w:rPr>
      </w:pPr>
      <w:r>
        <w:rPr>
          <w:rFonts w:ascii="Times New Roman" w:hAnsi="Times New Roman"/>
          <w:b/>
          <w:sz w:val="20"/>
        </w:rPr>
        <w:t xml:space="preserve">Private Placement of Securities </w:t>
      </w:r>
    </w:p>
    <w:p>
      <w:pPr>
        <w:pStyle w:val="TextBody"/>
        <w:bidi w:val="0"/>
        <w:spacing w:before="120" w:after="0"/>
        <w:jc w:val="left"/>
        <w:rPr>
          <w:rFonts w:ascii="Times New Roman" w:hAnsi="Times New Roman"/>
          <w:sz w:val="20"/>
        </w:rPr>
      </w:pPr>
      <w:r>
        <w:rPr>
          <w:rFonts w:ascii="Times New Roman" w:hAnsi="Times New Roman"/>
          <w:sz w:val="20"/>
        </w:rPr>
        <w:t xml:space="preserve">In April 2024, Deep Track Biotechnology Master Fund, Ltd. a holder of five percent or more of Legacy Obsidian’s capital stock, purchased shares of Legacy Obsidian common stock, par value $0.0001 per share from Legacy Obsidian’s former chief legal officer, Lee Giguere, Legacy Obsidian’s former chief financial officer, Ryan Daws, and certain of Legacy Obsidian’s other former employees, in the amounts of 721,130 shares of Legacy Obsidian common stock, 1,349,735 shares of Legacy Obsidian common stock, 1,359,135 shares of Legacy Obsidian common stock, respectively, in a secondary offering at a purchase price of $1.75 per share for aggregate gross proceeds of approximately $6.0 million. </w:t>
      </w:r>
    </w:p>
    <w:p>
      <w:pPr>
        <w:pStyle w:val="TextBody"/>
        <w:bidi w:val="0"/>
        <w:spacing w:before="240" w:after="0"/>
        <w:jc w:val="left"/>
        <w:rPr>
          <w:rFonts w:ascii="Times New Roman" w:hAnsi="Times New Roman"/>
          <w:sz w:val="20"/>
        </w:rPr>
      </w:pPr>
      <w:r>
        <w:rPr>
          <w:rFonts w:ascii="Times New Roman" w:hAnsi="Times New Roman"/>
          <w:sz w:val="20"/>
        </w:rPr>
        <w:t xml:space="preserve">In September 2024, Soleus Private Equity Fund II, L.P., a holder of Legacy Obsidian’s capital stock, purchased shares of Legacy Obsidian common stock from a former director, Jason Gardner, and a former employee, in the amounts of 328,750 shares of Legacy Obsidian common stock and 175,438 shares of Legacy Obsidian common stock, respectively, in a secondary offering at a purchase price of $1.85 per share for an aggregate gross proceeds of approximately $933,000. </w:t>
      </w:r>
    </w:p>
    <w:p>
      <w:pPr>
        <w:pStyle w:val="TextBody"/>
        <w:bidi w:val="0"/>
        <w:spacing w:before="360" w:after="0"/>
        <w:jc w:val="left"/>
        <w:rPr>
          <w:rFonts w:ascii="Times New Roman" w:hAnsi="Times New Roman"/>
          <w:b/>
          <w:sz w:val="20"/>
        </w:rPr>
      </w:pPr>
      <w:r>
        <w:rPr>
          <w:rFonts w:ascii="Times New Roman" w:hAnsi="Times New Roman"/>
          <w:b/>
          <w:sz w:val="20"/>
        </w:rPr>
        <w:t xml:space="preserve">Series C Redeemable Convertible Preferred Stock Financing </w:t>
      </w:r>
    </w:p>
    <w:p>
      <w:pPr>
        <w:pStyle w:val="TextBody"/>
        <w:bidi w:val="0"/>
        <w:spacing w:before="120" w:after="0"/>
        <w:jc w:val="left"/>
        <w:rPr>
          <w:rFonts w:ascii="Times New Roman" w:hAnsi="Times New Roman"/>
          <w:sz w:val="20"/>
        </w:rPr>
      </w:pPr>
      <w:r>
        <w:rPr>
          <w:rFonts w:ascii="Times New Roman" w:hAnsi="Times New Roman"/>
          <w:sz w:val="20"/>
        </w:rPr>
        <w:t xml:space="preserve">In March 2024, Legacy Obsidian sold an aggregate of 84,567,145 shares of its Series C redeemable convertible preferred stock at a purchase price of $1.8979 per share for an aggregate purchase price of approximately $160.5 million. The following table summarizes purchases of Legacy Obsidian’s Series C redeemable convertible preferred stock by related persons: </w:t>
      </w:r>
    </w:p>
    <w:p>
      <w:pPr>
        <w:pStyle w:val="TextBody"/>
        <w:bidi w:val="0"/>
        <w:spacing w:before="0" w:after="0"/>
        <w:jc w:val="left"/>
        <w:rPr/>
      </w:pPr>
      <w:r>
        <w:rPr/>
        <w:t> </w:t>
      </w:r>
    </w:p>
    <w:tbl>
      <w:tblPr>
        <w:tblW w:w="8500" w:type="dxa"/>
        <w:jc w:val="left"/>
        <w:tblInd w:w="0" w:type="dxa"/>
        <w:tblLayout w:type="fixed"/>
        <w:tblCellMar>
          <w:top w:w="0" w:type="dxa"/>
          <w:left w:w="0" w:type="dxa"/>
          <w:bottom w:w="0" w:type="dxa"/>
          <w:right w:w="0" w:type="dxa"/>
        </w:tblCellMar>
      </w:tblPr>
      <w:tblGrid>
        <w:gridCol w:w="3950"/>
        <w:gridCol w:w="120"/>
        <w:gridCol w:w="60"/>
        <w:gridCol w:w="1430"/>
        <w:gridCol w:w="60"/>
        <w:gridCol w:w="120"/>
        <w:gridCol w:w="72"/>
        <w:gridCol w:w="1193"/>
        <w:gridCol w:w="60"/>
        <w:gridCol w:w="120"/>
        <w:gridCol w:w="140"/>
        <w:gridCol w:w="1100"/>
        <w:gridCol w:w="75"/>
      </w:tblGrid>
      <w:tr>
        <w:trPr/>
        <w:tc>
          <w:tcPr>
            <w:tcW w:w="39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5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Participant</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pPr>
            <w:r>
              <w:rPr>
                <w:b/>
              </w:rPr>
              <w:t>Affiliated</w:t>
            </w:r>
            <w:r>
              <w:rPr/>
              <w:br/>
            </w:r>
            <w:r>
              <w:rPr>
                <w:b/>
              </w:rPr>
              <w:t>Director(s)</w:t>
            </w:r>
            <w:r>
              <w:rPr/>
              <w:br/>
            </w:r>
            <w:r>
              <w:rPr>
                <w:b/>
              </w:rPr>
              <w:t>or Officer(s)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of</w:t>
              <w:br/>
              <w:t>Series C</w:t>
              <w:br/>
              <w:t>Redeemable</w:t>
              <w:br/>
              <w:t>Convertible</w:t>
              <w:br/>
              <w:t>Preferred</w:t>
              <w:br/>
              <w:t>Stock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b/>
              </w:rPr>
              <w:t xml:space="preserve">Total </w:t>
            </w:r>
            <w:r>
              <w:rPr/>
              <w:br/>
            </w:r>
            <w:r>
              <w:rPr>
                <w:b/>
              </w:rPr>
              <w:t>Approx.</w:t>
              <w:br/>
              <w:t>Purchase</w:t>
            </w:r>
            <w:r>
              <w:rPr/>
              <w:br/>
            </w:r>
            <w:r>
              <w:rPr>
                <w:b/>
              </w:rPr>
              <w:t>Price</w:t>
            </w:r>
          </w:p>
        </w:tc>
        <w:tc>
          <w:tcPr>
            <w:tcW w:w="75" w:type="dxa"/>
            <w:tcBorders/>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Atlas Venture(1)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4,215,185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8,000,000</w:t>
            </w:r>
          </w:p>
        </w:tc>
        <w:tc>
          <w:tcPr>
            <w:tcW w:w="75" w:type="dxa"/>
            <w:tcBorders/>
            <w:shd w:fill="CCEEFF" w:val="clear"/>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TCG Crossover Fund I, L.P.(2)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Cariad Chester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2,634,490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4,999,999</w:t>
            </w:r>
          </w:p>
        </w:tc>
        <w:tc>
          <w:tcPr>
            <w:tcW w:w="75" w:type="dxa"/>
            <w:tcBorders/>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RA Capital(3)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9,220,717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17,499,999</w:t>
            </w:r>
          </w:p>
        </w:tc>
        <w:tc>
          <w:tcPr>
            <w:tcW w:w="75" w:type="dxa"/>
            <w:tcBorders/>
            <w:shd w:fill="CCEEFF" w:val="clear"/>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Deep Track Biotechnology Master Fund, Ltd.(4)</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9,220,717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17,499,999</w:t>
            </w:r>
          </w:p>
        </w:tc>
        <w:tc>
          <w:tcPr>
            <w:tcW w:w="75" w:type="dxa"/>
            <w:tcBorders/>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Celgene Corporation(5)</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2,107,592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3,999,999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(1)</w:t>
            </w:r>
          </w:p>
        </w:tc>
        <w:tc>
          <w:tcPr>
            <w:tcW w:w="99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Atlas Venture Opportunity Fund II, L.P. is affiliated with Atlas Venture. Entities affiliated with Atlas Venture collectively hold five percent or more of our capital stock. </w:t>
            </w:r>
          </w:p>
        </w:tc>
      </w:tr>
    </w:tbl>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(2)</w:t>
            </w:r>
          </w:p>
        </w:tc>
        <w:tc>
          <w:tcPr>
            <w:tcW w:w="99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entity held five percent or more of Legacy Obsidian’s capital stock. Mr. Chester is a managing partner at TCG Crossover Fund I, L.P., or TCGX, and was member of the Legacy Obsidian Board. </w:t>
            </w:r>
          </w:p>
        </w:tc>
      </w:tr>
    </w:tbl>
    <w:tbl>
      <w:tblPr>
        <w:tblW w:w="7960" w:type="dxa"/>
        <w:jc w:val="left"/>
        <w:tblInd w:w="0" w:type="dxa"/>
        <w:tblLayout w:type="fixed"/>
        <w:tblCellMar>
          <w:top w:w="0" w:type="dxa"/>
          <w:left w:w="0" w:type="dxa"/>
          <w:bottom w:w="0" w:type="dxa"/>
          <w:right w:w="0" w:type="dxa"/>
        </w:tblCellMar>
      </w:tblPr>
      <w:tblGrid>
        <w:gridCol w:w="305"/>
        <w:gridCol w:w="7655"/>
      </w:tblGrid>
      <w:tr>
        <w:trPr/>
        <w:tc>
          <w:tcPr>
            <w:tcW w:w="305" w:type="dxa"/>
            <w:tcBorders/>
            <w:vAlign w:val="center"/>
          </w:tcPr>
          <w:p>
            <w:pPr>
              <w:pStyle w:val="TableContents"/>
              <w:bidi w:val="0"/>
              <w:spacing w:before="0" w:after="283"/>
              <w:jc w:val="left"/>
              <w:rPr/>
            </w:pPr>
            <w:r>
              <w:rPr/>
              <w:t>(3)</w:t>
            </w:r>
          </w:p>
        </w:tc>
        <w:tc>
          <w:tcPr>
            <w:tcW w:w="7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Entities affiliated with RA Capital, collectively hold five percent or more of our capital stock. </w:t>
            </w:r>
          </w:p>
        </w:tc>
      </w:tr>
    </w:tbl>
    <w:tbl>
      <w:tblPr>
        <w:tblW w:w="5125" w:type="dxa"/>
        <w:jc w:val="left"/>
        <w:tblInd w:w="0" w:type="dxa"/>
        <w:tblLayout w:type="fixed"/>
        <w:tblCellMar>
          <w:top w:w="0" w:type="dxa"/>
          <w:left w:w="0" w:type="dxa"/>
          <w:bottom w:w="0" w:type="dxa"/>
          <w:right w:w="0" w:type="dxa"/>
        </w:tblCellMar>
      </w:tblPr>
      <w:tblGrid>
        <w:gridCol w:w="305"/>
        <w:gridCol w:w="4820"/>
      </w:tblGrid>
      <w:tr>
        <w:trPr/>
        <w:tc>
          <w:tcPr>
            <w:tcW w:w="305" w:type="dxa"/>
            <w:tcBorders/>
            <w:vAlign w:val="center"/>
          </w:tcPr>
          <w:p>
            <w:pPr>
              <w:pStyle w:val="TableContents"/>
              <w:bidi w:val="0"/>
              <w:spacing w:before="0" w:after="283"/>
              <w:jc w:val="left"/>
              <w:rPr/>
            </w:pPr>
            <w:r>
              <w:rPr/>
              <w:t>(4)</w:t>
            </w:r>
          </w:p>
        </w:tc>
        <w:tc>
          <w:tcPr>
            <w:tcW w:w="48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entity holds five percent or more of our capital stock. </w:t>
            </w:r>
          </w:p>
        </w:tc>
      </w:tr>
    </w:tbl>
    <w:tbl>
      <w:tblPr>
        <w:tblW w:w="6280" w:type="dxa"/>
        <w:jc w:val="left"/>
        <w:tblInd w:w="0" w:type="dxa"/>
        <w:tblLayout w:type="fixed"/>
        <w:tblCellMar>
          <w:top w:w="0" w:type="dxa"/>
          <w:left w:w="0" w:type="dxa"/>
          <w:bottom w:w="0" w:type="dxa"/>
          <w:right w:w="0" w:type="dxa"/>
        </w:tblCellMar>
      </w:tblPr>
      <w:tblGrid>
        <w:gridCol w:w="305"/>
        <w:gridCol w:w="5975"/>
      </w:tblGrid>
      <w:tr>
        <w:trPr/>
        <w:tc>
          <w:tcPr>
            <w:tcW w:w="305" w:type="dxa"/>
            <w:tcBorders/>
            <w:vAlign w:val="center"/>
          </w:tcPr>
          <w:p>
            <w:pPr>
              <w:pStyle w:val="TableContents"/>
              <w:bidi w:val="0"/>
              <w:spacing w:before="0" w:after="283"/>
              <w:jc w:val="left"/>
              <w:rPr/>
            </w:pPr>
            <w:r>
              <w:rPr/>
              <w:t>(5)</w:t>
            </w:r>
          </w:p>
        </w:tc>
        <w:tc>
          <w:tcPr>
            <w:tcW w:w="5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entity held five percent or more of Legacy Obsidian’s capital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Agreements with Our Stockholders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Celgene Corporation </w:t>
      </w:r>
    </w:p>
    <w:p>
      <w:pPr>
        <w:pStyle w:val="TextBody"/>
        <w:bidi w:val="0"/>
        <w:spacing w:before="120" w:after="0"/>
        <w:jc w:val="left"/>
        <w:rPr>
          <w:rFonts w:ascii="Times New Roman" w:hAnsi="Times New Roman"/>
          <w:sz w:val="20"/>
        </w:rPr>
      </w:pPr>
      <w:r>
        <w:rPr>
          <w:rFonts w:ascii="Times New Roman" w:hAnsi="Times New Roman"/>
          <w:sz w:val="20"/>
        </w:rPr>
        <w:t xml:space="preserve">In January 2019, Legacy Obsidian entered into a Master Collaboration Agreement with Celgene Corporation and Celgene Switzerland LLC, which was amended in September 2020, December 2021, and October 2022, or the Celgene Agreement. In September 2020, Legacy Obsidian entered into a First Program Global License Agreement with Celgene Corporation and Celgene Switzerland LLC, or the Celgene License. Celgene Corporation was a holder of greater than five percent of Legacy Obsidian’s capital stock. In connection with the execution of the Celgene Agreement and certain option exercises and extensions under the Celgene Agreement, Legacy Obsidian received an aggregate of $95.0 million since 2019. The Celgene Agreement and Celgene License were each terminated on October 21, 2025 and November 3, 2025, respectively, at which time the collaboration and all rights under the Celgene Agreement and Celgene License were terminated.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Vertex Pharmaceuticals Incorporated </w:t>
      </w:r>
    </w:p>
    <w:p>
      <w:pPr>
        <w:pStyle w:val="TextBody"/>
        <w:bidi w:val="0"/>
        <w:spacing w:before="120" w:after="0"/>
        <w:jc w:val="left"/>
        <w:rPr>
          <w:rFonts w:ascii="Times New Roman" w:hAnsi="Times New Roman"/>
          <w:sz w:val="20"/>
        </w:rPr>
      </w:pPr>
      <w:r>
        <w:rPr>
          <w:rFonts w:ascii="Times New Roman" w:hAnsi="Times New Roman"/>
          <w:sz w:val="20"/>
        </w:rPr>
        <w:t>Between August 2021 and March 2024, Vertex Pharmaceuticals Incorporated, or Vertex Pharmaceuticals, was a holder of greater than five percent of Legacy Obsidian’s capital stock. In April 2021, Legacy Obsidian entered into a four-year collaboration and license arrangement with Vertex Pharmaceuticals, or the Vertex Agreement. Under the Vertex Agreement, Legacy Obsidian conducted </w:t>
      </w:r>
      <w:r>
        <w:rPr>
          <w:rFonts w:ascii="Times New Roman" w:hAnsi="Times New Roman"/>
          <w:i/>
          <w:sz w:val="20"/>
        </w:rPr>
        <w:t>in vitro</w:t>
      </w:r>
      <w:r>
        <w:rPr>
          <w:rFonts w:ascii="Times New Roman" w:hAnsi="Times New Roman"/>
          <w:sz w:val="20"/>
        </w:rPr>
        <w:t xml:space="preserve"> research to discover drug-responsive domain constructs for regulated gene editing. During the term of the collaboration, Vertex Pharmaceuticals held an option to obtain certain rights to develop, manufacture, and commercialize gene editing products discovered under the Vertex Agreement. Over the term of the agreement, Legacy Obsidian received an aggregate of $27.5 million in an up-front payment and in consideration for achieving a research milestone for one disease. The Vertex Agreement expired on April 16, 2025, at which time the collaboration and all rights under the Vertex Agreement were terminated.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Agreements with Other Stockholders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Legacy Obsidian’s redeemable convertible preferred stock financings, Legacy Obsidian entered into an investors’ rights agreement, voting agreement and right of first refusal and co-sale agreement, in each case, with the purchasers of Legacy Obsidian’s redeemable convertible preferred stock and certain holders of Legacy Obsidian’s common stock. </w:t>
      </w:r>
    </w:p>
    <w:p>
      <w:pPr>
        <w:pStyle w:val="TextBody"/>
        <w:bidi w:val="0"/>
        <w:spacing w:before="240" w:after="0"/>
        <w:jc w:val="left"/>
        <w:rPr>
          <w:rFonts w:ascii="Times New Roman" w:hAnsi="Times New Roman"/>
          <w:sz w:val="20"/>
        </w:rPr>
      </w:pPr>
      <w:r>
        <w:rPr>
          <w:rFonts w:ascii="Times New Roman" w:hAnsi="Times New Roman"/>
          <w:sz w:val="20"/>
        </w:rPr>
        <w:t xml:space="preserve">Legacy Obsidian’s amended and restated investors’ rights agreement, or the Investors’ Rights Agreement, provided certain holders of Legacy Obsidian’s capital stock with the right to demand that Legacy Obsidian file a registration statement, subject to certain limitations, and to request that their shares be covered by a registration statement that Legacy Obsidian is otherwise filing. The rights under the Investor’s Rights Agreement terminated upon the closing of the Mergers. </w:t>
      </w:r>
    </w:p>
    <w:p>
      <w:pPr>
        <w:pStyle w:val="TextBody"/>
        <w:bidi w:val="0"/>
        <w:spacing w:before="240" w:after="0"/>
        <w:jc w:val="left"/>
        <w:rPr>
          <w:rFonts w:ascii="Times New Roman" w:hAnsi="Times New Roman"/>
          <w:sz w:val="20"/>
        </w:rPr>
      </w:pPr>
      <w:r>
        <w:rPr>
          <w:rFonts w:ascii="Times New Roman" w:hAnsi="Times New Roman"/>
          <w:sz w:val="20"/>
        </w:rPr>
        <w:t xml:space="preserve">Legacy Obsidian’s amended and restated voting agreement, the Voting Agreement, provided drag-along rights in respect of sales by certain holders of Legacy Obsidian’s capital stock. The Voting Agreement also contained provisions with respect to the elections of the Legacy Obsidian Board and its composition. The rights under the Voting Agreement terminated upon the closing of the Mergers. </w:t>
      </w:r>
    </w:p>
    <w:p>
      <w:pPr>
        <w:pStyle w:val="TextBody"/>
        <w:bidi w:val="0"/>
        <w:spacing w:before="240" w:after="0"/>
        <w:jc w:val="left"/>
        <w:rPr>
          <w:rFonts w:ascii="Times New Roman" w:hAnsi="Times New Roman"/>
          <w:sz w:val="20"/>
        </w:rPr>
      </w:pPr>
      <w:r>
        <w:rPr>
          <w:rFonts w:ascii="Times New Roman" w:hAnsi="Times New Roman"/>
          <w:sz w:val="20"/>
        </w:rPr>
        <w:t xml:space="preserve">Legacy Obsidian’s amended and restated right of first refusal and co-sale agreement, or the Right of First Refusal and Co-Sale Agreement, provided for rights of first refusal and co-sale rights in respect of sales by certain holders of Legacy Obsidian’s capital stock. The rights under the Right of First Refusal and Co-Sale Agreement terminated upon the closing of the Mergers.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agreements to indemnify our directors and executive officers. These agreements, among other things, require us to indemnify these individuals for certain expenses (including attorneys’ fees), judgments, fines and settlement amounts reasonably incurred by such person in any action or proceeding, including any action by or in our right, on account of any services undertaken by such person on behalf of our Company or that person’s status as a member of our board of directors to the maximum extent allowed under Delaware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Related Person Transaction Policy </w:t>
      </w:r>
    </w:p>
    <w:p>
      <w:pPr>
        <w:pStyle w:val="TextBody"/>
        <w:bidi w:val="0"/>
        <w:spacing w:before="120" w:after="0"/>
        <w:jc w:val="left"/>
        <w:rPr>
          <w:rFonts w:ascii="Times New Roman" w:hAnsi="Times New Roman"/>
          <w:sz w:val="20"/>
        </w:rPr>
      </w:pPr>
      <w:r>
        <w:rPr>
          <w:rFonts w:ascii="Times New Roman" w:hAnsi="Times New Roman"/>
          <w:sz w:val="20"/>
        </w:rPr>
        <w:t xml:space="preserve">Our audit committee reviews and approves transactions with directors, officers and holders of five percent or more of our voting securities and their affiliates, each a related party. The material facts as to the related party’s relationship or interest in the transaction are disclosed to our board of directors prior to their consideration of such transaction, and the transaction is not considered approved by our board of directors unless a majority of the directors who are not interested in the transaction approve the transaction. Further, when stockholders are entitled to vote on a transaction with a related party, the material facts of the related party’s relationship or interest in the transaction are disclosed to the stockholders, who must approve the transaction in good faith. </w:t>
      </w:r>
    </w:p>
    <w:p>
      <w:pPr>
        <w:pStyle w:val="TextBody"/>
        <w:bidi w:val="0"/>
        <w:spacing w:before="240" w:after="0"/>
        <w:jc w:val="left"/>
        <w:rPr>
          <w:rFonts w:ascii="Times New Roman" w:hAnsi="Times New Roman"/>
          <w:sz w:val="20"/>
        </w:rPr>
      </w:pPr>
      <w:r>
        <w:rPr>
          <w:rFonts w:ascii="Times New Roman" w:hAnsi="Times New Roman"/>
          <w:sz w:val="20"/>
        </w:rPr>
        <w:t xml:space="preserve">We have adopted a written related party transactions policy that such transactions must be approved by our audit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x127696_17"/>
      <w:bookmarkEnd w:id="18"/>
      <w:r>
        <w:rPr>
          <w:rFonts w:ascii="Times New Roman" w:hAnsi="Times New Roman"/>
          <w:b/>
          <w:sz w:val="20"/>
        </w:rPr>
        <w:t xml:space="preserve">SECURITY OWNERSHIP OF CERTAIN BENEFICIAL OWNERS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regarding beneficial ownership of our common stock immediately after consummation of the PIPE Financing and the Mergers for: each beneficial owner of more than 5% of our outstanding common stock, each of our named executive officer, each of our director, and all of our directors and executive officers as a group.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and generally includes voting or investment power with respect to securities. Under those rules, beneficial ownership includes any shares as to which the individual or entity has sole or shared voting power or investment power with respect to the securities as well as any shares of common stock that the individual or entity has the right to acquire within 60 days following the closing of the Mergers upon the exercise of stock options or other rights.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The table lists applicable percentage ownership based on 61,772,876 shares of common stock outstanding on August 3, 2026, after giving effect to the PIPE Financing and giving effect to the Legacy Galera Reverse Stock Split. The number of shares beneficially owned includes shares of common stock that each person has the right to acquire within 60 days, including upon the exercise of stock options and the vesting of restricted stock units. Except as otherwise noted in the footnotes below, the address of each holder is c/o Obsidian Therapeutics, 1030 Massachusetts Ave., Cambridge, MA 02138. </w:t>
      </w:r>
    </w:p>
    <w:p>
      <w:pPr>
        <w:pStyle w:val="TextBody"/>
        <w:bidi w:val="0"/>
        <w:spacing w:before="0" w:after="0"/>
        <w:jc w:val="left"/>
        <w:rPr/>
      </w:pPr>
      <w:r>
        <w:rPr/>
        <w:t> </w:t>
      </w:r>
    </w:p>
    <w:tbl>
      <w:tblPr>
        <w:tblW w:w="9555" w:type="dxa"/>
        <w:jc w:val="left"/>
        <w:tblInd w:w="0" w:type="dxa"/>
        <w:tblLayout w:type="fixed"/>
        <w:tblCellMar>
          <w:top w:w="0" w:type="dxa"/>
          <w:left w:w="0" w:type="dxa"/>
          <w:bottom w:w="0" w:type="dxa"/>
          <w:right w:w="0" w:type="dxa"/>
        </w:tblCellMar>
      </w:tblPr>
      <w:tblGrid>
        <w:gridCol w:w="5045"/>
        <w:gridCol w:w="120"/>
        <w:gridCol w:w="114"/>
        <w:gridCol w:w="1871"/>
        <w:gridCol w:w="60"/>
        <w:gridCol w:w="120"/>
        <w:gridCol w:w="258"/>
        <w:gridCol w:w="1892"/>
        <w:gridCol w:w="75"/>
      </w:tblGrid>
      <w:tr>
        <w:trPr/>
        <w:tc>
          <w:tcPr>
            <w:tcW w:w="50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045" w:type="dxa"/>
            <w:tcBorders/>
            <w:vAlign w:val="center"/>
          </w:tcPr>
          <w:p>
            <w:pPr>
              <w:pStyle w:val="TableContents"/>
              <w:bidi w:val="0"/>
              <w:spacing w:before="0" w:after="283"/>
              <w:jc w:val="left"/>
              <w:rPr>
                <w:b/>
              </w:rPr>
            </w:pPr>
            <w:r>
              <w:rPr>
                <w:b/>
              </w:rPr>
              <w:t>Name of Beneficial Owner</w:t>
            </w:r>
          </w:p>
        </w:tc>
        <w:tc>
          <w:tcPr>
            <w:tcW w:w="120" w:type="dxa"/>
            <w:tcBorders/>
            <w:vAlign w:val="center"/>
          </w:tcPr>
          <w:p>
            <w:pPr>
              <w:pStyle w:val="TableContents"/>
              <w:bidi w:val="0"/>
              <w:spacing w:before="0" w:after="283"/>
              <w:jc w:val="left"/>
              <w:rPr/>
            </w:pPr>
            <w:r>
              <w:rPr/>
              <w:t>  </w:t>
            </w:r>
          </w:p>
        </w:tc>
        <w:tc>
          <w:tcPr>
            <w:tcW w:w="1985"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 Shares</w:t>
            </w:r>
            <w:r>
              <w:rPr/>
              <w:br/>
            </w:r>
            <w:r>
              <w:rPr>
                <w:b/>
              </w:rPr>
              <w:t>Beneficially Owned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50" w:type="dxa"/>
            <w:gridSpan w:val="2"/>
            <w:tcBorders>
              <w:bottom w:val="single" w:sz="8" w:space="0" w:color="000000"/>
            </w:tcBorders>
            <w:tcMar>
              <w:bottom w:w="28" w:type="dxa"/>
            </w:tcMar>
            <w:vAlign w:val="center"/>
          </w:tcPr>
          <w:p>
            <w:pPr>
              <w:pStyle w:val="TableContents"/>
              <w:bidi w:val="0"/>
              <w:spacing w:before="0" w:after="283"/>
              <w:jc w:val="center"/>
              <w:rPr/>
            </w:pPr>
            <w:r>
              <w:rPr>
                <w:b/>
              </w:rPr>
              <w:t>Percentage of Shares</w:t>
            </w:r>
            <w:r>
              <w:rPr/>
              <w:br/>
            </w:r>
            <w:r>
              <w:rPr>
                <w:b/>
              </w:rPr>
              <w:t>Beneficially Owned</w:t>
            </w:r>
          </w:p>
        </w:tc>
        <w:tc>
          <w:tcPr>
            <w:tcW w:w="75" w:type="dxa"/>
            <w:tcBorders/>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5% or Greater Stockholders:</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sz w:val="4"/>
                <w:szCs w:val="4"/>
              </w:rPr>
            </w:pPr>
            <w:r>
              <w:rPr>
                <w:sz w:val="4"/>
                <w:szCs w:val="4"/>
              </w:rPr>
            </w:r>
          </w:p>
        </w:tc>
        <w:tc>
          <w:tcPr>
            <w:tcW w:w="187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189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5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RA Capital (1)</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871" w:type="dxa"/>
            <w:tcBorders/>
            <w:vAlign w:val="center"/>
          </w:tcPr>
          <w:p>
            <w:pPr>
              <w:pStyle w:val="TableContents"/>
              <w:bidi w:val="0"/>
              <w:spacing w:before="0" w:after="283"/>
              <w:jc w:val="right"/>
              <w:rPr/>
            </w:pPr>
            <w:r>
              <w:rPr/>
              <w:t>5,957,103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892" w:type="dxa"/>
            <w:tcBorders/>
            <w:vAlign w:val="center"/>
          </w:tcPr>
          <w:p>
            <w:pPr>
              <w:pStyle w:val="TableContents"/>
              <w:bidi w:val="0"/>
              <w:spacing w:before="0" w:after="283"/>
              <w:jc w:val="right"/>
              <w:rPr/>
            </w:pPr>
            <w:r>
              <w:rPr/>
              <w:t>9.64%</w:t>
            </w:r>
          </w:p>
        </w:tc>
        <w:tc>
          <w:tcPr>
            <w:tcW w:w="75" w:type="dxa"/>
            <w:tcBorders/>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Atlas Venture (2)</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871" w:type="dxa"/>
            <w:tcBorders/>
            <w:shd w:fill="CCEEFF" w:val="clear"/>
            <w:vAlign w:val="center"/>
          </w:tcPr>
          <w:p>
            <w:pPr>
              <w:pStyle w:val="TableContents"/>
              <w:bidi w:val="0"/>
              <w:spacing w:before="0" w:after="283"/>
              <w:jc w:val="right"/>
              <w:rPr/>
            </w:pPr>
            <w:r>
              <w:rPr/>
              <w:t>4,503,149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892" w:type="dxa"/>
            <w:tcBorders/>
            <w:shd w:fill="CCEEFF" w:val="clear"/>
            <w:vAlign w:val="center"/>
          </w:tcPr>
          <w:p>
            <w:pPr>
              <w:pStyle w:val="TableContents"/>
              <w:bidi w:val="0"/>
              <w:spacing w:before="0" w:after="283"/>
              <w:jc w:val="right"/>
              <w:rPr/>
            </w:pPr>
            <w:r>
              <w:rPr/>
              <w:t>7.29%</w:t>
            </w:r>
          </w:p>
        </w:tc>
        <w:tc>
          <w:tcPr>
            <w:tcW w:w="75" w:type="dxa"/>
            <w:tcBorders/>
            <w:shd w:fill="CCEEFF" w:val="clear"/>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Deep Track Biotechnology Master Fund, Ltd. (3)</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871" w:type="dxa"/>
            <w:tcBorders/>
            <w:vAlign w:val="center"/>
          </w:tcPr>
          <w:p>
            <w:pPr>
              <w:pStyle w:val="TableContents"/>
              <w:bidi w:val="0"/>
              <w:spacing w:before="0" w:after="283"/>
              <w:jc w:val="right"/>
              <w:rPr/>
            </w:pPr>
            <w:r>
              <w:rPr/>
              <w:t>3,315,605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892" w:type="dxa"/>
            <w:tcBorders/>
            <w:vAlign w:val="center"/>
          </w:tcPr>
          <w:p>
            <w:pPr>
              <w:pStyle w:val="TableContents"/>
              <w:bidi w:val="0"/>
              <w:spacing w:before="0" w:after="283"/>
              <w:jc w:val="right"/>
              <w:rPr/>
            </w:pPr>
            <w:r>
              <w:rPr/>
              <w:t>5.37%</w:t>
            </w:r>
          </w:p>
        </w:tc>
        <w:tc>
          <w:tcPr>
            <w:tcW w:w="75" w:type="dxa"/>
            <w:tcBorders/>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Novo Holdings A/S (4)</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871" w:type="dxa"/>
            <w:tcBorders/>
            <w:shd w:fill="CCEEFF" w:val="clear"/>
            <w:vAlign w:val="center"/>
          </w:tcPr>
          <w:p>
            <w:pPr>
              <w:pStyle w:val="TableContents"/>
              <w:bidi w:val="0"/>
              <w:spacing w:before="0" w:after="283"/>
              <w:jc w:val="right"/>
              <w:rPr/>
            </w:pPr>
            <w:r>
              <w:rPr/>
              <w:t>3,123,992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892" w:type="dxa"/>
            <w:tcBorders/>
            <w:shd w:fill="CCEEFF" w:val="clear"/>
            <w:vAlign w:val="center"/>
          </w:tcPr>
          <w:p>
            <w:pPr>
              <w:pStyle w:val="TableContents"/>
              <w:bidi w:val="0"/>
              <w:spacing w:before="0" w:after="283"/>
              <w:jc w:val="right"/>
              <w:rPr/>
            </w:pPr>
            <w:r>
              <w:rPr/>
              <w:t>5.06%</w:t>
            </w:r>
          </w:p>
        </w:tc>
        <w:tc>
          <w:tcPr>
            <w:tcW w:w="75" w:type="dxa"/>
            <w:tcBorders/>
            <w:shd w:fill="CCEEFF" w:val="clear"/>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283"/>
              <w:jc w:val="left"/>
              <w:rPr>
                <w:sz w:val="4"/>
                <w:szCs w:val="4"/>
              </w:rPr>
            </w:pPr>
            <w:r>
              <w:rPr>
                <w:sz w:val="4"/>
                <w:szCs w:val="4"/>
              </w:rPr>
            </w:r>
          </w:p>
        </w:tc>
        <w:tc>
          <w:tcPr>
            <w:tcW w:w="2165" w:type="dxa"/>
            <w:gridSpan w:val="4"/>
            <w:tcBorders/>
            <w:vAlign w:val="center"/>
          </w:tcPr>
          <w:p>
            <w:pPr>
              <w:pStyle w:val="TableContents"/>
              <w:bidi w:val="0"/>
              <w:spacing w:before="0" w:after="283"/>
              <w:jc w:val="left"/>
              <w:rPr>
                <w:sz w:val="4"/>
                <w:szCs w:val="4"/>
              </w:rPr>
            </w:pPr>
            <w:r>
              <w:rPr>
                <w:sz w:val="4"/>
                <w:szCs w:val="4"/>
              </w:rPr>
            </w:r>
          </w:p>
        </w:tc>
        <w:tc>
          <w:tcPr>
            <w:tcW w:w="2345" w:type="dxa"/>
            <w:gridSpan w:val="4"/>
            <w:tcBorders/>
            <w:vAlign w:val="center"/>
          </w:tcPr>
          <w:p>
            <w:pPr>
              <w:pStyle w:val="TableContents"/>
              <w:bidi w:val="0"/>
              <w:spacing w:before="0" w:after="283"/>
              <w:jc w:val="left"/>
              <w:rPr>
                <w:sz w:val="4"/>
                <w:szCs w:val="4"/>
              </w:rPr>
            </w:pPr>
            <w:r>
              <w:rPr>
                <w:sz w:val="4"/>
                <w:szCs w:val="4"/>
              </w:rPr>
            </w:r>
          </w:p>
        </w:tc>
      </w:tr>
      <w:tr>
        <w:trPr/>
        <w:tc>
          <w:tcPr>
            <w:tcW w:w="50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Directors and Named Executive Officers:</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Madan Jagasia, M.D., M.S. (5)</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871" w:type="dxa"/>
            <w:tcBorders/>
            <w:shd w:fill="CCEEFF" w:val="clear"/>
            <w:vAlign w:val="center"/>
          </w:tcPr>
          <w:p>
            <w:pPr>
              <w:pStyle w:val="TableContents"/>
              <w:bidi w:val="0"/>
              <w:spacing w:before="0" w:after="283"/>
              <w:jc w:val="right"/>
              <w:rPr/>
            </w:pPr>
            <w:r>
              <w:rPr/>
              <w:t>1,287,220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892" w:type="dxa"/>
            <w:tcBorders/>
            <w:shd w:fill="CCEEFF" w:val="clear"/>
            <w:vAlign w:val="center"/>
          </w:tcPr>
          <w:p>
            <w:pPr>
              <w:pStyle w:val="TableContents"/>
              <w:bidi w:val="0"/>
              <w:spacing w:before="0" w:after="283"/>
              <w:jc w:val="right"/>
              <w:rPr/>
            </w:pPr>
            <w:r>
              <w:rPr/>
              <w:t>2.04%</w:t>
            </w:r>
          </w:p>
        </w:tc>
        <w:tc>
          <w:tcPr>
            <w:tcW w:w="75" w:type="dxa"/>
            <w:tcBorders/>
            <w:shd w:fill="CCEEFF" w:val="clear"/>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Parameswaran Hari, M.D., M.S. (6)</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871" w:type="dxa"/>
            <w:tcBorders/>
            <w:vAlign w:val="center"/>
          </w:tcPr>
          <w:p>
            <w:pPr>
              <w:pStyle w:val="TableContents"/>
              <w:bidi w:val="0"/>
              <w:spacing w:before="0" w:after="283"/>
              <w:jc w:val="right"/>
              <w:rPr/>
            </w:pPr>
            <w:r>
              <w:rPr/>
              <w:t>328,033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892"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Dana Alexander, M.B.A. (7)</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871" w:type="dxa"/>
            <w:tcBorders/>
            <w:shd w:fill="CCEEFF" w:val="clear"/>
            <w:vAlign w:val="center"/>
          </w:tcPr>
          <w:p>
            <w:pPr>
              <w:pStyle w:val="TableContents"/>
              <w:bidi w:val="0"/>
              <w:spacing w:before="0" w:after="283"/>
              <w:jc w:val="right"/>
              <w:rPr/>
            </w:pPr>
            <w:r>
              <w:rPr/>
              <w:t>208,086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89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Maria Fardis, Ph.D., M.B.A. (8)</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871" w:type="dxa"/>
            <w:tcBorders/>
            <w:vAlign w:val="center"/>
          </w:tcPr>
          <w:p>
            <w:pPr>
              <w:pStyle w:val="TableContents"/>
              <w:bidi w:val="0"/>
              <w:spacing w:before="0" w:after="283"/>
              <w:jc w:val="right"/>
              <w:rPr/>
            </w:pPr>
            <w:r>
              <w:rPr/>
              <w:t>138,970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892"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Heidi Hagen, M.B.A. (9)</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871" w:type="dxa"/>
            <w:tcBorders/>
            <w:shd w:fill="CCEEFF" w:val="clear"/>
            <w:vAlign w:val="center"/>
          </w:tcPr>
          <w:p>
            <w:pPr>
              <w:pStyle w:val="TableContents"/>
              <w:bidi w:val="0"/>
              <w:spacing w:before="0" w:after="283"/>
              <w:jc w:val="right"/>
              <w:rPr/>
            </w:pPr>
            <w:r>
              <w:rPr/>
              <w:t>51,149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89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Matthew Norkunas, M.D., M.B.A. (10)</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871" w:type="dxa"/>
            <w:tcBorders/>
            <w:vAlign w:val="center"/>
          </w:tcPr>
          <w:p>
            <w:pPr>
              <w:pStyle w:val="TableContents"/>
              <w:bidi w:val="0"/>
              <w:spacing w:before="0" w:after="283"/>
              <w:jc w:val="right"/>
              <w:rPr/>
            </w:pPr>
            <w:r>
              <w:rPr/>
              <w:t>28,200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892"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Robert Ross, M.D. (11)</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871" w:type="dxa"/>
            <w:tcBorders/>
            <w:shd w:fill="CCEEFF" w:val="clear"/>
            <w:vAlign w:val="center"/>
          </w:tcPr>
          <w:p>
            <w:pPr>
              <w:pStyle w:val="TableContents"/>
              <w:bidi w:val="0"/>
              <w:spacing w:before="0" w:after="283"/>
              <w:jc w:val="right"/>
              <w:rPr/>
            </w:pPr>
            <w:r>
              <w:rPr/>
              <w:t>61,739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89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Peter Barrett, Ph.D.</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87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892"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 executive officers and directors as a group (9 persons) (12)</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871" w:type="dxa"/>
            <w:tcBorders/>
            <w:shd w:fill="CCEEFF" w:val="clear"/>
            <w:vAlign w:val="center"/>
          </w:tcPr>
          <w:p>
            <w:pPr>
              <w:pStyle w:val="TableContents"/>
              <w:bidi w:val="0"/>
              <w:spacing w:before="0" w:after="283"/>
              <w:jc w:val="right"/>
              <w:rPr/>
            </w:pPr>
            <w:r>
              <w:rPr/>
              <w:t>2,122,178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892" w:type="dxa"/>
            <w:tcBorders/>
            <w:shd w:fill="CCEEFF" w:val="clear"/>
            <w:vAlign w:val="center"/>
          </w:tcPr>
          <w:p>
            <w:pPr>
              <w:pStyle w:val="TableContents"/>
              <w:bidi w:val="0"/>
              <w:spacing w:before="0" w:after="283"/>
              <w:jc w:val="right"/>
              <w:rPr/>
            </w:pPr>
            <w:r>
              <w:rPr/>
              <w:t>3.32%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4180" w:type="dxa"/>
        <w:jc w:val="left"/>
        <w:tblInd w:w="0" w:type="dxa"/>
        <w:tblLayout w:type="fixed"/>
        <w:tblCellMar>
          <w:top w:w="0" w:type="dxa"/>
          <w:left w:w="0" w:type="dxa"/>
          <w:bottom w:w="0" w:type="dxa"/>
          <w:right w:w="0" w:type="dxa"/>
        </w:tblCellMar>
      </w:tblPr>
      <w:tblGrid>
        <w:gridCol w:w="155"/>
        <w:gridCol w:w="4025"/>
      </w:tblGrid>
      <w:tr>
        <w:trPr/>
        <w:tc>
          <w:tcPr>
            <w:tcW w:w="155" w:type="dxa"/>
            <w:tcBorders/>
            <w:vAlign w:val="center"/>
          </w:tcPr>
          <w:p>
            <w:pPr>
              <w:pStyle w:val="TableContents"/>
              <w:bidi w:val="0"/>
              <w:spacing w:before="0" w:after="283"/>
              <w:jc w:val="left"/>
              <w:rPr/>
            </w:pPr>
            <w:r>
              <w:rPr/>
              <w:t>*</w:t>
            </w:r>
          </w:p>
        </w:tc>
        <w:tc>
          <w:tcPr>
            <w:tcW w:w="4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beneficial ownership of less than 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(1)</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5,957,103 shares of common stock held by entities affiliated with RA Capital Management, L.P. RA Capital Management, L.P., is the investment manager for RA Capital Nexus Fund II, L.P., and RA Capital Healthcare Fund, L.P. Peter Kolchinsky, Ph.D. and Rajeev Shah are the managing members of RA Capital Management GP, LLC. Each of Dr. Kolchinsky and Mr. Shah disclaims beneficial ownership of the securities held by RA Capital Nexus Fund II, L.P., and RA Capital Healthcare Fund, L.P., except to the extent of any pecuniary interest therein, if any. The address of RA Capital Nexus Fund II, L.P., and RA Capital Healthcare Fund, L.P., is 200 Berkeley Street, 18th Floor, Boston MA 02116. </w:t>
            </w:r>
          </w:p>
        </w:tc>
      </w:tr>
    </w:tbl>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(2)</w:t>
            </w:r>
          </w:p>
        </w:tc>
        <w:tc>
          <w:tcPr>
            <w:tcW w:w="99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4,503,149 shares of common stock held by entities affiliated with Atlas Venture Fund. The general partner of Atlas I is Atlas Venture Associates Opportunity I, L.P., or AVAO I, and the general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partner of AVAO I is Atlas Venture Associates Opportunity I, LLC, or AVAO I LLC. The general partner of Atlas II is Atlas Venture Associates Opportunity II, L.P., or AVAO II, and the general partner of AVAO II is Atlas Venture Associates Opportunity II, LLC, or AVAO II LLC. The general partner of Atlas Venture Opportunity Fund III, L.P., or AVOF III, is Atlas Venture Associates Opportunity III, L.P., or AVAO III LP, and Atlas Venture Associates Opportunity III, LLC, or AVAO III LLC is the general partner of AVAO III LP. Each of AVOF III, AVAO III LP and AVAO III LLC may be deemed to beneficially own the shares held by AVOF III. The general partner of Atlas X is Atlas Venture Associates X, L.P., or AVA X, and the general partner of AVA X is Atlas Venture Associates X, LLC, or AVA X LLC. Kevin Bitterman, Ph.D., is a member of AVAO I LLC and AVAO II LLC. Michael Gladstone is a member of AVAO II LLC. Bruce Booth, D.Phil., David Grayzel, M.D., Jean-Francois Formela, M.D. and Jason Rhodes are members of AVA X LLC, AVAO I LLC and AVAO II LLC. By virtue of these relationships, each of AVA X, AVA X LLC, AVAO I, AVAO I LLC, AVAO II, AVAO II LLC may be deemed to beneficially own the shares held by Atlas I or Atlas II or Atlas X, and each expressly disclaims beneficial ownership of such shares except to the extent of its pecuniary interest therein, if any. Dr. Bitterman, Dr. Booth, Dr. Grayzel, Dr. Formela and Mr. Rhodes may be deemed to beneficially own the shares held by Atlas I and Atlas II, and each expressly disclaims beneficial ownership of such shares except to the extent of its pecuniary interest therein, if any. Mr. Gladstone may be deemed to beneficially own the shares held by Atlas II, and each expressly disclaims beneficial ownership of such shares except to the extent of its pecuniary interest therein, if any. Dr. Booth, Mr. Rhodes, Dr. Bitterman and Mr. Gladstone may be deemed to beneficially own the shares held by Atlas III, and each expressly disclaims beneficial ownership of such shares except to the extent of its pecuniary interest therein, if any. Dr. Booth, Dr. Grayzel, Dr. Formela and Mr. Rhodes may be deemed to beneficially own the shares held by Atlas X, and each expressly disclaims beneficial ownership of such shares except to the extent of its pecuniary interest therein, if any. The address of Atlas I, Atlas II, Atlas III, Atlas X, AVAO I, AVAO I LLC, AVAO II, AVAO II LLC, AVAO III, AVAO III LLC, AVA X and AVA X LLC is 300 Technology Square, 8th Floor, Cambridge, MA 02139. </w:t>
            </w:r>
          </w:p>
        </w:tc>
      </w:tr>
    </w:tbl>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pPr>
            <w:r>
              <w:rPr/>
              <w:t>(3)</w:t>
            </w:r>
          </w:p>
        </w:tc>
        <w:tc>
          <w:tcPr>
            <w:tcW w:w="99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3,315,605 shares of common stock held by Deep Track Biotechnology Master Fund, Ltd., or Deep Track. The address of Deep Track is 200 Greenwich Avenue, 3rd Floor, Greenwich, CT 06830. </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(4)</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3,123,992 shares of common stock held by Novo Holdings A/S. The address of Novo Holdings A/S is Tuborg Havnevej 19, DK 2900, Hellerup, Denmark. </w:t>
            </w:r>
          </w:p>
        </w:tc>
      </w:tr>
    </w:tbl>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(5)</w:t>
            </w:r>
          </w:p>
        </w:tc>
        <w:tc>
          <w:tcPr>
            <w:tcW w:w="9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options to purchase 1,287,220 shares of common stock that are outstanding and exercisable as of August 3, 2026, or exercisable within 60 days of August 3, 2026. </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(6)</w:t>
            </w:r>
          </w:p>
        </w:tc>
        <w:tc>
          <w:tcPr>
            <w:tcW w:w="99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options to purchase 328,033 shares of common stock that are outstanding and exercisable as of August 3, 2026, or exercisable within 60 days of August 3, 2026. </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(7)</w:t>
            </w:r>
          </w:p>
        </w:tc>
        <w:tc>
          <w:tcPr>
            <w:tcW w:w="99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options to purchase 208,086 shares of common stock that are outstanding and exercisable as of August 3, 2026, or exercisable within 60 days of August 3, 2026. </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(8)</w:t>
            </w:r>
          </w:p>
        </w:tc>
        <w:tc>
          <w:tcPr>
            <w:tcW w:w="99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options to purchase 138,970 shares of common stock that are outstanding and exercisable as of August 3, 2026, or exercisable within 60 days of August 3, 2026. </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(9)</w:t>
            </w:r>
          </w:p>
        </w:tc>
        <w:tc>
          <w:tcPr>
            <w:tcW w:w="99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options to purchase 51,149 shares of common stock that are outstanding and exercisable as of August 3, 2026, or exercisable within 60 days of August 3, 2026. </w:t>
            </w:r>
          </w:p>
        </w:tc>
      </w:tr>
    </w:tbl>
    <w:tbl>
      <w:tblPr>
        <w:tblW w:w="10205" w:type="dxa"/>
        <w:jc w:val="left"/>
        <w:tblInd w:w="0" w:type="dxa"/>
        <w:tblLayout w:type="fixed"/>
        <w:tblCellMar>
          <w:top w:w="0" w:type="dxa"/>
          <w:left w:w="0" w:type="dxa"/>
          <w:bottom w:w="0" w:type="dxa"/>
          <w:right w:w="0" w:type="dxa"/>
        </w:tblCellMar>
      </w:tblPr>
      <w:tblGrid>
        <w:gridCol w:w="401"/>
        <w:gridCol w:w="9804"/>
      </w:tblGrid>
      <w:tr>
        <w:trPr/>
        <w:tc>
          <w:tcPr>
            <w:tcW w:w="401" w:type="dxa"/>
            <w:tcBorders/>
            <w:vAlign w:val="center"/>
          </w:tcPr>
          <w:p>
            <w:pPr>
              <w:pStyle w:val="TableContents"/>
              <w:bidi w:val="0"/>
              <w:spacing w:before="0" w:after="283"/>
              <w:jc w:val="left"/>
              <w:rPr/>
            </w:pPr>
            <w:r>
              <w:rPr/>
              <w:t>(10)</w:t>
            </w:r>
          </w:p>
        </w:tc>
        <w:tc>
          <w:tcPr>
            <w:tcW w:w="98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options to purchase 28,200 shares of common stock that are outstanding and exercisable as of August 3, 2026, or exercisable within 60 days of August 3, 2026. </w:t>
            </w:r>
          </w:p>
        </w:tc>
      </w:tr>
    </w:tbl>
    <w:tbl>
      <w:tblPr>
        <w:tblW w:w="10205" w:type="dxa"/>
        <w:jc w:val="left"/>
        <w:tblInd w:w="0" w:type="dxa"/>
        <w:tblLayout w:type="fixed"/>
        <w:tblCellMar>
          <w:top w:w="0" w:type="dxa"/>
          <w:left w:w="0" w:type="dxa"/>
          <w:bottom w:w="0" w:type="dxa"/>
          <w:right w:w="0" w:type="dxa"/>
        </w:tblCellMar>
      </w:tblPr>
      <w:tblGrid>
        <w:gridCol w:w="401"/>
        <w:gridCol w:w="9804"/>
      </w:tblGrid>
      <w:tr>
        <w:trPr/>
        <w:tc>
          <w:tcPr>
            <w:tcW w:w="401" w:type="dxa"/>
            <w:tcBorders/>
            <w:vAlign w:val="center"/>
          </w:tcPr>
          <w:p>
            <w:pPr>
              <w:pStyle w:val="TableContents"/>
              <w:bidi w:val="0"/>
              <w:spacing w:before="0" w:after="283"/>
              <w:jc w:val="left"/>
              <w:rPr/>
            </w:pPr>
            <w:r>
              <w:rPr/>
              <w:t>(11)</w:t>
            </w:r>
          </w:p>
        </w:tc>
        <w:tc>
          <w:tcPr>
            <w:tcW w:w="98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options to purchase 61,739 shares of common stock that are outstanding and exercisable as of August 3, 2026, or exercisable within 60 days of August 3, 2026. </w:t>
            </w:r>
          </w:p>
        </w:tc>
      </w:tr>
    </w:tbl>
    <w:tbl>
      <w:tblPr>
        <w:tblW w:w="10205" w:type="dxa"/>
        <w:jc w:val="left"/>
        <w:tblInd w:w="0" w:type="dxa"/>
        <w:tblLayout w:type="fixed"/>
        <w:tblCellMar>
          <w:top w:w="0" w:type="dxa"/>
          <w:left w:w="0" w:type="dxa"/>
          <w:bottom w:w="0" w:type="dxa"/>
          <w:right w:w="0" w:type="dxa"/>
        </w:tblCellMar>
      </w:tblPr>
      <w:tblGrid>
        <w:gridCol w:w="400"/>
        <w:gridCol w:w="9805"/>
      </w:tblGrid>
      <w:tr>
        <w:trPr/>
        <w:tc>
          <w:tcPr>
            <w:tcW w:w="400" w:type="dxa"/>
            <w:tcBorders/>
            <w:vAlign w:val="center"/>
          </w:tcPr>
          <w:p>
            <w:pPr>
              <w:pStyle w:val="TableContents"/>
              <w:bidi w:val="0"/>
              <w:spacing w:before="0" w:after="283"/>
              <w:jc w:val="left"/>
              <w:rPr/>
            </w:pPr>
            <w:r>
              <w:rPr/>
              <w:t>(12)</w:t>
            </w:r>
          </w:p>
        </w:tc>
        <w:tc>
          <w:tcPr>
            <w:tcW w:w="9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options to purchase 2,117,899 shares of common stock that are outstanding and exercisable as of August 3, 2026, or exercisable within 60 days of August 3,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127696_18"/>
      <w:bookmarkEnd w:id="19"/>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acquired shares of common stock from us in the Mergers upon exchange of shares of Legacy Galera acquired from Legacy Galera immediately prior to the Mergers pursuant to an exemption from registration under Section 4(a)(2) of the Securities Act. Under the registration rights agreement that we assumed in the Mergers, we agreed to file a registration statement with the SEC for the purposes of registering for resale from time to time the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Except for the ownership of shares of common stock received in the Mergers and as discussed below, the selling stockholders have not had any material relationship with our company within the past three years. </w:t>
      </w:r>
    </w:p>
    <w:p>
      <w:pPr>
        <w:pStyle w:val="TextBody"/>
        <w:bidi w:val="0"/>
        <w:spacing w:before="240" w:after="0"/>
        <w:jc w:val="left"/>
        <w:rPr>
          <w:rFonts w:ascii="Times New Roman" w:hAnsi="Times New Roman"/>
          <w:sz w:val="20"/>
        </w:rPr>
      </w:pPr>
      <w:r>
        <w:rPr>
          <w:rFonts w:ascii="Times New Roman" w:hAnsi="Times New Roman"/>
          <w:sz w:val="20"/>
        </w:rPr>
        <w:t>The table below lists the selling stockholders and other information regarding their ownership of the shares of common stock offered hereby. The first column lists the number of shares of common stock beneficially owned by the selling stockholders as of August 3, 2026 immediately following the closing of the Mergers. The selling stockholders may have sold or transferred some or all of the common stock indicated below and may in the future sell or transfer some or all of the common stock indicated below in transactions exempt from the registration requirements of the Securities Act rather than under this prospectus. The second column lists the shares of common stock being offered by this prospectus by the selling stockholders. The third column assumes the sale of all of the shares of common stock offered by the selling stockholders pursuant to this prospectus. The selling stockholders may sell all, some or none of their shares of common stock in this offering. See “</w:t>
      </w:r>
      <w:r>
        <w:rPr>
          <w:rFonts w:ascii="Times New Roman" w:hAnsi="Times New Roman"/>
          <w:i/>
          <w:sz w:val="20"/>
        </w:rPr>
        <w:t>Plan of Distribution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indicated by the footnotes below, we believe, based on the information furnished to us, that the selling stockholders have sole voting and investment power with respect to all shares of common stock that they own, subject to applicable community property laws. Beneficial ownership for the purposes of the table below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Percentage of beneficial ownership is based on 61,772,876 shares of common stock outstanding as of August 3, 2026 immediately following the closing of the Mergers.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50"/>
        <w:gridCol w:w="120"/>
        <w:gridCol w:w="114"/>
        <w:gridCol w:w="1871"/>
        <w:gridCol w:w="60"/>
        <w:gridCol w:w="120"/>
        <w:gridCol w:w="108"/>
        <w:gridCol w:w="1772"/>
        <w:gridCol w:w="60"/>
        <w:gridCol w:w="120"/>
        <w:gridCol w:w="147"/>
        <w:gridCol w:w="2404"/>
        <w:gridCol w:w="147"/>
        <w:gridCol w:w="294"/>
        <w:gridCol w:w="147"/>
        <w:gridCol w:w="1081"/>
        <w:gridCol w:w="290"/>
      </w:tblGrid>
      <w:tr>
        <w:trPr/>
        <w:tc>
          <w:tcPr>
            <w:tcW w:w="1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40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Common Stock</w:t>
              <w:br/>
              <w:t>Beneficially Owned</w:t>
              <w:br/>
              <w:t>Prior to the</w:t>
              <w:br/>
              <w:t>Offering</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w:t>
              <w:br/>
              <w:t>of Common Stock</w:t>
              <w:br/>
              <w:t>Being Offered</w:t>
              <w:br/>
              <w:t>Hereby</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2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 Beneficially Owned After</w:t>
              <w:br/>
              <w:t>the Shares Offered Hereby are Sold</w:t>
            </w:r>
          </w:p>
        </w:tc>
        <w:tc>
          <w:tcPr>
            <w:tcW w:w="290" w:type="dxa"/>
            <w:tcBorders/>
            <w:vAlign w:val="center"/>
          </w:tcPr>
          <w:p>
            <w:pPr>
              <w:pStyle w:val="TableContents"/>
              <w:bidi w:val="0"/>
              <w:spacing w:before="0" w:after="283"/>
              <w:jc w:val="left"/>
              <w:rPr/>
            </w:pPr>
            <w:r>
              <w:rPr/>
              <w:t> </w:t>
            </w:r>
          </w:p>
        </w:tc>
      </w:tr>
      <w:tr>
        <w:trPr/>
        <w:tc>
          <w:tcPr>
            <w:tcW w:w="135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Selling Stockholders</w:t>
            </w:r>
          </w:p>
        </w:tc>
        <w:tc>
          <w:tcPr>
            <w:tcW w:w="120" w:type="dxa"/>
            <w:tcBorders/>
            <w:vAlign w:val="center"/>
          </w:tcPr>
          <w:p>
            <w:pPr>
              <w:pStyle w:val="TableContents"/>
              <w:bidi w:val="0"/>
              <w:spacing w:before="0" w:after="283"/>
              <w:jc w:val="left"/>
              <w:rPr/>
            </w:pPr>
            <w:r>
              <w:rPr/>
              <w:t>  </w:t>
            </w:r>
          </w:p>
        </w:tc>
        <w:tc>
          <w:tcPr>
            <w:tcW w:w="198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51" w:type="dxa"/>
            <w:gridSpan w:val="2"/>
            <w:tcBorders/>
            <w:vAlign w:val="center"/>
          </w:tcPr>
          <w:p>
            <w:pPr>
              <w:pStyle w:val="TableContents"/>
              <w:bidi w:val="0"/>
              <w:spacing w:before="0" w:after="283"/>
              <w:jc w:val="center"/>
              <w:rPr>
                <w:b/>
              </w:rPr>
            </w:pPr>
            <w:r>
              <w:rPr>
                <w:b/>
              </w:rPr>
              <w:t>Number</w:t>
            </w:r>
          </w:p>
        </w:tc>
        <w:tc>
          <w:tcPr>
            <w:tcW w:w="147"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1228" w:type="dxa"/>
            <w:gridSpan w:val="2"/>
            <w:tcBorders/>
            <w:vAlign w:val="center"/>
          </w:tcPr>
          <w:p>
            <w:pPr>
              <w:pStyle w:val="TableContents"/>
              <w:bidi w:val="0"/>
              <w:spacing w:before="0" w:after="283"/>
              <w:jc w:val="center"/>
              <w:rPr>
                <w:b/>
              </w:rPr>
            </w:pPr>
            <w:r>
              <w:rPr>
                <w:b/>
              </w:rPr>
              <w:t>Percent</w:t>
            </w:r>
          </w:p>
        </w:tc>
        <w:tc>
          <w:tcPr>
            <w:tcW w:w="290" w:type="dxa"/>
            <w:tcBorders/>
            <w:vAlign w:val="center"/>
          </w:tcPr>
          <w:p>
            <w:pPr>
              <w:pStyle w:val="TableContents"/>
              <w:bidi w:val="0"/>
              <w:spacing w:before="0" w:after="283"/>
              <w:jc w:val="left"/>
              <w:rPr/>
            </w:pPr>
            <w:r>
              <w:rPr/>
              <w:t> </w:t>
            </w:r>
          </w:p>
        </w:tc>
      </w:tr>
      <w:tr>
        <w:trPr/>
        <w:tc>
          <w:tcPr>
            <w:tcW w:w="13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Atlas Private Holdings (Cayman) Ltd.(1)</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871" w:type="dxa"/>
            <w:tcBorders/>
            <w:shd w:fill="CCEEFF" w:val="clear"/>
            <w:vAlign w:val="center"/>
          </w:tcPr>
          <w:p>
            <w:pPr>
              <w:pStyle w:val="TableContents"/>
              <w:bidi w:val="0"/>
              <w:spacing w:before="0" w:after="283"/>
              <w:jc w:val="right"/>
              <w:rPr/>
            </w:pPr>
            <w:r>
              <w:rPr/>
              <w:t>1,083,243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772" w:type="dxa"/>
            <w:tcBorders/>
            <w:shd w:fill="CCEEFF" w:val="clear"/>
            <w:vAlign w:val="center"/>
          </w:tcPr>
          <w:p>
            <w:pPr>
              <w:pStyle w:val="TableContents"/>
              <w:bidi w:val="0"/>
              <w:spacing w:before="0" w:after="283"/>
              <w:jc w:val="right"/>
              <w:rPr/>
            </w:pPr>
            <w:r>
              <w:rPr/>
              <w:t>1,083,243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2404" w:type="dxa"/>
            <w:tcBorders/>
            <w:shd w:fill="CCEEFF" w:val="clear"/>
            <w:vAlign w:val="center"/>
          </w:tcPr>
          <w:p>
            <w:pPr>
              <w:pStyle w:val="TableContents"/>
              <w:bidi w:val="0"/>
              <w:spacing w:before="0" w:after="283"/>
              <w:jc w:val="right"/>
              <w:rPr/>
            </w:pPr>
            <w:r>
              <w:rPr/>
              <w:t>0</w:t>
            </w:r>
          </w:p>
        </w:tc>
        <w:tc>
          <w:tcPr>
            <w:tcW w:w="147"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1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Caligan Partners Master Fund LP(2)</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871" w:type="dxa"/>
            <w:tcBorders/>
            <w:vAlign w:val="center"/>
          </w:tcPr>
          <w:p>
            <w:pPr>
              <w:pStyle w:val="TableContents"/>
              <w:bidi w:val="0"/>
              <w:spacing w:before="0" w:after="283"/>
              <w:jc w:val="right"/>
              <w:rPr/>
            </w:pPr>
            <w:r>
              <w:rPr/>
              <w:t>1,499,752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772" w:type="dxa"/>
            <w:tcBorders/>
            <w:vAlign w:val="center"/>
          </w:tcPr>
          <w:p>
            <w:pPr>
              <w:pStyle w:val="TableContents"/>
              <w:bidi w:val="0"/>
              <w:spacing w:before="0" w:after="283"/>
              <w:jc w:val="right"/>
              <w:rPr/>
            </w:pPr>
            <w:r>
              <w:rPr/>
              <w:t>1,499,752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404" w:type="dxa"/>
            <w:tcBorders/>
            <w:vAlign w:val="center"/>
          </w:tcPr>
          <w:p>
            <w:pPr>
              <w:pStyle w:val="TableContents"/>
              <w:bidi w:val="0"/>
              <w:spacing w:before="0" w:after="283"/>
              <w:jc w:val="right"/>
              <w:rPr/>
            </w:pPr>
            <w:r>
              <w:rPr/>
              <w:t>0</w:t>
            </w:r>
          </w:p>
        </w:tc>
        <w:tc>
          <w:tcPr>
            <w:tcW w:w="147"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13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Deep Track(3)</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871" w:type="dxa"/>
            <w:tcBorders/>
            <w:shd w:fill="CCEEFF" w:val="clear"/>
            <w:vAlign w:val="center"/>
          </w:tcPr>
          <w:p>
            <w:pPr>
              <w:pStyle w:val="TableContents"/>
              <w:bidi w:val="0"/>
              <w:spacing w:before="0" w:after="283"/>
              <w:jc w:val="right"/>
              <w:rPr/>
            </w:pPr>
            <w:r>
              <w:rPr/>
              <w:t>3,315,605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772" w:type="dxa"/>
            <w:tcBorders/>
            <w:shd w:fill="CCEEFF" w:val="clear"/>
            <w:vAlign w:val="center"/>
          </w:tcPr>
          <w:p>
            <w:pPr>
              <w:pStyle w:val="TableContents"/>
              <w:bidi w:val="0"/>
              <w:spacing w:before="0" w:after="283"/>
              <w:jc w:val="right"/>
              <w:rPr/>
            </w:pPr>
            <w:r>
              <w:rPr/>
              <w:t>833,296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2404" w:type="dxa"/>
            <w:tcBorders/>
            <w:shd w:fill="CCEEFF" w:val="clear"/>
            <w:vAlign w:val="center"/>
          </w:tcPr>
          <w:p>
            <w:pPr>
              <w:pStyle w:val="TableContents"/>
              <w:bidi w:val="0"/>
              <w:spacing w:before="0" w:after="283"/>
              <w:jc w:val="right"/>
              <w:rPr/>
            </w:pPr>
            <w:r>
              <w:rPr/>
              <w:t>2,482,309</w:t>
            </w:r>
          </w:p>
        </w:tc>
        <w:tc>
          <w:tcPr>
            <w:tcW w:w="147"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4.02</w:t>
            </w:r>
          </w:p>
        </w:tc>
        <w:tc>
          <w:tcPr>
            <w:tcW w:w="290" w:type="dxa"/>
            <w:tcBorders/>
            <w:shd w:fill="CCEEFF" w:val="clear"/>
            <w:vAlign w:val="center"/>
          </w:tcPr>
          <w:p>
            <w:pPr>
              <w:pStyle w:val="TableContents"/>
              <w:bidi w:val="0"/>
              <w:spacing w:before="0" w:after="283"/>
              <w:jc w:val="left"/>
              <w:rPr/>
            </w:pPr>
            <w:r>
              <w:rPr/>
              <w:t>% </w:t>
            </w:r>
          </w:p>
        </w:tc>
      </w:tr>
      <w:tr>
        <w:trPr/>
        <w:tc>
          <w:tcPr>
            <w:tcW w:w="1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Eventide Healthcare Innovation Fund I LP(4)</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871" w:type="dxa"/>
            <w:tcBorders/>
            <w:vAlign w:val="center"/>
          </w:tcPr>
          <w:p>
            <w:pPr>
              <w:pStyle w:val="TableContents"/>
              <w:bidi w:val="0"/>
              <w:spacing w:before="0" w:after="283"/>
              <w:jc w:val="right"/>
              <w:rPr/>
            </w:pPr>
            <w:r>
              <w:rPr/>
              <w:t>624,972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772" w:type="dxa"/>
            <w:tcBorders/>
            <w:vAlign w:val="center"/>
          </w:tcPr>
          <w:p>
            <w:pPr>
              <w:pStyle w:val="TableContents"/>
              <w:bidi w:val="0"/>
              <w:spacing w:before="0" w:after="283"/>
              <w:jc w:val="right"/>
              <w:rPr/>
            </w:pPr>
            <w:r>
              <w:rPr/>
              <w:t>624,972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404" w:type="dxa"/>
            <w:tcBorders/>
            <w:vAlign w:val="center"/>
          </w:tcPr>
          <w:p>
            <w:pPr>
              <w:pStyle w:val="TableContents"/>
              <w:bidi w:val="0"/>
              <w:spacing w:before="0" w:after="283"/>
              <w:jc w:val="right"/>
              <w:rPr/>
            </w:pPr>
            <w:r>
              <w:rPr/>
              <w:t>0</w:t>
            </w:r>
          </w:p>
        </w:tc>
        <w:tc>
          <w:tcPr>
            <w:tcW w:w="147"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13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Franklin and its Affiliates(5)</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871" w:type="dxa"/>
            <w:tcBorders/>
            <w:shd w:fill="CCEEFF" w:val="clear"/>
            <w:vAlign w:val="center"/>
          </w:tcPr>
          <w:p>
            <w:pPr>
              <w:pStyle w:val="TableContents"/>
              <w:bidi w:val="0"/>
              <w:spacing w:before="0" w:after="283"/>
              <w:jc w:val="right"/>
              <w:rPr/>
            </w:pPr>
            <w:r>
              <w:rPr/>
              <w:t>833,297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772" w:type="dxa"/>
            <w:tcBorders/>
            <w:shd w:fill="CCEEFF" w:val="clear"/>
            <w:vAlign w:val="center"/>
          </w:tcPr>
          <w:p>
            <w:pPr>
              <w:pStyle w:val="TableContents"/>
              <w:bidi w:val="0"/>
              <w:spacing w:before="0" w:after="283"/>
              <w:jc w:val="right"/>
              <w:rPr/>
            </w:pPr>
            <w:r>
              <w:rPr/>
              <w:t>833,297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2404" w:type="dxa"/>
            <w:tcBorders/>
            <w:shd w:fill="CCEEFF" w:val="clear"/>
            <w:vAlign w:val="center"/>
          </w:tcPr>
          <w:p>
            <w:pPr>
              <w:pStyle w:val="TableContents"/>
              <w:bidi w:val="0"/>
              <w:spacing w:before="0" w:after="283"/>
              <w:jc w:val="right"/>
              <w:rPr/>
            </w:pPr>
            <w:r>
              <w:rPr/>
              <w:t>0</w:t>
            </w:r>
          </w:p>
        </w:tc>
        <w:tc>
          <w:tcPr>
            <w:tcW w:w="147"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1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Janus and its Affiliates(6)</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871" w:type="dxa"/>
            <w:tcBorders/>
            <w:vAlign w:val="center"/>
          </w:tcPr>
          <w:p>
            <w:pPr>
              <w:pStyle w:val="TableContents"/>
              <w:bidi w:val="0"/>
              <w:spacing w:before="0" w:after="283"/>
              <w:jc w:val="right"/>
              <w:rPr/>
            </w:pPr>
            <w:r>
              <w:rPr/>
              <w:t>2,395,293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772" w:type="dxa"/>
            <w:tcBorders/>
            <w:vAlign w:val="center"/>
          </w:tcPr>
          <w:p>
            <w:pPr>
              <w:pStyle w:val="TableContents"/>
              <w:bidi w:val="0"/>
              <w:spacing w:before="0" w:after="283"/>
              <w:jc w:val="right"/>
              <w:rPr/>
            </w:pPr>
            <w:r>
              <w:rPr/>
              <w:t>1,666,593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404" w:type="dxa"/>
            <w:tcBorders/>
            <w:vAlign w:val="center"/>
          </w:tcPr>
          <w:p>
            <w:pPr>
              <w:pStyle w:val="TableContents"/>
              <w:bidi w:val="0"/>
              <w:spacing w:before="0" w:after="283"/>
              <w:jc w:val="right"/>
              <w:rPr/>
            </w:pPr>
            <w:r>
              <w:rPr/>
              <w:t>728,700</w:t>
            </w:r>
          </w:p>
        </w:tc>
        <w:tc>
          <w:tcPr>
            <w:tcW w:w="147"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right"/>
              <w:rPr/>
            </w:pPr>
            <w:r>
              <w:rPr/>
              <w:t>1.18</w:t>
            </w:r>
          </w:p>
        </w:tc>
        <w:tc>
          <w:tcPr>
            <w:tcW w:w="290" w:type="dxa"/>
            <w:tcBorders/>
            <w:vAlign w:val="center"/>
          </w:tcPr>
          <w:p>
            <w:pPr>
              <w:pStyle w:val="TableContents"/>
              <w:bidi w:val="0"/>
              <w:spacing w:before="0" w:after="283"/>
              <w:jc w:val="left"/>
              <w:rPr/>
            </w:pPr>
            <w:r>
              <w:rPr/>
              <w:t>% </w:t>
            </w:r>
          </w:p>
        </w:tc>
      </w:tr>
      <w:tr>
        <w:trPr/>
        <w:tc>
          <w:tcPr>
            <w:tcW w:w="13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Nantahala and its Affiliates(7)</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871" w:type="dxa"/>
            <w:tcBorders/>
            <w:shd w:fill="CCEEFF" w:val="clear"/>
            <w:vAlign w:val="center"/>
          </w:tcPr>
          <w:p>
            <w:pPr>
              <w:pStyle w:val="TableContents"/>
              <w:bidi w:val="0"/>
              <w:spacing w:before="0" w:after="283"/>
              <w:jc w:val="right"/>
              <w:rPr/>
            </w:pPr>
            <w:r>
              <w:rPr/>
              <w:t>1,124,796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772" w:type="dxa"/>
            <w:tcBorders/>
            <w:shd w:fill="CCEEFF" w:val="clear"/>
            <w:vAlign w:val="center"/>
          </w:tcPr>
          <w:p>
            <w:pPr>
              <w:pStyle w:val="TableContents"/>
              <w:bidi w:val="0"/>
              <w:spacing w:before="0" w:after="283"/>
              <w:jc w:val="right"/>
              <w:rPr/>
            </w:pPr>
            <w:r>
              <w:rPr/>
              <w:t>1,124,796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2404" w:type="dxa"/>
            <w:tcBorders/>
            <w:shd w:fill="CCEEFF" w:val="clear"/>
            <w:vAlign w:val="center"/>
          </w:tcPr>
          <w:p>
            <w:pPr>
              <w:pStyle w:val="TableContents"/>
              <w:bidi w:val="0"/>
              <w:spacing w:before="0" w:after="283"/>
              <w:jc w:val="right"/>
              <w:rPr/>
            </w:pPr>
            <w:r>
              <w:rPr/>
              <w:t>0</w:t>
            </w:r>
          </w:p>
        </w:tc>
        <w:tc>
          <w:tcPr>
            <w:tcW w:w="147"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1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Novo Holdings A/S(8)</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871" w:type="dxa"/>
            <w:tcBorders/>
            <w:vAlign w:val="center"/>
          </w:tcPr>
          <w:p>
            <w:pPr>
              <w:pStyle w:val="TableContents"/>
              <w:bidi w:val="0"/>
              <w:spacing w:before="0" w:after="283"/>
              <w:jc w:val="right"/>
              <w:rPr/>
            </w:pPr>
            <w:r>
              <w:rPr/>
              <w:t>3,123,992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772" w:type="dxa"/>
            <w:tcBorders/>
            <w:vAlign w:val="center"/>
          </w:tcPr>
          <w:p>
            <w:pPr>
              <w:pStyle w:val="TableContents"/>
              <w:bidi w:val="0"/>
              <w:spacing w:before="0" w:after="283"/>
              <w:jc w:val="right"/>
              <w:rPr/>
            </w:pPr>
            <w:r>
              <w:rPr/>
              <w:t>1,666,592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404" w:type="dxa"/>
            <w:tcBorders/>
            <w:vAlign w:val="center"/>
          </w:tcPr>
          <w:p>
            <w:pPr>
              <w:pStyle w:val="TableContents"/>
              <w:bidi w:val="0"/>
              <w:spacing w:before="0" w:after="283"/>
              <w:jc w:val="right"/>
              <w:rPr/>
            </w:pPr>
            <w:r>
              <w:rPr/>
              <w:t>1,457,400</w:t>
            </w:r>
          </w:p>
        </w:tc>
        <w:tc>
          <w:tcPr>
            <w:tcW w:w="147"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right"/>
              <w:rPr/>
            </w:pPr>
            <w:r>
              <w:rPr/>
              <w:t>2.36</w:t>
            </w:r>
          </w:p>
        </w:tc>
        <w:tc>
          <w:tcPr>
            <w:tcW w:w="290" w:type="dxa"/>
            <w:tcBorders/>
            <w:vAlign w:val="center"/>
          </w:tcPr>
          <w:p>
            <w:pPr>
              <w:pStyle w:val="TableContents"/>
              <w:bidi w:val="0"/>
              <w:spacing w:before="0" w:after="283"/>
              <w:jc w:val="left"/>
              <w:rPr/>
            </w:pPr>
            <w:r>
              <w:rPr/>
              <w:t>% </w:t>
            </w:r>
          </w:p>
        </w:tc>
      </w:tr>
      <w:tr>
        <w:trPr/>
        <w:tc>
          <w:tcPr>
            <w:tcW w:w="13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Octagon Investments Master Fund LP(9)</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871" w:type="dxa"/>
            <w:tcBorders/>
            <w:shd w:fill="CCEEFF" w:val="clear"/>
            <w:vAlign w:val="center"/>
          </w:tcPr>
          <w:p>
            <w:pPr>
              <w:pStyle w:val="TableContents"/>
              <w:bidi w:val="0"/>
              <w:spacing w:before="0" w:after="283"/>
              <w:jc w:val="right"/>
              <w:rPr/>
            </w:pPr>
            <w:r>
              <w:rPr/>
              <w:t>2,499,888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772" w:type="dxa"/>
            <w:tcBorders/>
            <w:shd w:fill="CCEEFF" w:val="clear"/>
            <w:vAlign w:val="center"/>
          </w:tcPr>
          <w:p>
            <w:pPr>
              <w:pStyle w:val="TableContents"/>
              <w:bidi w:val="0"/>
              <w:spacing w:before="0" w:after="283"/>
              <w:jc w:val="right"/>
              <w:rPr/>
            </w:pPr>
            <w:r>
              <w:rPr/>
              <w:t>2,499,888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2404" w:type="dxa"/>
            <w:tcBorders/>
            <w:shd w:fill="CCEEFF" w:val="clear"/>
            <w:vAlign w:val="center"/>
          </w:tcPr>
          <w:p>
            <w:pPr>
              <w:pStyle w:val="TableContents"/>
              <w:bidi w:val="0"/>
              <w:spacing w:before="0" w:after="283"/>
              <w:jc w:val="right"/>
              <w:rPr/>
            </w:pPr>
            <w:r>
              <w:rPr/>
              <w:t>0</w:t>
            </w:r>
          </w:p>
        </w:tc>
        <w:tc>
          <w:tcPr>
            <w:tcW w:w="147"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305"/>
        <w:gridCol w:w="120"/>
        <w:gridCol w:w="102"/>
        <w:gridCol w:w="1883"/>
        <w:gridCol w:w="60"/>
        <w:gridCol w:w="120"/>
        <w:gridCol w:w="97"/>
        <w:gridCol w:w="1783"/>
        <w:gridCol w:w="60"/>
        <w:gridCol w:w="120"/>
        <w:gridCol w:w="129"/>
        <w:gridCol w:w="2368"/>
        <w:gridCol w:w="129"/>
        <w:gridCol w:w="258"/>
        <w:gridCol w:w="129"/>
        <w:gridCol w:w="1207"/>
        <w:gridCol w:w="335"/>
      </w:tblGrid>
      <w:tr>
        <w:trPr/>
        <w:tc>
          <w:tcPr>
            <w:tcW w:w="1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13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Common Stock</w:t>
              <w:br/>
              <w:t>Beneficially Owned</w:t>
              <w:br/>
              <w:t>Prior to the</w:t>
              <w:br/>
              <w:t>Offering</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w:t>
              <w:br/>
              <w:t>of Common Stock</w:t>
              <w:br/>
              <w:t>Being Offered</w:t>
              <w:br/>
              <w:t>Hereby</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2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 Beneficially Owned After</w:t>
              <w:br/>
              <w:t>the Shares Offered Hereby are Sold</w:t>
            </w:r>
          </w:p>
        </w:tc>
        <w:tc>
          <w:tcPr>
            <w:tcW w:w="335" w:type="dxa"/>
            <w:tcBorders/>
            <w:vAlign w:val="center"/>
          </w:tcPr>
          <w:p>
            <w:pPr>
              <w:pStyle w:val="TableContents"/>
              <w:bidi w:val="0"/>
              <w:spacing w:before="0" w:after="283"/>
              <w:jc w:val="left"/>
              <w:rPr/>
            </w:pPr>
            <w:r>
              <w:rPr/>
              <w:t> </w:t>
            </w:r>
          </w:p>
        </w:tc>
      </w:tr>
      <w:tr>
        <w:trPr/>
        <w:tc>
          <w:tcPr>
            <w:tcW w:w="130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Selling Stockholders</w:t>
            </w:r>
          </w:p>
        </w:tc>
        <w:tc>
          <w:tcPr>
            <w:tcW w:w="120" w:type="dxa"/>
            <w:tcBorders/>
            <w:vAlign w:val="center"/>
          </w:tcPr>
          <w:p>
            <w:pPr>
              <w:pStyle w:val="TableContents"/>
              <w:bidi w:val="0"/>
              <w:spacing w:before="0" w:after="283"/>
              <w:jc w:val="left"/>
              <w:rPr/>
            </w:pPr>
            <w:r>
              <w:rPr/>
              <w:t>  </w:t>
            </w:r>
          </w:p>
        </w:tc>
        <w:tc>
          <w:tcPr>
            <w:tcW w:w="198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97" w:type="dxa"/>
            <w:gridSpan w:val="2"/>
            <w:tcBorders/>
            <w:vAlign w:val="center"/>
          </w:tcPr>
          <w:p>
            <w:pPr>
              <w:pStyle w:val="TableContents"/>
              <w:bidi w:val="0"/>
              <w:spacing w:before="0" w:after="283"/>
              <w:jc w:val="center"/>
              <w:rPr>
                <w:b/>
              </w:rPr>
            </w:pPr>
            <w:r>
              <w:rPr>
                <w:b/>
              </w:rPr>
              <w:t>Number</w:t>
            </w:r>
          </w:p>
        </w:tc>
        <w:tc>
          <w:tcPr>
            <w:tcW w:w="129"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336" w:type="dxa"/>
            <w:gridSpan w:val="2"/>
            <w:tcBorders/>
            <w:vAlign w:val="center"/>
          </w:tcPr>
          <w:p>
            <w:pPr>
              <w:pStyle w:val="TableContents"/>
              <w:bidi w:val="0"/>
              <w:spacing w:before="0" w:after="283"/>
              <w:jc w:val="center"/>
              <w:rPr>
                <w:b/>
              </w:rPr>
            </w:pPr>
            <w:r>
              <w:rPr>
                <w:b/>
              </w:rPr>
              <w:t>Percent</w:t>
            </w:r>
          </w:p>
        </w:tc>
        <w:tc>
          <w:tcPr>
            <w:tcW w:w="335" w:type="dxa"/>
            <w:tcBorders/>
            <w:vAlign w:val="center"/>
          </w:tcPr>
          <w:p>
            <w:pPr>
              <w:pStyle w:val="TableContents"/>
              <w:bidi w:val="0"/>
              <w:spacing w:before="0" w:after="283"/>
              <w:jc w:val="left"/>
              <w:rPr/>
            </w:pPr>
            <w:r>
              <w:rPr/>
              <w:t> </w:t>
            </w:r>
          </w:p>
        </w:tc>
      </w:tr>
      <w:tr>
        <w:trPr/>
        <w:tc>
          <w:tcPr>
            <w:tcW w:w="13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associated with Paradigm(10)</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883" w:type="dxa"/>
            <w:tcBorders/>
            <w:shd w:fill="CCEEFF" w:val="clear"/>
            <w:vAlign w:val="center"/>
          </w:tcPr>
          <w:p>
            <w:pPr>
              <w:pStyle w:val="TableContents"/>
              <w:bidi w:val="0"/>
              <w:spacing w:before="0" w:after="283"/>
              <w:jc w:val="right"/>
              <w:rPr/>
            </w:pPr>
            <w:r>
              <w:rPr/>
              <w:t>2,666,130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783" w:type="dxa"/>
            <w:tcBorders/>
            <w:shd w:fill="CCEEFF" w:val="clear"/>
            <w:vAlign w:val="center"/>
          </w:tcPr>
          <w:p>
            <w:pPr>
              <w:pStyle w:val="TableContents"/>
              <w:bidi w:val="0"/>
              <w:spacing w:before="0" w:after="283"/>
              <w:jc w:val="right"/>
              <w:rPr/>
            </w:pPr>
            <w:r>
              <w:rPr/>
              <w:t>2,083,170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368" w:type="dxa"/>
            <w:tcBorders/>
            <w:shd w:fill="CCEEFF" w:val="clear"/>
            <w:vAlign w:val="center"/>
          </w:tcPr>
          <w:p>
            <w:pPr>
              <w:pStyle w:val="TableContents"/>
              <w:bidi w:val="0"/>
              <w:spacing w:before="0" w:after="283"/>
              <w:jc w:val="right"/>
              <w:rPr/>
            </w:pPr>
            <w:r>
              <w:rPr/>
              <w:t>582,960</w:t>
            </w:r>
          </w:p>
        </w:tc>
        <w:tc>
          <w:tcPr>
            <w:tcW w:w="129"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w:t>
            </w:r>
          </w:p>
        </w:tc>
        <w:tc>
          <w:tcPr>
            <w:tcW w:w="335" w:type="dxa"/>
            <w:tcBorders/>
            <w:shd w:fill="CCEEFF" w:val="clear"/>
            <w:vAlign w:val="center"/>
          </w:tcPr>
          <w:p>
            <w:pPr>
              <w:pStyle w:val="TableContents"/>
              <w:bidi w:val="0"/>
              <w:spacing w:before="0" w:after="283"/>
              <w:jc w:val="left"/>
              <w:rPr/>
            </w:pPr>
            <w:r>
              <w:rPr/>
              <w:t> </w:t>
            </w:r>
          </w:p>
        </w:tc>
      </w:tr>
      <w:tr>
        <w:trPr/>
        <w:tc>
          <w:tcPr>
            <w:tcW w:w="13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associated with Pivotal(11)</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883" w:type="dxa"/>
            <w:tcBorders/>
            <w:vAlign w:val="center"/>
          </w:tcPr>
          <w:p>
            <w:pPr>
              <w:pStyle w:val="TableContents"/>
              <w:bidi w:val="0"/>
              <w:spacing w:before="0" w:after="283"/>
              <w:jc w:val="right"/>
              <w:rPr/>
            </w:pPr>
            <w:r>
              <w:rPr/>
              <w:t>1,799,411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783" w:type="dxa"/>
            <w:tcBorders/>
            <w:vAlign w:val="center"/>
          </w:tcPr>
          <w:p>
            <w:pPr>
              <w:pStyle w:val="TableContents"/>
              <w:bidi w:val="0"/>
              <w:spacing w:before="0" w:after="283"/>
              <w:jc w:val="right"/>
              <w:rPr/>
            </w:pPr>
            <w:r>
              <w:rPr/>
              <w:t>1,249,875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2368" w:type="dxa"/>
            <w:tcBorders/>
            <w:vAlign w:val="center"/>
          </w:tcPr>
          <w:p>
            <w:pPr>
              <w:pStyle w:val="TableContents"/>
              <w:bidi w:val="0"/>
              <w:spacing w:before="0" w:after="283"/>
              <w:jc w:val="right"/>
              <w:rPr/>
            </w:pPr>
            <w:r>
              <w:rPr/>
              <w:t>549,536</w:t>
            </w:r>
          </w:p>
        </w:tc>
        <w:tc>
          <w:tcPr>
            <w:tcW w:w="129"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w:t>
            </w:r>
          </w:p>
        </w:tc>
        <w:tc>
          <w:tcPr>
            <w:tcW w:w="335" w:type="dxa"/>
            <w:tcBorders/>
            <w:vAlign w:val="center"/>
          </w:tcPr>
          <w:p>
            <w:pPr>
              <w:pStyle w:val="TableContents"/>
              <w:bidi w:val="0"/>
              <w:spacing w:before="0" w:after="283"/>
              <w:jc w:val="left"/>
              <w:rPr/>
            </w:pPr>
            <w:r>
              <w:rPr/>
              <w:t> </w:t>
            </w:r>
          </w:p>
        </w:tc>
      </w:tr>
      <w:tr>
        <w:trPr/>
        <w:tc>
          <w:tcPr>
            <w:tcW w:w="13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RA Capital and Associates(12)</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883" w:type="dxa"/>
            <w:tcBorders/>
            <w:shd w:fill="CCEEFF" w:val="clear"/>
            <w:vAlign w:val="center"/>
          </w:tcPr>
          <w:p>
            <w:pPr>
              <w:pStyle w:val="TableContents"/>
              <w:bidi w:val="0"/>
              <w:spacing w:before="0" w:after="283"/>
              <w:jc w:val="right"/>
              <w:rPr/>
            </w:pPr>
            <w:r>
              <w:rPr/>
              <w:t>5,957,103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783" w:type="dxa"/>
            <w:tcBorders/>
            <w:shd w:fill="CCEEFF" w:val="clear"/>
            <w:vAlign w:val="center"/>
          </w:tcPr>
          <w:p>
            <w:pPr>
              <w:pStyle w:val="TableContents"/>
              <w:bidi w:val="0"/>
              <w:spacing w:before="0" w:after="283"/>
              <w:jc w:val="right"/>
              <w:rPr/>
            </w:pPr>
            <w:r>
              <w:rPr/>
              <w:t>3,124,859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368" w:type="dxa"/>
            <w:tcBorders/>
            <w:shd w:fill="CCEEFF" w:val="clear"/>
            <w:vAlign w:val="center"/>
          </w:tcPr>
          <w:p>
            <w:pPr>
              <w:pStyle w:val="TableContents"/>
              <w:bidi w:val="0"/>
              <w:spacing w:before="0" w:after="283"/>
              <w:jc w:val="right"/>
              <w:rPr/>
            </w:pPr>
            <w:r>
              <w:rPr/>
              <w:t>2,832,244</w:t>
            </w:r>
          </w:p>
        </w:tc>
        <w:tc>
          <w:tcPr>
            <w:tcW w:w="129"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4.58</w:t>
            </w:r>
          </w:p>
        </w:tc>
        <w:tc>
          <w:tcPr>
            <w:tcW w:w="335" w:type="dxa"/>
            <w:tcBorders/>
            <w:shd w:fill="CCEEFF" w:val="clear"/>
            <w:vAlign w:val="center"/>
          </w:tcPr>
          <w:p>
            <w:pPr>
              <w:pStyle w:val="TableContents"/>
              <w:bidi w:val="0"/>
              <w:spacing w:before="0" w:after="283"/>
              <w:jc w:val="left"/>
              <w:rPr/>
            </w:pPr>
            <w:r>
              <w:rPr/>
              <w:t>% </w:t>
            </w:r>
          </w:p>
        </w:tc>
      </w:tr>
      <w:tr>
        <w:trPr/>
        <w:tc>
          <w:tcPr>
            <w:tcW w:w="13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Redmile Group, LLC(13)</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883" w:type="dxa"/>
            <w:tcBorders/>
            <w:vAlign w:val="center"/>
          </w:tcPr>
          <w:p>
            <w:pPr>
              <w:pStyle w:val="TableContents"/>
              <w:bidi w:val="0"/>
              <w:spacing w:before="0" w:after="283"/>
              <w:jc w:val="right"/>
              <w:rPr/>
            </w:pPr>
            <w:r>
              <w:rPr/>
              <w:t>833,157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783" w:type="dxa"/>
            <w:tcBorders/>
            <w:vAlign w:val="center"/>
          </w:tcPr>
          <w:p>
            <w:pPr>
              <w:pStyle w:val="TableContents"/>
              <w:bidi w:val="0"/>
              <w:spacing w:before="0" w:after="283"/>
              <w:jc w:val="right"/>
              <w:rPr/>
            </w:pPr>
            <w:r>
              <w:rPr/>
              <w:t>833,157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2368" w:type="dxa"/>
            <w:tcBorders/>
            <w:vAlign w:val="center"/>
          </w:tcPr>
          <w:p>
            <w:pPr>
              <w:pStyle w:val="TableContents"/>
              <w:bidi w:val="0"/>
              <w:spacing w:before="0" w:after="283"/>
              <w:jc w:val="right"/>
              <w:rPr/>
            </w:pPr>
            <w:r>
              <w:rPr/>
              <w:t>0</w:t>
            </w:r>
          </w:p>
        </w:tc>
        <w:tc>
          <w:tcPr>
            <w:tcW w:w="129"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w:t>
            </w:r>
          </w:p>
        </w:tc>
        <w:tc>
          <w:tcPr>
            <w:tcW w:w="335" w:type="dxa"/>
            <w:tcBorders/>
            <w:vAlign w:val="center"/>
          </w:tcPr>
          <w:p>
            <w:pPr>
              <w:pStyle w:val="TableContents"/>
              <w:bidi w:val="0"/>
              <w:spacing w:before="0" w:after="283"/>
              <w:jc w:val="left"/>
              <w:rPr/>
            </w:pPr>
            <w:r>
              <w:rPr/>
              <w:t> </w:t>
            </w:r>
          </w:p>
        </w:tc>
      </w:tr>
      <w:tr>
        <w:trPr/>
        <w:tc>
          <w:tcPr>
            <w:tcW w:w="13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RTW(14)</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883" w:type="dxa"/>
            <w:tcBorders/>
            <w:shd w:fill="CCEEFF" w:val="clear"/>
            <w:vAlign w:val="center"/>
          </w:tcPr>
          <w:p>
            <w:pPr>
              <w:pStyle w:val="TableContents"/>
              <w:bidi w:val="0"/>
              <w:spacing w:before="0" w:after="283"/>
              <w:jc w:val="right"/>
              <w:rPr/>
            </w:pPr>
            <w:r>
              <w:rPr/>
              <w:t>1,249,555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783" w:type="dxa"/>
            <w:tcBorders/>
            <w:shd w:fill="CCEEFF" w:val="clear"/>
            <w:vAlign w:val="center"/>
          </w:tcPr>
          <w:p>
            <w:pPr>
              <w:pStyle w:val="TableContents"/>
              <w:bidi w:val="0"/>
              <w:spacing w:before="0" w:after="283"/>
              <w:jc w:val="right"/>
              <w:rPr/>
            </w:pPr>
            <w:r>
              <w:rPr/>
              <w:t>666,595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368" w:type="dxa"/>
            <w:tcBorders/>
            <w:shd w:fill="CCEEFF" w:val="clear"/>
            <w:vAlign w:val="center"/>
          </w:tcPr>
          <w:p>
            <w:pPr>
              <w:pStyle w:val="TableContents"/>
              <w:bidi w:val="0"/>
              <w:spacing w:before="0" w:after="283"/>
              <w:jc w:val="right"/>
              <w:rPr/>
            </w:pPr>
            <w:r>
              <w:rPr/>
              <w:t>582,960</w:t>
            </w:r>
          </w:p>
        </w:tc>
        <w:tc>
          <w:tcPr>
            <w:tcW w:w="129"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w:t>
            </w:r>
          </w:p>
        </w:tc>
        <w:tc>
          <w:tcPr>
            <w:tcW w:w="335" w:type="dxa"/>
            <w:tcBorders/>
            <w:shd w:fill="CCEEFF" w:val="clear"/>
            <w:vAlign w:val="center"/>
          </w:tcPr>
          <w:p>
            <w:pPr>
              <w:pStyle w:val="TableContents"/>
              <w:bidi w:val="0"/>
              <w:spacing w:before="0" w:after="283"/>
              <w:jc w:val="left"/>
              <w:rPr/>
            </w:pPr>
            <w:r>
              <w:rPr/>
              <w:t> </w:t>
            </w:r>
          </w:p>
        </w:tc>
      </w:tr>
      <w:tr>
        <w:trPr/>
        <w:tc>
          <w:tcPr>
            <w:tcW w:w="13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Spruce Street(15)</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883" w:type="dxa"/>
            <w:tcBorders/>
            <w:vAlign w:val="center"/>
          </w:tcPr>
          <w:p>
            <w:pPr>
              <w:pStyle w:val="TableContents"/>
              <w:bidi w:val="0"/>
              <w:spacing w:before="0" w:after="283"/>
              <w:jc w:val="right"/>
              <w:rPr/>
            </w:pPr>
            <w:r>
              <w:rPr/>
              <w:t>1,249,945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783" w:type="dxa"/>
            <w:tcBorders/>
            <w:vAlign w:val="center"/>
          </w:tcPr>
          <w:p>
            <w:pPr>
              <w:pStyle w:val="TableContents"/>
              <w:bidi w:val="0"/>
              <w:spacing w:before="0" w:after="283"/>
              <w:jc w:val="right"/>
              <w:rPr/>
            </w:pPr>
            <w:r>
              <w:rPr/>
              <w:t>1,249,945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2368" w:type="dxa"/>
            <w:tcBorders/>
            <w:vAlign w:val="center"/>
          </w:tcPr>
          <w:p>
            <w:pPr>
              <w:pStyle w:val="TableContents"/>
              <w:bidi w:val="0"/>
              <w:spacing w:before="0" w:after="283"/>
              <w:jc w:val="right"/>
              <w:rPr/>
            </w:pPr>
            <w:r>
              <w:rPr/>
              <w:t>0</w:t>
            </w:r>
          </w:p>
        </w:tc>
        <w:tc>
          <w:tcPr>
            <w:tcW w:w="129"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w:t>
            </w:r>
          </w:p>
        </w:tc>
        <w:tc>
          <w:tcPr>
            <w:tcW w:w="335" w:type="dxa"/>
            <w:tcBorders/>
            <w:vAlign w:val="center"/>
          </w:tcPr>
          <w:p>
            <w:pPr>
              <w:pStyle w:val="TableContents"/>
              <w:bidi w:val="0"/>
              <w:spacing w:before="0" w:after="283"/>
              <w:jc w:val="left"/>
              <w:rPr/>
            </w:pPr>
            <w:r>
              <w:rPr/>
              <w:t> </w:t>
            </w:r>
          </w:p>
        </w:tc>
      </w:tr>
      <w:tr>
        <w:trPr/>
        <w:tc>
          <w:tcPr>
            <w:tcW w:w="13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Citadel CEMF Investments Ltd.(16)</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883" w:type="dxa"/>
            <w:tcBorders/>
            <w:shd w:fill="CCEEFF" w:val="clear"/>
            <w:vAlign w:val="center"/>
          </w:tcPr>
          <w:p>
            <w:pPr>
              <w:pStyle w:val="TableContents"/>
              <w:bidi w:val="0"/>
              <w:spacing w:before="0" w:after="283"/>
              <w:jc w:val="right"/>
              <w:rPr/>
            </w:pPr>
            <w:r>
              <w:rPr/>
              <w:t>666,595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783" w:type="dxa"/>
            <w:tcBorders/>
            <w:shd w:fill="CCEEFF" w:val="clear"/>
            <w:vAlign w:val="center"/>
          </w:tcPr>
          <w:p>
            <w:pPr>
              <w:pStyle w:val="TableContents"/>
              <w:bidi w:val="0"/>
              <w:spacing w:before="0" w:after="283"/>
              <w:jc w:val="right"/>
              <w:rPr/>
            </w:pPr>
            <w:r>
              <w:rPr/>
              <w:t>666,595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368" w:type="dxa"/>
            <w:tcBorders/>
            <w:shd w:fill="CCEEFF" w:val="clear"/>
            <w:vAlign w:val="center"/>
          </w:tcPr>
          <w:p>
            <w:pPr>
              <w:pStyle w:val="TableContents"/>
              <w:bidi w:val="0"/>
              <w:spacing w:before="0" w:after="283"/>
              <w:jc w:val="right"/>
              <w:rPr/>
            </w:pPr>
            <w:r>
              <w:rPr/>
              <w:t>0</w:t>
            </w:r>
          </w:p>
        </w:tc>
        <w:tc>
          <w:tcPr>
            <w:tcW w:w="129"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w:t>
            </w:r>
          </w:p>
        </w:tc>
        <w:tc>
          <w:tcPr>
            <w:tcW w:w="335" w:type="dxa"/>
            <w:tcBorders/>
            <w:shd w:fill="CCEEFF" w:val="clear"/>
            <w:vAlign w:val="center"/>
          </w:tcPr>
          <w:p>
            <w:pPr>
              <w:pStyle w:val="TableContents"/>
              <w:bidi w:val="0"/>
              <w:spacing w:before="0" w:after="283"/>
              <w:jc w:val="left"/>
              <w:rPr/>
            </w:pPr>
            <w:r>
              <w:rPr/>
              <w:t> </w:t>
            </w:r>
          </w:p>
        </w:tc>
      </w:tr>
      <w:tr>
        <w:trPr/>
        <w:tc>
          <w:tcPr>
            <w:tcW w:w="13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Trails Edge Biotechnology Master Fund, LP(17)</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883" w:type="dxa"/>
            <w:tcBorders/>
            <w:vAlign w:val="center"/>
          </w:tcPr>
          <w:p>
            <w:pPr>
              <w:pStyle w:val="TableContents"/>
              <w:bidi w:val="0"/>
              <w:spacing w:before="0" w:after="283"/>
              <w:jc w:val="right"/>
              <w:rPr/>
            </w:pPr>
            <w:r>
              <w:rPr/>
              <w:t>2,374,879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783" w:type="dxa"/>
            <w:tcBorders/>
            <w:vAlign w:val="center"/>
          </w:tcPr>
          <w:p>
            <w:pPr>
              <w:pStyle w:val="TableContents"/>
              <w:bidi w:val="0"/>
              <w:spacing w:before="0" w:after="283"/>
              <w:jc w:val="right"/>
              <w:rPr/>
            </w:pPr>
            <w:r>
              <w:rPr/>
              <w:t>2,374,879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2368" w:type="dxa"/>
            <w:tcBorders/>
            <w:vAlign w:val="center"/>
          </w:tcPr>
          <w:p>
            <w:pPr>
              <w:pStyle w:val="TableContents"/>
              <w:bidi w:val="0"/>
              <w:spacing w:before="0" w:after="283"/>
              <w:jc w:val="right"/>
              <w:rPr/>
            </w:pPr>
            <w:r>
              <w:rPr/>
              <w:t>0</w:t>
            </w:r>
          </w:p>
        </w:tc>
        <w:tc>
          <w:tcPr>
            <w:tcW w:w="129"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w:t>
            </w:r>
          </w:p>
        </w:tc>
        <w:tc>
          <w:tcPr>
            <w:tcW w:w="335" w:type="dxa"/>
            <w:tcBorders/>
            <w:vAlign w:val="center"/>
          </w:tcPr>
          <w:p>
            <w:pPr>
              <w:pStyle w:val="TableContents"/>
              <w:bidi w:val="0"/>
              <w:spacing w:before="0" w:after="283"/>
              <w:jc w:val="left"/>
              <w:rPr/>
            </w:pPr>
            <w:r>
              <w:rPr/>
              <w:t> </w:t>
            </w:r>
          </w:p>
        </w:tc>
      </w:tr>
      <w:tr>
        <w:trPr/>
        <w:tc>
          <w:tcPr>
            <w:tcW w:w="13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Wellington Biomedical Innovation Master Investors (Cayman) II L.P.(18)</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883" w:type="dxa"/>
            <w:tcBorders/>
            <w:shd w:fill="CCEEFF" w:val="clear"/>
            <w:vAlign w:val="center"/>
          </w:tcPr>
          <w:p>
            <w:pPr>
              <w:pStyle w:val="TableContents"/>
              <w:bidi w:val="0"/>
              <w:spacing w:before="0" w:after="283"/>
              <w:jc w:val="right"/>
              <w:rPr/>
            </w:pPr>
            <w:r>
              <w:rPr/>
              <w:t>2,123,995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783" w:type="dxa"/>
            <w:tcBorders/>
            <w:shd w:fill="CCEEFF" w:val="clear"/>
            <w:vAlign w:val="center"/>
          </w:tcPr>
          <w:p>
            <w:pPr>
              <w:pStyle w:val="TableContents"/>
              <w:bidi w:val="0"/>
              <w:spacing w:before="0" w:after="283"/>
              <w:jc w:val="right"/>
              <w:rPr/>
            </w:pPr>
            <w:r>
              <w:rPr/>
              <w:t>666,595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368" w:type="dxa"/>
            <w:tcBorders/>
            <w:shd w:fill="CCEEFF" w:val="clear"/>
            <w:vAlign w:val="center"/>
          </w:tcPr>
          <w:p>
            <w:pPr>
              <w:pStyle w:val="TableContents"/>
              <w:bidi w:val="0"/>
              <w:spacing w:before="0" w:after="283"/>
              <w:jc w:val="right"/>
              <w:rPr/>
            </w:pPr>
            <w:r>
              <w:rPr/>
              <w:t>1,457,400</w:t>
            </w:r>
          </w:p>
        </w:tc>
        <w:tc>
          <w:tcPr>
            <w:tcW w:w="129"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2.36</w:t>
            </w:r>
          </w:p>
        </w:tc>
        <w:tc>
          <w:tcPr>
            <w:tcW w:w="335" w:type="dxa"/>
            <w:tcBorders/>
            <w:shd w:fill="CCEEFF" w:val="clear"/>
            <w:vAlign w:val="center"/>
          </w:tcPr>
          <w:p>
            <w:pPr>
              <w:pStyle w:val="TableContents"/>
              <w:bidi w:val="0"/>
              <w:spacing w:before="0" w:after="283"/>
              <w:jc w:val="left"/>
              <w:rPr/>
            </w:pPr>
            <w:r>
              <w:rPr/>
              <w:t>% </w:t>
            </w:r>
          </w:p>
        </w:tc>
      </w:tr>
      <w:tr>
        <w:trPr/>
        <w:tc>
          <w:tcPr>
            <w:tcW w:w="13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Certain Unnamed Non-Affiliate Selling Stockholders (19)</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883" w:type="dxa"/>
            <w:tcBorders/>
            <w:vAlign w:val="center"/>
          </w:tcPr>
          <w:p>
            <w:pPr>
              <w:pStyle w:val="TableContents"/>
              <w:bidi w:val="0"/>
              <w:spacing w:before="0" w:after="283"/>
              <w:jc w:val="right"/>
              <w:rPr/>
            </w:pPr>
            <w:r>
              <w:rPr/>
              <w:t>15,183,713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783" w:type="dxa"/>
            <w:tcBorders/>
            <w:vAlign w:val="center"/>
          </w:tcPr>
          <w:p>
            <w:pPr>
              <w:pStyle w:val="TableContents"/>
              <w:bidi w:val="0"/>
              <w:spacing w:before="0" w:after="283"/>
              <w:jc w:val="right"/>
              <w:rPr/>
            </w:pPr>
            <w:r>
              <w:rPr/>
              <w:t>4,415,946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2368" w:type="dxa"/>
            <w:tcBorders/>
            <w:vAlign w:val="center"/>
          </w:tcPr>
          <w:p>
            <w:pPr>
              <w:pStyle w:val="TableContents"/>
              <w:bidi w:val="0"/>
              <w:spacing w:before="0" w:after="283"/>
              <w:jc w:val="right"/>
              <w:rPr/>
            </w:pPr>
            <w:r>
              <w:rPr/>
              <w:t>10,767,767</w:t>
            </w:r>
          </w:p>
        </w:tc>
        <w:tc>
          <w:tcPr>
            <w:tcW w:w="129"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17.43</w:t>
            </w:r>
          </w:p>
        </w:tc>
        <w:tc>
          <w:tcPr>
            <w:tcW w:w="335" w:type="dxa"/>
            <w:tcBorders/>
            <w:vAlign w:val="center"/>
          </w:tcPr>
          <w:p>
            <w:pPr>
              <w:pStyle w:val="TableContents"/>
              <w:bidi w:val="0"/>
              <w:spacing w:before="0" w:after="283"/>
              <w:jc w:val="left"/>
              <w:rPr/>
            </w:pPr>
            <w:r>
              <w:rPr/>
              <w:t>% </w:t>
            </w:r>
          </w:p>
        </w:tc>
      </w:tr>
      <w:tr>
        <w:trPr/>
        <w:tc>
          <w:tcPr>
            <w:tcW w:w="1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pBdr>
                <w:top w:val="single" w:sz="2" w:space="1" w:color="000000"/>
              </w:pBdr>
              <w:bidi w:val="0"/>
              <w:spacing w:before="0" w:after="0"/>
              <w:jc w:val="left"/>
              <w:rPr/>
            </w:pPr>
            <w:r>
              <w:rPr/>
              <w:t> </w:t>
            </w:r>
          </w:p>
        </w:tc>
        <w:tc>
          <w:tcPr>
            <w:tcW w:w="1883"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pBdr>
                <w:top w:val="single" w:sz="2" w:space="1" w:color="000000"/>
              </w:pBdr>
              <w:bidi w:val="0"/>
              <w:spacing w:before="0" w:after="0"/>
              <w:jc w:val="left"/>
              <w:rPr/>
            </w:pPr>
            <w:r>
              <w:rPr/>
              <w:t> </w:t>
            </w:r>
          </w:p>
        </w:tc>
        <w:tc>
          <w:tcPr>
            <w:tcW w:w="1783"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pBdr>
                <w:top w:val="single" w:sz="2" w:space="1" w:color="000000"/>
              </w:pBdr>
              <w:bidi w:val="0"/>
              <w:spacing w:before="0" w:after="0"/>
              <w:jc w:val="left"/>
              <w:rPr/>
            </w:pPr>
            <w:r>
              <w:rPr/>
              <w:t> </w:t>
            </w:r>
          </w:p>
        </w:tc>
        <w:tc>
          <w:tcPr>
            <w:tcW w:w="2368" w:type="dxa"/>
            <w:tcBorders/>
            <w:vAlign w:val="center"/>
          </w:tcPr>
          <w:p>
            <w:pPr>
              <w:pStyle w:val="TableContents"/>
              <w:pBdr>
                <w:top w:val="single" w:sz="2" w:space="1" w:color="000000"/>
              </w:pBdr>
              <w:bidi w:val="0"/>
              <w:spacing w:before="0" w:after="0"/>
              <w:jc w:val="left"/>
              <w:rPr/>
            </w:pPr>
            <w:r>
              <w:rPr/>
              <w:t> </w:t>
            </w:r>
          </w:p>
        </w:tc>
        <w:tc>
          <w:tcPr>
            <w:tcW w:w="129"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29" w:type="dxa"/>
            <w:tcBorders/>
            <w:vAlign w:val="center"/>
          </w:tcPr>
          <w:p>
            <w:pPr>
              <w:pStyle w:val="TableContents"/>
              <w:pBdr>
                <w:top w:val="single" w:sz="2" w:space="1" w:color="000000"/>
              </w:pBdr>
              <w:bidi w:val="0"/>
              <w:spacing w:before="0" w:after="0"/>
              <w:jc w:val="left"/>
              <w:rPr/>
            </w:pPr>
            <w:r>
              <w:rPr/>
              <w:t> </w:t>
            </w:r>
          </w:p>
        </w:tc>
        <w:tc>
          <w:tcPr>
            <w:tcW w:w="1207" w:type="dxa"/>
            <w:tcBorders/>
            <w:vAlign w:val="center"/>
          </w:tcPr>
          <w:p>
            <w:pPr>
              <w:pStyle w:val="TableContents"/>
              <w:pBdr>
                <w:top w:val="single" w:sz="2" w:space="1" w:color="000000"/>
              </w:pBdr>
              <w:bidi w:val="0"/>
              <w:spacing w:before="0" w:after="0"/>
              <w:jc w:val="left"/>
              <w:rPr/>
            </w:pPr>
            <w:r>
              <w:rPr/>
              <w:t> </w:t>
            </w:r>
          </w:p>
        </w:tc>
        <w:tc>
          <w:tcPr>
            <w:tcW w:w="335" w:type="dxa"/>
            <w:tcBorders/>
            <w:vAlign w:val="center"/>
          </w:tcPr>
          <w:p>
            <w:pPr>
              <w:pStyle w:val="TableContents"/>
              <w:bidi w:val="0"/>
              <w:spacing w:before="0" w:after="283"/>
              <w:jc w:val="left"/>
              <w:rPr/>
            </w:pPr>
            <w:r>
              <w:rPr/>
              <w:t> </w:t>
            </w:r>
          </w:p>
        </w:tc>
      </w:tr>
      <w:tr>
        <w:trPr/>
        <w:tc>
          <w:tcPr>
            <w:tcW w:w="130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883" w:type="dxa"/>
            <w:tcBorders/>
            <w:shd w:fill="CCEEFF" w:val="clear"/>
            <w:vAlign w:val="center"/>
          </w:tcPr>
          <w:p>
            <w:pPr>
              <w:pStyle w:val="TableContents"/>
              <w:bidi w:val="0"/>
              <w:spacing w:before="0" w:after="283"/>
              <w:jc w:val="right"/>
              <w:rPr>
                <w:b/>
              </w:rPr>
            </w:pPr>
            <w:r>
              <w:rPr>
                <w:b/>
              </w:rPr>
              <w:t>50,605,303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783" w:type="dxa"/>
            <w:tcBorders/>
            <w:shd w:fill="CCEEFF" w:val="clear"/>
            <w:vAlign w:val="center"/>
          </w:tcPr>
          <w:p>
            <w:pPr>
              <w:pStyle w:val="TableContents"/>
              <w:bidi w:val="0"/>
              <w:spacing w:before="0" w:after="283"/>
              <w:jc w:val="right"/>
              <w:rPr>
                <w:b/>
              </w:rPr>
            </w:pPr>
            <w:r>
              <w:rPr>
                <w:b/>
              </w:rPr>
              <w:t>29,164,045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368" w:type="dxa"/>
            <w:tcBorders/>
            <w:shd w:fill="CCEEFF" w:val="clear"/>
            <w:vAlign w:val="center"/>
          </w:tcPr>
          <w:p>
            <w:pPr>
              <w:pStyle w:val="TableContents"/>
              <w:bidi w:val="0"/>
              <w:spacing w:before="0" w:after="283"/>
              <w:jc w:val="right"/>
              <w:rPr>
                <w:b/>
              </w:rPr>
            </w:pPr>
            <w:r>
              <w:rPr>
                <w:b/>
              </w:rPr>
              <w:t>21,441,258</w:t>
            </w:r>
          </w:p>
        </w:tc>
        <w:tc>
          <w:tcPr>
            <w:tcW w:w="129"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b/>
              </w:rPr>
            </w:pPr>
            <w:r>
              <w:rPr>
                <w:b/>
              </w:rPr>
              <w:t>34.71</w:t>
            </w:r>
          </w:p>
        </w:tc>
        <w:tc>
          <w:tcPr>
            <w:tcW w:w="335" w:type="dxa"/>
            <w:tcBorders/>
            <w:shd w:fill="CCEEFF" w:val="clear"/>
            <w:vAlign w:val="center"/>
          </w:tcPr>
          <w:p>
            <w:pPr>
              <w:pStyle w:val="TableContents"/>
              <w:bidi w:val="0"/>
              <w:spacing w:before="0" w:after="283"/>
              <w:jc w:val="left"/>
              <w:rPr>
                <w:b/>
              </w:rPr>
            </w:pPr>
            <w:r>
              <w:rPr>
                <w:b/>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t>(1)</w:t>
            </w:r>
          </w:p>
        </w:tc>
        <w:tc>
          <w:tcPr>
            <w:tcW w:w="99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Balyasny Asset Management L.P. is the investment adviser of Atlas Private Holdings (Cayman) Ltd. Dmitry Balyasny, via intermediate entities, manages Balyasny Asset Management L.P. and has voting and investment control over the reported securities. The address for Atlas Private Holdings (Cayman) Ltd. and Balyasny Asset Management L.P. is 444 West Lake Street, 50th Floor, Chicago, IL 60606.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(2)</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1,187,896 shares of common stock purchased by Caligan Partners Master Fund LP, (ii) 190,426 shares of common stock purchased by Boothbay Absolute Return Strategies LP, (iii) 89,984 shares of common stock purchased by Boothbay Diversified Alpha Master Fund LP and (iv) 31,446 shares of common stock purchased by Highvista Biotechnology SMA Fund LP, or, together, the Caligan Funds, in the PIPE Financing. Caligan Partners, LP, or Caligan, serves indirectly as the investment manager to the Caligan Funds, and certain related managed accounts represented in this row. David Johnson is the Managing Partner of Caligan and the Managing Member of Caligan Partners GP LLC, the general partner of Caligan, and may be deemed to have voting and investment power over the securities held by Caligan and the Caligan Funds.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(3)</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Shares of our common stock beneficially owned prior to the offering represent (i) 640,555 shares of common stock purchased by Deep Track Biotechnology Master Fund, Ltd. and 192,741 shares of common stock purchased by Deep Track Special Opportunities Fund, LP., or, together with Deep Track Biotechnology Master Fund, Ltd., Deep Track, in the PIPE Financing and (ii) 2,482,309 shares of common stock held by Deep Track. David Kroin is the managing member of Deep Track Capital GP, LLC, or the GP. The GP is the general partner of Deep Track Capital, LP, or the IM. The IM is the investment manager of Deep Track Biotechnology Master Fund, Ltd.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(4)</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Eventide Healthcare Innovation Fund I GP LLC, or the GP, is the general partner of Eventide Healthcare Innovation Fund I LP, or EHIF I, and may be deemed to have voting and investment power over the shares held by EHIF I. Eventide Asset Management, LLC, or Eventide, the Managing Member of the GP, and Robin John, Chief Executive Officer of Eventide, may also be deemed to have voting and investment power over the shares held by EHIF I. Finny Kuruvilla and I-hing Shih are members of EHIF I’s Investment Committee and may be deemed to share voting and investment power over the shares held by EHIF I. Each of the GP, Eventide, Mr. John, Mr. Kuruvilla, and Ms. Shih disclaims beneficial ownership of such shares except to the extent of their respective pecuniary interests therein. The address of EHIF I is c/o Eventide Asset Management, LLC, 1 International Place, Suite 4210, Boston, MA 02110.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(5)</w:t>
            </w:r>
          </w:p>
        </w:tc>
        <w:tc>
          <w:tcPr>
            <w:tcW w:w="99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Franklin Advisers, Inc., is the investment adviser to Franklin Templeton Investment Funds - Franklin Biotechnology Discovery Fund, or Franklin Templeton. Franklin Templeton has one or more portfolio managers appointed by and serving at the pleasure of Franklin Templeton who make decisions with respect to the disposition of the shares of Common Stock offered hereby.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(6)</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Shares of our common stock beneficially owned prior to the offering represent (i) 1,370,250 shares of common stock purchased by the Janus Henderson Biotech Innovation Master Fund Limited and 296,343 shares of common stock purchased by Janus Henderson Biotech Innovation Master Fund II Limited, or, together, the Janus Funds, in the PIPE Financing and (ii) 728,700 shares of common stock held by the Janus Funds. The shares held by the Janus Funds may be deemed to be beneficially owned by Janus Henderson Investors US LLC, or Janus, an investment adviser registered under the Investment Advisers Act of 1940, who acts as investment adviser for the Janus Funds and has the ability to make decisions with respect to the voting and disposition of the shares subject to the oversight of the board of directors of the Janus Funds. Under the terms of its management contracts with the Janus Funds, Janus has overall responsibility for directing the investments of the Janus Funds in accordance with the Janus Funds’ investment objective, policies and limitations. The Janus Funds have one or more portfolio managers appointed by and serving at the pleasure of Janus who make decisions with respect to the disposition of the shares of Common Stock offered hereby. The address for Janus is 151 Detroit Street, Denver, CO 80206. The portfolio managers for the Janus Funds are: Andrew Acker, Daniel S. Lyons and Agustin Mohedas.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(7)</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Nantahala Capital Management, LLC is a Registered Investment Adviser and has been delegated the legal power to vote and/or direct the disposition of such securities on behalf of the selling stockholder as a General Partner, Investment Manager, or Sub-Advisor and would be considered the beneficial owner of such securities. The above shall not be deemed to be an admission by the record owners or the selling stockholder that they are themselves beneficial owners of these securities for purposes of Section 13(d) of the Securities Exchange Act of 1934, as amended, or the Exchange Act, or any other purpose. Wilmot Harkey and Daniel Mack are managing members of Nantahala Capital Management, LLC and may be deemed to have voting and dispositive power over the shares held by the selling stockholder.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(8)</w:t>
            </w:r>
          </w:p>
        </w:tc>
        <w:tc>
          <w:tcPr>
            <w:tcW w:w="99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Shares of our common stock beneficially owned prior to the offering represent (i) 1,666,592 shares of common stock purchased by Novo Holdings A/S (as defined below) in the PIPE Financing and (ii) 1,457,400 shares of common stock held by Novo Holdings A/S. Novo Holdings A/S has the sole power to vote and dispose of the shares, and no individual or other entity is deemed to hold any beneficial ownership in the shares.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(9)</w:t>
            </w:r>
          </w:p>
        </w:tc>
        <w:tc>
          <w:tcPr>
            <w:tcW w:w="99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Octagon Capital Advisors LP is the investment advisor of Octagon Investments Master Fund LP. Ting Jia, as the managing member of Octagon Capital Advisors LP, may be deemed to beneficially own the shares of common stock held by Octagon Investments Master Fund LP. The address of this entity is 654 Madison Avenue, 21st Floor, New York, NY 10065. </w:t>
            </w:r>
          </w:p>
        </w:tc>
      </w:tr>
    </w:tbl>
    <w:tbl>
      <w:tblPr>
        <w:tblW w:w="10205" w:type="dxa"/>
        <w:jc w:val="left"/>
        <w:tblInd w:w="0" w:type="dxa"/>
        <w:tblLayout w:type="fixed"/>
        <w:tblCellMar>
          <w:top w:w="0" w:type="dxa"/>
          <w:left w:w="0" w:type="dxa"/>
          <w:bottom w:w="0" w:type="dxa"/>
          <w:right w:w="0" w:type="dxa"/>
        </w:tblCellMar>
      </w:tblPr>
      <w:tblGrid>
        <w:gridCol w:w="359"/>
        <w:gridCol w:w="9846"/>
      </w:tblGrid>
      <w:tr>
        <w:trPr/>
        <w:tc>
          <w:tcPr>
            <w:tcW w:w="359" w:type="dxa"/>
            <w:tcBorders/>
            <w:vAlign w:val="center"/>
          </w:tcPr>
          <w:p>
            <w:pPr>
              <w:pStyle w:val="TableContents"/>
              <w:bidi w:val="0"/>
              <w:spacing w:before="0" w:after="283"/>
              <w:jc w:val="left"/>
              <w:rPr/>
            </w:pPr>
            <w:r>
              <w:rPr/>
              <w:t>(10)</w:t>
            </w:r>
          </w:p>
        </w:tc>
        <w:tc>
          <w:tcPr>
            <w:tcW w:w="98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2,409,936 shares of Common Stock held by Paradigm BioCapital International Fund Ltd., or Paradigm BioCapital Fund, and (ii) 256,194 shares of Common Stock held by Paradigm BioCapital Advisors LP, as discretionary investment manager on behalf of a separate account client solely with respect to the assets for which Paradigm BioCapital Advisors LP acts as its investment manager, or the Separate Account. The shares of Common Stock may be deemed to be indirectly beneficially owned by each of Paradigm BioCapital Advisors LP, Paradigm BioCapital Advisors GP LLC, and Senai Asefaw, M.D. Paradigm BioCapital Advisors GP LLC is the general partner of Paradigm BioCapital Advisors LP, and Senai Asefaw, M.D. is the managing member of Paradigm BioCapital Advisors GP LLC. Paradigm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BioCapital Advisors LP is the investment manager of Paradigm BioCapital Fund. Paradigm BioCapital Advisors LP, Paradigm Advisors GP LLC, and Senai Asefaw, M.D. may be deemed to have full investment and voting discretion over the shares of Common Stock held by Paradigm BioCapital Fund and the Separate Account. The address for Paradigm BioCapital Advisors LP is 520 Fifth Avenue, 23rd Floor, New York, NY 10036. The address for Paradigm BioCapital Fund is c/o Walkers Corporate Limited, 190 Elgin Avenue, George Town, Grand Cayman, KY1-9008, Cayman Islands. </w:t>
            </w:r>
          </w:p>
        </w:tc>
      </w:tr>
    </w:tbl>
    <w:tbl>
      <w:tblPr>
        <w:tblW w:w="10205" w:type="dxa"/>
        <w:jc w:val="left"/>
        <w:tblInd w:w="0" w:type="dxa"/>
        <w:tblLayout w:type="fixed"/>
        <w:tblCellMar>
          <w:top w:w="0" w:type="dxa"/>
          <w:left w:w="0" w:type="dxa"/>
          <w:bottom w:w="0" w:type="dxa"/>
          <w:right w:w="0" w:type="dxa"/>
        </w:tblCellMar>
      </w:tblPr>
      <w:tblGrid>
        <w:gridCol w:w="359"/>
        <w:gridCol w:w="9846"/>
      </w:tblGrid>
      <w:tr>
        <w:trPr/>
        <w:tc>
          <w:tcPr>
            <w:tcW w:w="359" w:type="dxa"/>
            <w:tcBorders/>
            <w:vAlign w:val="center"/>
          </w:tcPr>
          <w:p>
            <w:pPr>
              <w:pStyle w:val="TableContents"/>
              <w:bidi w:val="0"/>
              <w:spacing w:before="0" w:after="283"/>
              <w:jc w:val="left"/>
              <w:rPr/>
            </w:pPr>
            <w:r>
              <w:rPr/>
              <w:t>(11)</w:t>
            </w:r>
          </w:p>
        </w:tc>
        <w:tc>
          <w:tcPr>
            <w:tcW w:w="98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Shares of our common stock beneficially owned prior to the offering represent (i) 1,249,875 shares of common stock purchased by Pivotal bioVenture Partners Fund I, L.P. and its affiliate Permwell Management Limited in the PIPE Financing and (ii) 549,536 shares of common stock held by Pivotal bioVenture Partners Fund I, L.P. Investment and voting decisions with respect to the securities held by Pivotal bioVenture Partners Fund I, L.P. and Permwell Management Limited are made by Mr. Vincent Sai Sing Cheung, Mr. Peter Bisgaard, and Dr. Robert Hopfner, who are both the members of the Investment Committee of Pivotal bioVenture Partners Fund I G.P., L.P. and the individuals with make investment and voting decisions for shares of the Company’s securities held by Permwell Management Limited. </w:t>
            </w:r>
          </w:p>
        </w:tc>
      </w:tr>
    </w:tbl>
    <w:tbl>
      <w:tblPr>
        <w:tblW w:w="10205" w:type="dxa"/>
        <w:jc w:val="left"/>
        <w:tblInd w:w="0" w:type="dxa"/>
        <w:tblLayout w:type="fixed"/>
        <w:tblCellMar>
          <w:top w:w="0" w:type="dxa"/>
          <w:left w:w="0" w:type="dxa"/>
          <w:bottom w:w="0" w:type="dxa"/>
          <w:right w:w="0" w:type="dxa"/>
        </w:tblCellMar>
      </w:tblPr>
      <w:tblGrid>
        <w:gridCol w:w="356"/>
        <w:gridCol w:w="9849"/>
      </w:tblGrid>
      <w:tr>
        <w:trPr/>
        <w:tc>
          <w:tcPr>
            <w:tcW w:w="356" w:type="dxa"/>
            <w:tcBorders/>
            <w:vAlign w:val="center"/>
          </w:tcPr>
          <w:p>
            <w:pPr>
              <w:pStyle w:val="TableContents"/>
              <w:bidi w:val="0"/>
              <w:spacing w:before="0" w:after="283"/>
              <w:jc w:val="left"/>
              <w:rPr/>
            </w:pPr>
            <w:r>
              <w:rPr/>
              <w:t>(12)</w:t>
            </w:r>
          </w:p>
        </w:tc>
        <w:tc>
          <w:tcPr>
            <w:tcW w:w="98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Shares of our common stock beneficially owned prior to the offering represent (i) 2,968,616 shares of common stock purchased by RA Capital Healthcare Fund, L.P., or RACHF, and 156,243 shares of common stock purchased by RA Capital Nexus Fund IV, L.P., or Nexus, and together, the RA Funds, in the PIPE Financing and (ii) 2,832,244 shares of common stock held by the RA Funds. RA Capital Management, L.P., RACM, is the investment manager for RACHF and Nexus. The general partner of RACHF is RA Capital Healthcare Fund GP, LLC and the general partner of Nexus is RA Capital Nexus Fund III GP, LLC. Peter Kolchinsky and Rajeev Shah are the managing members of such general partners. Each of RACM, RA Capital Healthcare Fund GP, LLC, RA Capital Nexus Fund III GP, LLC, Mr. Kolchinsky and Mr. Shah may be deemed to have voting and investment power over the shares held by the RA Funds. RACM, RA Capital Healthcare Fund GP, LLC, RA Capital Nexus Fund III GP, LLC, Mr. Kolchinsky and Mr. Shah disclaim beneficial ownership of such shares, except to the extent of any pecuniary interest therein. The principal business address of the persons and entities listed above is 200 Berkeley Street, 18th Floor, Boston, MA 02116. </w:t>
            </w:r>
          </w:p>
        </w:tc>
      </w:tr>
    </w:tbl>
    <w:tbl>
      <w:tblPr>
        <w:tblW w:w="10205" w:type="dxa"/>
        <w:jc w:val="left"/>
        <w:tblInd w:w="0" w:type="dxa"/>
        <w:tblLayout w:type="fixed"/>
        <w:tblCellMar>
          <w:top w:w="0" w:type="dxa"/>
          <w:left w:w="0" w:type="dxa"/>
          <w:bottom w:w="0" w:type="dxa"/>
          <w:right w:w="0" w:type="dxa"/>
        </w:tblCellMar>
      </w:tblPr>
      <w:tblGrid>
        <w:gridCol w:w="356"/>
        <w:gridCol w:w="9849"/>
      </w:tblGrid>
      <w:tr>
        <w:trPr/>
        <w:tc>
          <w:tcPr>
            <w:tcW w:w="356" w:type="dxa"/>
            <w:tcBorders/>
            <w:vAlign w:val="center"/>
          </w:tcPr>
          <w:p>
            <w:pPr>
              <w:pStyle w:val="TableContents"/>
              <w:bidi w:val="0"/>
              <w:spacing w:before="0" w:after="283"/>
              <w:jc w:val="left"/>
              <w:rPr/>
            </w:pPr>
            <w:r>
              <w:rPr/>
              <w:t>(13)</w:t>
            </w:r>
          </w:p>
        </w:tc>
        <w:tc>
          <w:tcPr>
            <w:tcW w:w="98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144,381 shares of common stock purchased by Redmile Capital Fund, LP, (ii) 355,653 shares of common stock purchased by Redmile Capital Offshore Master Fund, Ltd., (iii) 164,807 shares of common stock purchased by Redmile Strategic Long Only Trading Sub, Ltd. and (iv) 168,316 shares of common stock purchased by Redmile Strategic Trading Sub, Ltd. in the PIPE Financing. Redmile Group, LLC, or Redmile, is the investment manager to Redmile Capital Fund, LP, Redmile Capital Offshore Master Fund, Ltd., Redmile Strategic Long Only Trading Sub, Ltd. and Redmile Strategic Trading Sub, Ltd., or, collectively, the Redmile Funds, and in such capacity, exercises voting and investment power over all of the securities held by such entities and may be deemed to be the beneficial owner of these securities. Jeremy C. Green serves as the principal of Redmile and also may be deemed to be the beneficial owner of these securities. Redmile and Mr. Green each disclaim beneficial ownership of these shares, except to the extent of its or his pecuniary interest in such shares, if any. The address of the Redmile Funds is c/o Redmile Group, LLC, 900 Larkspur Landing Circle, Suite 270, Larkspur, CA 94939. </w:t>
            </w:r>
          </w:p>
        </w:tc>
      </w:tr>
    </w:tbl>
    <w:tbl>
      <w:tblPr>
        <w:tblW w:w="10205" w:type="dxa"/>
        <w:jc w:val="left"/>
        <w:tblInd w:w="0" w:type="dxa"/>
        <w:tblLayout w:type="fixed"/>
        <w:tblCellMar>
          <w:top w:w="0" w:type="dxa"/>
          <w:left w:w="0" w:type="dxa"/>
          <w:bottom w:w="0" w:type="dxa"/>
          <w:right w:w="0" w:type="dxa"/>
        </w:tblCellMar>
      </w:tblPr>
      <w:tblGrid>
        <w:gridCol w:w="356"/>
        <w:gridCol w:w="9849"/>
      </w:tblGrid>
      <w:tr>
        <w:trPr/>
        <w:tc>
          <w:tcPr>
            <w:tcW w:w="356" w:type="dxa"/>
            <w:tcBorders/>
            <w:vAlign w:val="center"/>
          </w:tcPr>
          <w:p>
            <w:pPr>
              <w:pStyle w:val="TableContents"/>
              <w:bidi w:val="0"/>
              <w:spacing w:before="0" w:after="283"/>
              <w:jc w:val="left"/>
              <w:rPr/>
            </w:pPr>
            <w:r>
              <w:rPr/>
              <w:t>(14)</w:t>
            </w:r>
          </w:p>
        </w:tc>
        <w:tc>
          <w:tcPr>
            <w:tcW w:w="98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Shares of our common stock beneficially owned prior to the offering represent (i) 346,879 shares of common stock purchased by RTW Master Fund, Ltd., 288,060 shares of common stock purchased by RTW Innovation Master Fund, Ltd. and 31,656 shares of common stock purchased by RTW Biotech Opportunities Operating Ltd., or, together, the RTW Funds, in the PIPE Financing and (ii) 582,960 shares of common stock held by the RTW Funds. RTW Investments, LP, or RTW, in its capacity as the investment manager of the RTW Funds has the power to vote and the power to direct the disposition of the shares held by the RTW Funds. Accordingly, RTW may be deemed to be the beneficial owner of such securities. Roderick Wong, M.D., as the Managing Partner of RTW, has the power to direct the vote and disposition of the securities held by RTW. Dr. Wong disclaims beneficial ownership of the shares held by the RTW Funds, except to the extent of his pecuniary interest therein. The address and principal office of RTW Investments, LP is 40 10th Avenue, Floor 7, New York, NY 10014, and the address of Dr. Wong and each of the RTW Funds is c/o RTW Investments, LP, 40 10th Avenue, Floor 7, New York, NY 10014.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59"/>
        <w:gridCol w:w="9846"/>
      </w:tblGrid>
      <w:tr>
        <w:trPr/>
        <w:tc>
          <w:tcPr>
            <w:tcW w:w="359" w:type="dxa"/>
            <w:tcBorders/>
            <w:vAlign w:val="center"/>
          </w:tcPr>
          <w:p>
            <w:pPr>
              <w:pStyle w:val="TableContents"/>
              <w:bidi w:val="0"/>
              <w:spacing w:before="0" w:after="283"/>
              <w:jc w:val="left"/>
              <w:rPr/>
            </w:pPr>
            <w:r>
              <w:rPr/>
              <w:t>(15)</w:t>
            </w:r>
          </w:p>
        </w:tc>
        <w:tc>
          <w:tcPr>
            <w:tcW w:w="98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219,485 shares of common stock purchased by MAP 852 SP, a segregated portfolio of MAP Institutional SPC and (ii) 1,030,460 shares of common stock purchased by Spruce Street Capital Master Fund LPin the PIPE Financing. Spruce Street Capital LP, or Spruce Street, is the investment manager of Spruce Street Master Fund LP, and of MAP 852 SP. Simon Basseyn and Alex Rosen are the managing partners of Spruce Street. These individuals may be deemed to have shared voting and investment power of the securities held by Spruce Street Master Fund LP and MAP 852 SP. Each of these individuals disclaims beneficial ownership of such securities, except to the extent of his or her pecuniary interest therein. The business address of each of the individuals and entities referenced in this footnote is 777 Third Avenue, Suite 1704, New York, NY 10017. </w:t>
            </w:r>
          </w:p>
        </w:tc>
      </w:tr>
    </w:tbl>
    <w:tbl>
      <w:tblPr>
        <w:tblW w:w="10205" w:type="dxa"/>
        <w:jc w:val="left"/>
        <w:tblInd w:w="0" w:type="dxa"/>
        <w:tblLayout w:type="fixed"/>
        <w:tblCellMar>
          <w:top w:w="0" w:type="dxa"/>
          <w:left w:w="0" w:type="dxa"/>
          <w:bottom w:w="0" w:type="dxa"/>
          <w:right w:w="0" w:type="dxa"/>
        </w:tblCellMar>
      </w:tblPr>
      <w:tblGrid>
        <w:gridCol w:w="360"/>
        <w:gridCol w:w="9845"/>
      </w:tblGrid>
      <w:tr>
        <w:trPr/>
        <w:tc>
          <w:tcPr>
            <w:tcW w:w="360" w:type="dxa"/>
            <w:tcBorders/>
            <w:vAlign w:val="center"/>
          </w:tcPr>
          <w:p>
            <w:pPr>
              <w:pStyle w:val="TableContents"/>
              <w:bidi w:val="0"/>
              <w:spacing w:before="0" w:after="283"/>
              <w:jc w:val="left"/>
              <w:rPr/>
            </w:pPr>
            <w:r>
              <w:rPr/>
              <w:t>(16)</w:t>
            </w:r>
          </w:p>
        </w:tc>
        <w:tc>
          <w:tcPr>
            <w:tcW w:w="9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Citadel Advisors LLC is the portfolio manager of Citadel CEMF Investments Ltd. Citadel Advisors Holdings LP, or CAH, is the sole member of Citadel Advisors LLC. Citadel GP LLC, or CGP, is the general partner of CAH. Kenneth Griffin owns a controlling interest in CGP. Mr. Griffin, as the owner of a controlling interest in CGP, may be deemed to have shared power to vote or direct the vote of, and/or shared power to dispose or to direct the disposition over, the Registrable Securities covered by this Questionnaire. This response is not and shall not be construed as an admission that Mr. Griffin or any of the Citadel related entities listed above is the beneficial owner of any securities of the Company other than the securities actually owned by such person (if any). </w:t>
            </w:r>
          </w:p>
        </w:tc>
      </w:tr>
    </w:tbl>
    <w:tbl>
      <w:tblPr>
        <w:tblW w:w="10205" w:type="dxa"/>
        <w:jc w:val="left"/>
        <w:tblInd w:w="0" w:type="dxa"/>
        <w:tblLayout w:type="fixed"/>
        <w:tblCellMar>
          <w:top w:w="0" w:type="dxa"/>
          <w:left w:w="0" w:type="dxa"/>
          <w:bottom w:w="0" w:type="dxa"/>
          <w:right w:w="0" w:type="dxa"/>
        </w:tblCellMar>
      </w:tblPr>
      <w:tblGrid>
        <w:gridCol w:w="365"/>
        <w:gridCol w:w="9840"/>
      </w:tblGrid>
      <w:tr>
        <w:trPr/>
        <w:tc>
          <w:tcPr>
            <w:tcW w:w="365" w:type="dxa"/>
            <w:tcBorders/>
            <w:vAlign w:val="center"/>
          </w:tcPr>
          <w:p>
            <w:pPr>
              <w:pStyle w:val="TableContents"/>
              <w:bidi w:val="0"/>
              <w:spacing w:before="0" w:after="283"/>
              <w:jc w:val="left"/>
              <w:rPr/>
            </w:pPr>
            <w:r>
              <w:rPr/>
              <w:t>(17)</w:t>
            </w:r>
          </w:p>
        </w:tc>
        <w:tc>
          <w:tcPr>
            <w:tcW w:w="9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Trails Edge Capital Partners, LP, or Trails Edge Capital, as the investment manager to Trails Edge Biotechnology Master Fund, LP, or Trails Edge Biotechnology, may be deemed to beneficially own these securities. Mr. Yehudai, as the Chief Investment Officer of Trails Edge Capital, exercises voting and investment discretion with respect to these securities and as such may be deemed to beneficially own such securities. The address of these funds and persons is 3445 Peachtree Road NE, Suite 900, Atlanta, GA 30326. </w:t>
            </w:r>
          </w:p>
        </w:tc>
      </w:tr>
    </w:tbl>
    <w:tbl>
      <w:tblPr>
        <w:tblW w:w="10205" w:type="dxa"/>
        <w:jc w:val="left"/>
        <w:tblInd w:w="0" w:type="dxa"/>
        <w:tblLayout w:type="fixed"/>
        <w:tblCellMar>
          <w:top w:w="0" w:type="dxa"/>
          <w:left w:w="0" w:type="dxa"/>
          <w:bottom w:w="0" w:type="dxa"/>
          <w:right w:w="0" w:type="dxa"/>
        </w:tblCellMar>
      </w:tblPr>
      <w:tblGrid>
        <w:gridCol w:w="358"/>
        <w:gridCol w:w="9847"/>
      </w:tblGrid>
      <w:tr>
        <w:trPr/>
        <w:tc>
          <w:tcPr>
            <w:tcW w:w="358" w:type="dxa"/>
            <w:tcBorders/>
            <w:vAlign w:val="center"/>
          </w:tcPr>
          <w:p>
            <w:pPr>
              <w:pStyle w:val="TableContents"/>
              <w:bidi w:val="0"/>
              <w:spacing w:before="0" w:after="283"/>
              <w:jc w:val="left"/>
              <w:rPr/>
            </w:pPr>
            <w:r>
              <w:rPr/>
              <w:t>(18)</w:t>
            </w:r>
          </w:p>
        </w:tc>
        <w:tc>
          <w:tcPr>
            <w:tcW w:w="98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Shares of our common stock beneficially owned prior to the offering represent (i) 666,595 shares of common stock purchased by Wellington Management Company LLP in the PIPE Financing and (ii) 1,457,400 shares of common stock held by Wellington Management Company LLP. The Stockholder is not affiliated with a broker-dealer participating in retail brokerage, lending, or securities underwriting. The stockholder is advised by Wellington Management Company LLP, or WMC, a registered investment adviser. WMC has the power to vote and dispose the securities pursuant to WMC’s investment management agreement with the stockholder. Wellington Management Company LLP is under common control with Wellington Funds Distributors Inc., a limited-scope broker-dealer registered with FINRA and organized under the laws of Delaware. Wellington Funds Distributors Inc. does not engage in retail brokerage, lending, or securities underwriting. </w:t>
            </w:r>
          </w:p>
        </w:tc>
      </w:tr>
    </w:tbl>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283"/>
              <w:jc w:val="left"/>
              <w:rPr/>
            </w:pPr>
            <w:r>
              <w:rPr/>
              <w:t>(19)</w:t>
            </w:r>
          </w:p>
        </w:tc>
        <w:tc>
          <w:tcPr>
            <w:tcW w:w="98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selling stockholders that are not our affiliates and that, together with their respective affiliates, hold less than 1% of the class of common stock being registered hereby are not individually named in the table above. Each such unnamed selling stockholder may use this prospectus to resell up to 1% of the class of common stock being registered hereby.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127696_20"/>
      <w:bookmarkEnd w:id="20"/>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use any one or more of the following methods when disposing of shares or interests therein: </w:t>
      </w:r>
    </w:p>
    <w:p>
      <w:pPr>
        <w:pStyle w:val="TextBody"/>
        <w:bidi w:val="0"/>
        <w:spacing w:before="0" w:after="0"/>
        <w:jc w:val="left"/>
        <w:rPr/>
      </w:pPr>
      <w:r>
        <w:rPr/>
        <w:t> </w:t>
      </w:r>
    </w:p>
    <w:tbl>
      <w:tblPr>
        <w:tblW w:w="8020" w:type="dxa"/>
        <w:jc w:val="left"/>
        <w:tblInd w:w="0" w:type="dxa"/>
        <w:tblLayout w:type="fixed"/>
        <w:tblCellMar>
          <w:top w:w="0" w:type="dxa"/>
          <w:left w:w="0" w:type="dxa"/>
          <w:bottom w:w="0" w:type="dxa"/>
          <w:right w:w="0" w:type="dxa"/>
        </w:tblCellMar>
      </w:tblPr>
      <w:tblGrid>
        <w:gridCol w:w="75"/>
        <w:gridCol w:w="110"/>
        <w:gridCol w:w="60"/>
        <w:gridCol w:w="77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7420" w:type="dxa"/>
        <w:jc w:val="left"/>
        <w:tblInd w:w="0" w:type="dxa"/>
        <w:tblLayout w:type="fixed"/>
        <w:tblCellMar>
          <w:top w:w="0" w:type="dxa"/>
          <w:left w:w="0" w:type="dxa"/>
          <w:bottom w:w="0" w:type="dxa"/>
          <w:right w:w="0" w:type="dxa"/>
        </w:tblCellMar>
      </w:tblPr>
      <w:tblGrid>
        <w:gridCol w:w="75"/>
        <w:gridCol w:w="110"/>
        <w:gridCol w:w="60"/>
        <w:gridCol w:w="71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6955" w:type="dxa"/>
        <w:jc w:val="left"/>
        <w:tblInd w:w="0" w:type="dxa"/>
        <w:tblLayout w:type="fixed"/>
        <w:tblCellMar>
          <w:top w:w="0" w:type="dxa"/>
          <w:left w:w="0" w:type="dxa"/>
          <w:bottom w:w="0" w:type="dxa"/>
          <w:right w:w="0" w:type="dxa"/>
        </w:tblCellMar>
      </w:tblPr>
      <w:tblGrid>
        <w:gridCol w:w="75"/>
        <w:gridCol w:w="110"/>
        <w:gridCol w:w="60"/>
        <w:gridCol w:w="67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3055" w:type="dxa"/>
        <w:jc w:val="left"/>
        <w:tblInd w:w="0" w:type="dxa"/>
        <w:tblLayout w:type="fixed"/>
        <w:tblCellMar>
          <w:top w:w="0" w:type="dxa"/>
          <w:left w:w="0" w:type="dxa"/>
          <w:bottom w:w="0" w:type="dxa"/>
          <w:right w:w="0" w:type="dxa"/>
        </w:tblCellMar>
      </w:tblPr>
      <w:tblGrid>
        <w:gridCol w:w="75"/>
        <w:gridCol w:w="110"/>
        <w:gridCol w:w="60"/>
        <w:gridCol w:w="2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3550" w:type="dxa"/>
        <w:jc w:val="left"/>
        <w:tblInd w:w="0" w:type="dxa"/>
        <w:tblLayout w:type="fixed"/>
        <w:tblCellMar>
          <w:top w:w="0" w:type="dxa"/>
          <w:left w:w="0" w:type="dxa"/>
          <w:bottom w:w="0" w:type="dxa"/>
          <w:right w:w="0" w:type="dxa"/>
        </w:tblCellMar>
      </w:tblPr>
      <w:tblGrid>
        <w:gridCol w:w="75"/>
        <w:gridCol w:w="110"/>
        <w:gridCol w:w="60"/>
        <w:gridCol w:w="3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short sales and settlement of short sales;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broker-dealers may agree with the selling stockholders to sell a specified number of such shares at a stipulated price per share; </w:t>
            </w:r>
          </w:p>
        </w:tc>
      </w:tr>
    </w:tbl>
    <w:p>
      <w:pPr>
        <w:pStyle w:val="TextBody"/>
        <w:bidi w:val="0"/>
        <w:spacing w:before="0" w:after="0"/>
        <w:jc w:val="left"/>
        <w:rPr/>
      </w:pPr>
      <w:r>
        <w:rPr/>
        <w:t> </w:t>
      </w:r>
    </w:p>
    <w:tbl>
      <w:tblPr>
        <w:tblW w:w="4180" w:type="dxa"/>
        <w:jc w:val="left"/>
        <w:tblInd w:w="0" w:type="dxa"/>
        <w:tblLayout w:type="fixed"/>
        <w:tblCellMar>
          <w:top w:w="0" w:type="dxa"/>
          <w:left w:w="0" w:type="dxa"/>
          <w:bottom w:w="0" w:type="dxa"/>
          <w:right w:w="0" w:type="dxa"/>
        </w:tblCellMar>
      </w:tblPr>
      <w:tblGrid>
        <w:gridCol w:w="75"/>
        <w:gridCol w:w="110"/>
        <w:gridCol w:w="60"/>
        <w:gridCol w:w="3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and </w:t>
            </w:r>
          </w:p>
        </w:tc>
      </w:tr>
    </w:tbl>
    <w:p>
      <w:pPr>
        <w:pStyle w:val="TextBody"/>
        <w:bidi w:val="0"/>
        <w:spacing w:before="0" w:after="0"/>
        <w:jc w:val="left"/>
        <w:rPr/>
      </w:pPr>
      <w:r>
        <w:rPr/>
        <w:t> </w:t>
      </w:r>
    </w:p>
    <w:tbl>
      <w:tblPr>
        <w:tblW w:w="4810" w:type="dxa"/>
        <w:jc w:val="left"/>
        <w:tblInd w:w="0" w:type="dxa"/>
        <w:tblLayout w:type="fixed"/>
        <w:tblCellMar>
          <w:top w:w="0" w:type="dxa"/>
          <w:left w:w="0" w:type="dxa"/>
          <w:bottom w:w="0" w:type="dxa"/>
          <w:right w:w="0" w:type="dxa"/>
        </w:tblCellMar>
      </w:tblPr>
      <w:tblGrid>
        <w:gridCol w:w="75"/>
        <w:gridCol w:w="110"/>
        <w:gridCol w:w="60"/>
        <w:gridCol w:w="45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stockholders for purposes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The selling stockholders also may transfer the shares of common stock in other circumstances, in which case the transferees, pledgees, donees or other successors in interest will be the selling beneficial owners for purposes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selling stockholders and any broker-dealers or agents that are involved in selling the shares of common stock may be deemed to be “underwriters” within the meaning of the Securities Act in connection with such sales. In such event, any commissions received by such broker-dealers or agents and any profit on the resale of the shares purchased by them may be deemed to be underwriting commissions or discounts under the Securities Act. Each selling stockholder has informed us that it does not have any written or oral agreement or understanding, directly or indirectly, with any person to distribute the shares. </w:t>
      </w:r>
    </w:p>
    <w:p>
      <w:pPr>
        <w:pStyle w:val="TextBody"/>
        <w:bidi w:val="0"/>
        <w:spacing w:before="240" w:after="0"/>
        <w:jc w:val="left"/>
        <w:rPr>
          <w:rFonts w:ascii="Times New Roman" w:hAnsi="Times New Roman"/>
          <w:sz w:val="20"/>
        </w:rPr>
      </w:pPr>
      <w:r>
        <w:rPr>
          <w:rFonts w:ascii="Times New Roman" w:hAnsi="Times New Roman"/>
          <w:sz w:val="20"/>
        </w:rPr>
        <w:t xml:space="preserve">We are required to pay certain fees and expenses incurred by us incident to the registration of the shares. We have agreed to indemnify the selling stockholders against certain losses, claims, damages and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agreed to keep this prospectus effective until the earlier of the date that the shares (i) have been sold, pursuant to this prospectus or pursuant to Rule 144, or (ii) the date on which the shares may be resold by the selling stockholders without registration and without regard to any volume or manner-of-sale limitations by reason of Rule 144, and without the requirement for us to be in compliance with the current public information under Rule 144 under the Securities Act or any other rule of similar effect. The shares of common stock will be sold only through registered or licensed brokers or dealers if required under applicable state securities laws. In addition, in certain states, the shares of common stock covered hereby may not be sold unless they have been registered or qualified for sale in the applicable state or an exemption from the registration or qualification requirement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Under applicable rules and regulations under the Exchange Act, any person engaged in the distribution of the shares of common stock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our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127696_21"/>
      <w:bookmarkEnd w:id="21"/>
      <w:r>
        <w:rPr>
          <w:rFonts w:ascii="Times New Roman" w:hAnsi="Times New Roman"/>
          <w:b/>
          <w:sz w:val="20"/>
        </w:rPr>
        <w:t xml:space="preserve">DESCRIPTION OF CAPITAL STOCK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of our capital stock and provisions of our amended and restated certificate of incorporation and amended and restated bylaws are summaries and are qualified by reference to such charter and bylaws and applicable provisions of the DGCL. Copies of our amended and restated certificate of incorporation and amended and restated bylaws are filed as exhibits to the registration statement of which this prospectus is a part.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total number of shares of capital stock which we have authority to issue is 510,000,000 shares. This authorized capital stock consists of 500,000,000 shares of common stock and 10,000,000 shares of preferred stock, each having a par value of $0.0001 per share. </w:t>
      </w:r>
    </w:p>
    <w:p>
      <w:pPr>
        <w:pStyle w:val="TextBody"/>
        <w:bidi w:val="0"/>
        <w:spacing w:before="240" w:after="0"/>
        <w:jc w:val="left"/>
        <w:rPr>
          <w:rFonts w:ascii="Times New Roman" w:hAnsi="Times New Roman"/>
          <w:sz w:val="20"/>
        </w:rPr>
      </w:pPr>
      <w:r>
        <w:rPr>
          <w:rFonts w:ascii="Times New Roman" w:hAnsi="Times New Roman"/>
          <w:sz w:val="20"/>
        </w:rPr>
        <w:t xml:space="preserve">As of August 3, 2026, 61,772,876 shares of our common stock were outstanding and held by 208 stockholders of record.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Our shares of common stock are duly authorized, validly issued, fully paid and non-assessable. Each holder of a share of common stock is entitled to one vote for each share upon all questions presented to the holders of common stock, and the common stock has the exclusive right to vote for the election of directors and for all other purposes (subject to the express terms of the preferred stock). Stockholders do not have preemptive rights or rights to convert their common stock into any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Stockholders are entitled to receive dividends as may be declared from time to time by the Board out of funds legally available therefor. Stockholders are entitled to share pro rata, upon any liquidation or dissolution, in all remaining assets available for distribution to stockholders after payment or providing for our liabilities and the liquidation preference of any outstanding preferred stock. The rights, preferences and privileges of stockholders are subject to and may be adversely affected by the rights of holders of any series of preferred stock that we may designate and issue at the effective time and in the future.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Nasdaq Capital Market under the symbol “OBX.”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Charter permits the Board, without further action by the stockholders, to issue up to 10,000,000 shares of preferred stock in one or more series of preferred stock with such designations, powers, preferences, special rights, qualifications, limitations and restrictions as the Board may determine from time to time. Accordingly, without action by the stockholders, the Board may designate and authorize the issuance of additional classes or series of preferred stock having voting rights, dividend rights, conversion rights, redemption provisions and rights in liquidation, dissolution or winding up that are superior to those of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Charter and Bylaw Provisions; Takeover Statutes </w:t>
      </w:r>
    </w:p>
    <w:p>
      <w:pPr>
        <w:pStyle w:val="TextBody"/>
        <w:bidi w:val="0"/>
        <w:spacing w:before="120" w:after="0"/>
        <w:jc w:val="left"/>
        <w:rPr>
          <w:rFonts w:ascii="Times New Roman" w:hAnsi="Times New Roman"/>
          <w:sz w:val="20"/>
        </w:rPr>
      </w:pPr>
      <w:r>
        <w:rPr>
          <w:rFonts w:ascii="Times New Roman" w:hAnsi="Times New Roman"/>
          <w:sz w:val="20"/>
        </w:rPr>
        <w:t xml:space="preserve">Some provisions of the Delaware law, our restated certificate of incorporation and amended and restated bylaws could make the following transactions more difficult: an acquisition by means of a tender offer; an acquisition by means of a proxy contest or otherwise; or the removal of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These provisions, summarized below, are intended to discourage coercive takeover practices and inadequate takeover bids. These provisions are also designed to encourage persons seeking to acquire control of our company to first negotiate with our board of directors. We believe that the benefits of the increased protection of our potential ability to negotiate with the proponent of an unfriendly or unsolicited proposal to acquire or restructure our Company outweigh the disadvantages of discouraging these proposals because negotiation of these proposals could result in an improvement of their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Structure of Board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the Charter and Bylaws, the Board is divided into three classes with staggered, three-year terms. At each annual meeting of stockholders, the successors to directors whose terms then expire will be elected to serve from the time of election and qualification until the third annual meeting following election. The Charter and Bylaws provide that the authorized number of directors may be changed only by resolution of the Board. Any additional directorships resulting from an increase in the number of directors will be distributed among the three classes so that, as nearly as possible, each class will consist of one-third of the directors. The division of the Board into three classes with staggered three-year terms may delay or prevent a change of management or a change in control of the Company. Directors may be removed only for cause by the affirmative vote of the holders of at least a majority of the shares of stock entitled to vote in the election of the director or directors to be so removed.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Removal of Directors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the DGCL and subject to the rights of the holders of any class or series of preferred stock, the entire Board or any individual director may be removed only for cause by the affirmative vote of the holders of at least two-thirds of the votes that all of our stockholders would be entitled to cast in an annual election of directors, and that any vacancy on its board of directors, including a vacancy resulting from an enlargement of our board of directors, may be filled only by vote of a majority of our directors then in office.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Advance Notice of Proposals and Nominations </w:t>
      </w:r>
    </w:p>
    <w:p>
      <w:pPr>
        <w:pStyle w:val="TextBody"/>
        <w:bidi w:val="0"/>
        <w:spacing w:before="120" w:after="0"/>
        <w:jc w:val="left"/>
        <w:rPr>
          <w:rFonts w:ascii="Times New Roman" w:hAnsi="Times New Roman"/>
          <w:sz w:val="20"/>
        </w:rPr>
      </w:pPr>
      <w:r>
        <w:rPr>
          <w:rFonts w:ascii="Times New Roman" w:hAnsi="Times New Roman"/>
          <w:sz w:val="20"/>
        </w:rPr>
        <w:t xml:space="preserve">The Bylaws establish advance notice procedures with regard to stockholder proposals relating to the nomination of candidates for election as directors or new business to be brought before meetings of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The Bylaws specify the requirements as to form and content of all stockholders’ notices. These requirements may preclude stockholders from bringing matters before the stockholders at an annual or special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Limits on Special Meetings </w:t>
      </w:r>
    </w:p>
    <w:p>
      <w:pPr>
        <w:pStyle w:val="TextBody"/>
        <w:bidi w:val="0"/>
        <w:spacing w:before="120" w:after="0"/>
        <w:jc w:val="left"/>
        <w:rPr>
          <w:rFonts w:ascii="Times New Roman" w:hAnsi="Times New Roman"/>
          <w:sz w:val="20"/>
        </w:rPr>
      </w:pPr>
      <w:r>
        <w:rPr>
          <w:rFonts w:ascii="Times New Roman" w:hAnsi="Times New Roman"/>
          <w:sz w:val="20"/>
        </w:rPr>
        <w:t xml:space="preserve">The Charter and Bylaws provide that only a majority of the members of the Board then in office may call special meetings of stockholders and only those matters set forth in the notice of the special meeting may be considered or acted upon at a special meeting of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of the Bylaws </w:t>
      </w:r>
    </w:p>
    <w:p>
      <w:pPr>
        <w:pStyle w:val="TextBody"/>
        <w:bidi w:val="0"/>
        <w:spacing w:before="120" w:after="0"/>
        <w:jc w:val="left"/>
        <w:rPr>
          <w:rFonts w:ascii="Times New Roman" w:hAnsi="Times New Roman"/>
          <w:sz w:val="20"/>
        </w:rPr>
      </w:pPr>
      <w:r>
        <w:rPr>
          <w:rFonts w:ascii="Times New Roman" w:hAnsi="Times New Roman"/>
          <w:sz w:val="20"/>
        </w:rPr>
        <w:t xml:space="preserve">The Bylaws may be amended by the affirmative vote of a majority of the directors then in office, subject to any limitations set forth therein; and may also be amended by the affirmative vote of a majority of the outstanding shares entitled to vote on the amendment, voting together as a single class, except that the amendment of the provisions relating to notice of stockholder business and nominations and special meetings must be approved by not less than two-thirds of the outstanding shares entitled to vote on the amendment, and not less than two-thirds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outstanding shares of each class entitled to vote thereon as a class, or, if we recommend that the stockholders approve the amendment, by the affirmative vote of the majority of the outstanding shares entitled to vote on the amendment, in each case voting together as a single class.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issue an indeterminate number of shares of the authorized shares of preferred stock with such rights, privileges and preferences as the Board may fix may have the effect of delaying or preventing a takeover or other change of control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Takeover Statutes </w:t>
      </w:r>
    </w:p>
    <w:p>
      <w:pPr>
        <w:pStyle w:val="TextBody"/>
        <w:bidi w:val="0"/>
        <w:spacing w:before="120" w:after="0"/>
        <w:jc w:val="left"/>
        <w:rPr>
          <w:rFonts w:ascii="Times New Roman" w:hAnsi="Times New Roman"/>
          <w:sz w:val="20"/>
        </w:rPr>
      </w:pPr>
      <w:r>
        <w:rPr>
          <w:rFonts w:ascii="Times New Roman" w:hAnsi="Times New Roman"/>
          <w:sz w:val="20"/>
        </w:rPr>
        <w:t xml:space="preserve">Section 203 of the DGCL generally prohibits “business combinations,” including mergers, sales and leases of assets, issuances of securities and similar transactions by a corporation or a subsidiary with an interested stockholder who beneficially owns 15% or more of a corporation’s voting stock, within three (3) years after the person or entity becomes an interested stockholder, unless: (i) the board of directors of the target corporation has approved, before the acquisition time, either the business combination or the transaction that resulted in the person becoming an interested stockholder, (ii) upon consummation of the transaction that resulted in the person becoming an interested stockholder, the person owns at least 85% of the corporation’s voting stock (excluding shares owned by directors who are officers and shares owned by employee stock plans in which participants do not have the right to determine confidentially whether shares will be tendered in a tender or exchange offer) or (iii) after the person or entity becomes an interested stockholder, the business combination is approved by the board of directors and authorized at a meeting of stockholders by the affirmative vote of at least 662∕3% of the outstanding voting stock not owned by the interested stockholder. Since we did not opt out of the protections of Section 203 of the DGCL, the statute applies to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Exclusive Forum </w:t>
      </w:r>
    </w:p>
    <w:p>
      <w:pPr>
        <w:pStyle w:val="TextBody"/>
        <w:bidi w:val="0"/>
        <w:spacing w:before="120" w:after="0"/>
        <w:jc w:val="left"/>
        <w:rPr>
          <w:rFonts w:ascii="Times New Roman" w:hAnsi="Times New Roman"/>
          <w:sz w:val="20"/>
        </w:rPr>
      </w:pPr>
      <w:r>
        <w:rPr>
          <w:rFonts w:ascii="Times New Roman" w:hAnsi="Times New Roman"/>
          <w:sz w:val="20"/>
        </w:rPr>
        <w:t xml:space="preserve">The Bylaws provide that the Court of Chancery of the State of Delaware is the sole and exclusive forum for the following claims or causes of action under the Delaware statutory or common law: (i) any derivative action or proceeding brought on our behalf, (ii) any action asserting a claim of, or a claim based on, a breach of a fiduciary duty owed by any of our current or former directors, officers, or other employees or stockholders to us or our stockholders, (iii) any action asserting a claim arising pursuant to any provision of the DGCL, or the Charter or Bylaws (including the interpretation, validity or enforceability thereof) or as to which the DGCL confers jurisdiction on the Court of Chancery of the State of Delaware, or (iv) any action asserting a claim governed by the internal affairs doctrine. </w:t>
      </w:r>
    </w:p>
    <w:p>
      <w:pPr>
        <w:pStyle w:val="TextBody"/>
        <w:bidi w:val="0"/>
        <w:spacing w:before="240" w:after="0"/>
        <w:jc w:val="left"/>
        <w:rPr>
          <w:rFonts w:ascii="Times New Roman" w:hAnsi="Times New Roman"/>
          <w:sz w:val="20"/>
        </w:rPr>
      </w:pPr>
      <w:r>
        <w:rPr>
          <w:rFonts w:ascii="Times New Roman" w:hAnsi="Times New Roman"/>
          <w:sz w:val="20"/>
        </w:rPr>
        <w:t xml:space="preserve">However, Section 27 of the Exchange Act creates exclusive federal jurisdiction over all claims brought to enforce any duty or liability created by the Exchange Act or the rules and regulations thereunder. Consequently, this choice of forum provision would not apply to claims or causes of action brought to enforce a duty or liability created by the Exchange Act or any other claim for which the federal courts have exclusive jurisdiction or the Securities Act. Moreover, Section 22 of the Securities Act creates concurrent jurisdiction for federal and state courts over all claims brought to enforce any duty or liability created by the Securities Act or the rules and regulations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Bylaws provide that, unless we consent in writing to the selection of an alternative forum, to the fullest extent permitted by law, the federal district courts of the United States of America shall be the exclusive forum for the resolution of any complaint asserting a cause or causes of action arising under the Securities Act, including all causes of action asserted against any defendant to such complaint. </w:t>
      </w:r>
    </w:p>
    <w:p>
      <w:pPr>
        <w:pStyle w:val="TextBody"/>
        <w:bidi w:val="0"/>
        <w:spacing w:before="240" w:after="0"/>
        <w:jc w:val="left"/>
        <w:rPr>
          <w:rFonts w:ascii="Times New Roman" w:hAnsi="Times New Roman"/>
          <w:sz w:val="20"/>
        </w:rPr>
      </w:pPr>
      <w:r>
        <w:rPr>
          <w:rFonts w:ascii="Times New Roman" w:hAnsi="Times New Roman"/>
          <w:sz w:val="20"/>
        </w:rPr>
        <w:t xml:space="preserve">While the Delaware courts have determined that such choice of forum provisions are facially valid, a stockholder may nevertheless seek to bring a claim in a venue other than those designated in the exclusive forum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there can be no assurance that such provisions will be enforced by a court in those other jurisdictions. Investors cannot waive compliance with the federal securities laws and the rules and regulations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Bylaws provide that any person or entity holding, owning or otherwise acquiring any interest in any of our securities shall be deemed to have notice of and consented to these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127696_19"/>
      <w:bookmarkEnd w:id="22"/>
      <w:r>
        <w:rPr>
          <w:rFonts w:ascii="Times New Roman" w:hAnsi="Times New Roman"/>
          <w:b/>
          <w:sz w:val="20"/>
        </w:rPr>
        <w:t xml:space="preserve">CERTAIN MATERIAL U.S. FEDERAL INCOME TAX CONSIDERATIONS FOR HOLDERS OF COMMON STOCK </w:t>
      </w:r>
    </w:p>
    <w:p>
      <w:pPr>
        <w:pStyle w:val="TextBody"/>
        <w:bidi w:val="0"/>
        <w:spacing w:before="240" w:after="0"/>
        <w:jc w:val="left"/>
        <w:rPr>
          <w:rFonts w:ascii="Times New Roman" w:hAnsi="Times New Roman"/>
          <w:b/>
          <w:i/>
          <w:sz w:val="20"/>
        </w:rPr>
      </w:pPr>
      <w:r>
        <w:rPr>
          <w:rFonts w:ascii="Times New Roman" w:hAnsi="Times New Roman"/>
          <w:b/>
          <w:i/>
          <w:sz w:val="20"/>
        </w:rPr>
        <w:t xml:space="preserve">Material U.S. Federal Income Tax Consequences for Holders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discussion of certain material U.S. federal income tax consequences of the acquisition, ownership and disposition of our shares of common stock, which we refer to as our securities. This discussion applies only to securities that are held as capital assets for U.S. federal income tax purposes and is applicable only to holders who are receiving our securities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a summary only and does not describe all of the tax consequences that may be relevant to you in light of your particular circumstances, including but not limited to the alternative minimum tax, the Medicare tax on certain investment income and the different consequences that may apply if you are subject to special rules that apply to certain types of investors (such as the effects of Section 451 of the Code), including but not limited to: </w:t>
      </w:r>
    </w:p>
    <w:p>
      <w:pPr>
        <w:pStyle w:val="TextBody"/>
        <w:bidi w:val="0"/>
        <w:spacing w:before="0" w:after="0"/>
        <w:jc w:val="left"/>
        <w:rPr/>
      </w:pPr>
      <w:r>
        <w:rPr/>
        <w:t> </w:t>
      </w:r>
    </w:p>
    <w:tbl>
      <w:tblPr>
        <w:tblW w:w="4390" w:type="dxa"/>
        <w:jc w:val="left"/>
        <w:tblInd w:w="0" w:type="dxa"/>
        <w:tblLayout w:type="fixed"/>
        <w:tblCellMar>
          <w:top w:w="0" w:type="dxa"/>
          <w:left w:w="0" w:type="dxa"/>
          <w:bottom w:w="0" w:type="dxa"/>
          <w:right w:w="0" w:type="dxa"/>
        </w:tblCellMar>
      </w:tblPr>
      <w:tblGrid>
        <w:gridCol w:w="75"/>
        <w:gridCol w:w="110"/>
        <w:gridCol w:w="60"/>
        <w:gridCol w:w="41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financial institutions or financial services entities; </w:t>
            </w:r>
          </w:p>
        </w:tc>
      </w:tr>
    </w:tbl>
    <w:p>
      <w:pPr>
        <w:pStyle w:val="TextBody"/>
        <w:bidi w:val="0"/>
        <w:spacing w:before="0" w:after="0"/>
        <w:jc w:val="left"/>
        <w:rPr/>
      </w:pPr>
      <w:r>
        <w:rPr/>
        <w:t> </w:t>
      </w:r>
    </w:p>
    <w:tbl>
      <w:tblPr>
        <w:tblW w:w="1540" w:type="dxa"/>
        <w:jc w:val="left"/>
        <w:tblInd w:w="0" w:type="dxa"/>
        <w:tblLayout w:type="fixed"/>
        <w:tblCellMar>
          <w:top w:w="0" w:type="dxa"/>
          <w:left w:w="0" w:type="dxa"/>
          <w:bottom w:w="0" w:type="dxa"/>
          <w:right w:w="0" w:type="dxa"/>
        </w:tblCellMar>
      </w:tblPr>
      <w:tblGrid>
        <w:gridCol w:w="75"/>
        <w:gridCol w:w="110"/>
        <w:gridCol w:w="60"/>
        <w:gridCol w:w="12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broker-dealers; </w:t>
            </w:r>
          </w:p>
        </w:tc>
      </w:tr>
    </w:tbl>
    <w:p>
      <w:pPr>
        <w:pStyle w:val="TextBody"/>
        <w:bidi w:val="0"/>
        <w:spacing w:before="0" w:after="0"/>
        <w:jc w:val="left"/>
        <w:rPr/>
      </w:pPr>
      <w:r>
        <w:rPr/>
        <w:t> </w:t>
      </w:r>
    </w:p>
    <w:tbl>
      <w:tblPr>
        <w:tblW w:w="4630" w:type="dxa"/>
        <w:jc w:val="left"/>
        <w:tblInd w:w="0" w:type="dxa"/>
        <w:tblLayout w:type="fixed"/>
        <w:tblCellMar>
          <w:top w:w="0" w:type="dxa"/>
          <w:left w:w="0" w:type="dxa"/>
          <w:bottom w:w="0" w:type="dxa"/>
          <w:right w:w="0" w:type="dxa"/>
        </w:tblCellMar>
      </w:tblPr>
      <w:tblGrid>
        <w:gridCol w:w="75"/>
        <w:gridCol w:w="110"/>
        <w:gridCol w:w="60"/>
        <w:gridCol w:w="43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governments or agencies or instrumentalities thereof; </w:t>
            </w:r>
          </w:p>
        </w:tc>
      </w:tr>
    </w:tbl>
    <w:p>
      <w:pPr>
        <w:pStyle w:val="TextBody"/>
        <w:bidi w:val="0"/>
        <w:spacing w:before="0" w:after="0"/>
        <w:jc w:val="left"/>
        <w:rPr/>
      </w:pPr>
      <w:r>
        <w:rPr/>
        <w:t> </w:t>
      </w:r>
    </w:p>
    <w:tbl>
      <w:tblPr>
        <w:tblW w:w="3010" w:type="dxa"/>
        <w:jc w:val="left"/>
        <w:tblInd w:w="0" w:type="dxa"/>
        <w:tblLayout w:type="fixed"/>
        <w:tblCellMar>
          <w:top w:w="0" w:type="dxa"/>
          <w:left w:w="0" w:type="dxa"/>
          <w:bottom w:w="0" w:type="dxa"/>
          <w:right w:w="0" w:type="dxa"/>
        </w:tblCellMar>
      </w:tblPr>
      <w:tblGrid>
        <w:gridCol w:w="75"/>
        <w:gridCol w:w="110"/>
        <w:gridCol w:w="60"/>
        <w:gridCol w:w="27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regulated investment companies; </w:t>
            </w:r>
          </w:p>
        </w:tc>
      </w:tr>
    </w:tbl>
    <w:p>
      <w:pPr>
        <w:pStyle w:val="TextBody"/>
        <w:bidi w:val="0"/>
        <w:spacing w:before="0" w:after="0"/>
        <w:jc w:val="left"/>
        <w:rPr/>
      </w:pPr>
      <w:r>
        <w:rPr/>
        <w:t> </w:t>
      </w:r>
    </w:p>
    <w:tbl>
      <w:tblPr>
        <w:tblW w:w="2620" w:type="dxa"/>
        <w:jc w:val="left"/>
        <w:tblInd w:w="0" w:type="dxa"/>
        <w:tblLayout w:type="fixed"/>
        <w:tblCellMar>
          <w:top w:w="0" w:type="dxa"/>
          <w:left w:w="0" w:type="dxa"/>
          <w:bottom w:w="0" w:type="dxa"/>
          <w:right w:w="0" w:type="dxa"/>
        </w:tblCellMar>
      </w:tblPr>
      <w:tblGrid>
        <w:gridCol w:w="75"/>
        <w:gridCol w:w="110"/>
        <w:gridCol w:w="60"/>
        <w:gridCol w:w="23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w:t>
            </w:r>
          </w:p>
        </w:tc>
      </w:tr>
    </w:tbl>
    <w:p>
      <w:pPr>
        <w:pStyle w:val="TextBody"/>
        <w:bidi w:val="0"/>
        <w:spacing w:before="0" w:after="0"/>
        <w:jc w:val="left"/>
        <w:rPr/>
      </w:pPr>
      <w:r>
        <w:rPr/>
        <w:t> </w:t>
      </w:r>
    </w:p>
    <w:tbl>
      <w:tblPr>
        <w:tblW w:w="5290" w:type="dxa"/>
        <w:jc w:val="left"/>
        <w:tblInd w:w="0" w:type="dxa"/>
        <w:tblLayout w:type="fixed"/>
        <w:tblCellMar>
          <w:top w:w="0" w:type="dxa"/>
          <w:left w:w="0" w:type="dxa"/>
          <w:bottom w:w="0" w:type="dxa"/>
          <w:right w:w="0" w:type="dxa"/>
        </w:tblCellMar>
      </w:tblPr>
      <w:tblGrid>
        <w:gridCol w:w="75"/>
        <w:gridCol w:w="110"/>
        <w:gridCol w:w="60"/>
        <w:gridCol w:w="5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expatriates or former long-term residents of the United States; </w:t>
            </w:r>
          </w:p>
        </w:tc>
      </w:tr>
    </w:tbl>
    <w:p>
      <w:pPr>
        <w:pStyle w:val="TextBody"/>
        <w:bidi w:val="0"/>
        <w:spacing w:before="0" w:after="0"/>
        <w:jc w:val="left"/>
        <w:rPr/>
      </w:pPr>
      <w:r>
        <w:rPr/>
        <w:t> </w:t>
      </w:r>
    </w:p>
    <w:tbl>
      <w:tblPr>
        <w:tblW w:w="6505" w:type="dxa"/>
        <w:jc w:val="left"/>
        <w:tblInd w:w="0" w:type="dxa"/>
        <w:tblLayout w:type="fixed"/>
        <w:tblCellMar>
          <w:top w:w="0" w:type="dxa"/>
          <w:left w:w="0" w:type="dxa"/>
          <w:bottom w:w="0" w:type="dxa"/>
          <w:right w:w="0" w:type="dxa"/>
        </w:tblCellMar>
      </w:tblPr>
      <w:tblGrid>
        <w:gridCol w:w="75"/>
        <w:gridCol w:w="110"/>
        <w:gridCol w:w="60"/>
        <w:gridCol w:w="62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that actually or constructively own 5% or more of our voting shares; </w:t>
            </w:r>
          </w:p>
        </w:tc>
      </w:tr>
    </w:tbl>
    <w:p>
      <w:pPr>
        <w:pStyle w:val="TextBody"/>
        <w:bidi w:val="0"/>
        <w:spacing w:before="0" w:after="0"/>
        <w:jc w:val="left"/>
        <w:rPr/>
      </w:pPr>
      <w:r>
        <w:rPr/>
        <w:t> </w:t>
      </w:r>
    </w:p>
    <w:tbl>
      <w:tblPr>
        <w:tblW w:w="2080" w:type="dxa"/>
        <w:jc w:val="left"/>
        <w:tblInd w:w="0" w:type="dxa"/>
        <w:tblLayout w:type="fixed"/>
        <w:tblCellMar>
          <w:top w:w="0" w:type="dxa"/>
          <w:left w:w="0" w:type="dxa"/>
          <w:bottom w:w="0" w:type="dxa"/>
          <w:right w:w="0" w:type="dxa"/>
        </w:tblCellMar>
      </w:tblPr>
      <w:tblGrid>
        <w:gridCol w:w="75"/>
        <w:gridCol w:w="110"/>
        <w:gridCol w:w="60"/>
        <w:gridCol w:w="1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insurance companies; </w:t>
            </w:r>
          </w:p>
        </w:tc>
      </w:tr>
    </w:tbl>
    <w:p>
      <w:pPr>
        <w:pStyle w:val="TextBody"/>
        <w:bidi w:val="0"/>
        <w:spacing w:before="0" w:after="0"/>
        <w:jc w:val="left"/>
        <w:rPr/>
      </w:pPr>
      <w:r>
        <w:rPr/>
        <w:t> </w:t>
      </w:r>
    </w:p>
    <w:tbl>
      <w:tblPr>
        <w:tblW w:w="8185" w:type="dxa"/>
        <w:jc w:val="left"/>
        <w:tblInd w:w="0" w:type="dxa"/>
        <w:tblLayout w:type="fixed"/>
        <w:tblCellMar>
          <w:top w:w="0" w:type="dxa"/>
          <w:left w:w="0" w:type="dxa"/>
          <w:bottom w:w="0" w:type="dxa"/>
          <w:right w:w="0" w:type="dxa"/>
        </w:tblCellMar>
      </w:tblPr>
      <w:tblGrid>
        <w:gridCol w:w="75"/>
        <w:gridCol w:w="110"/>
        <w:gridCol w:w="60"/>
        <w:gridCol w:w="79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dealers or traders subject to a mark-to-market method of accounting with respect to the securities; </w:t>
            </w:r>
          </w:p>
        </w:tc>
      </w:tr>
    </w:tbl>
    <w:p>
      <w:pPr>
        <w:pStyle w:val="TextBody"/>
        <w:bidi w:val="0"/>
        <w:spacing w:before="0" w:after="0"/>
        <w:jc w:val="left"/>
        <w:rPr/>
      </w:pPr>
      <w:r>
        <w:rPr/>
        <w:t> </w:t>
      </w:r>
    </w:p>
    <w:tbl>
      <w:tblPr>
        <w:tblW w:w="8785" w:type="dxa"/>
        <w:jc w:val="left"/>
        <w:tblInd w:w="0" w:type="dxa"/>
        <w:tblLayout w:type="fixed"/>
        <w:tblCellMar>
          <w:top w:w="0" w:type="dxa"/>
          <w:left w:w="0" w:type="dxa"/>
          <w:bottom w:w="0" w:type="dxa"/>
          <w:right w:w="0" w:type="dxa"/>
        </w:tblCellMar>
      </w:tblPr>
      <w:tblGrid>
        <w:gridCol w:w="75"/>
        <w:gridCol w:w="110"/>
        <w:gridCol w:w="60"/>
        <w:gridCol w:w="85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the securities as part of a “straddle,” hedge, integrated transaction or similar transaction; </w:t>
            </w:r>
          </w:p>
        </w:tc>
      </w:tr>
    </w:tbl>
    <w:p>
      <w:pPr>
        <w:pStyle w:val="TextBody"/>
        <w:bidi w:val="0"/>
        <w:spacing w:before="0" w:after="0"/>
        <w:jc w:val="left"/>
        <w:rPr/>
      </w:pPr>
      <w:r>
        <w:rPr/>
        <w:t> </w:t>
      </w:r>
    </w:p>
    <w:tbl>
      <w:tblPr>
        <w:tblW w:w="6775" w:type="dxa"/>
        <w:jc w:val="left"/>
        <w:tblInd w:w="0" w:type="dxa"/>
        <w:tblLayout w:type="fixed"/>
        <w:tblCellMar>
          <w:top w:w="0" w:type="dxa"/>
          <w:left w:w="0" w:type="dxa"/>
          <w:bottom w:w="0" w:type="dxa"/>
          <w:right w:w="0" w:type="dxa"/>
        </w:tblCellMar>
      </w:tblPr>
      <w:tblGrid>
        <w:gridCol w:w="75"/>
        <w:gridCol w:w="110"/>
        <w:gridCol w:w="60"/>
        <w:gridCol w:w="65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 holders (as defined below) whose functional currency is not the U.S. dollar;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partnerships or other pass-through entities for U.S. federal income tax purposes and any beneficial owners of such entities; and </w:t>
            </w:r>
          </w:p>
        </w:tc>
      </w:tr>
    </w:tbl>
    <w:p>
      <w:pPr>
        <w:pStyle w:val="TextBody"/>
        <w:bidi w:val="0"/>
        <w:spacing w:before="0" w:after="0"/>
        <w:jc w:val="left"/>
        <w:rPr/>
      </w:pPr>
      <w:r>
        <w:rPr/>
        <w:t> </w:t>
      </w:r>
    </w:p>
    <w:tbl>
      <w:tblPr>
        <w:tblW w:w="1930" w:type="dxa"/>
        <w:jc w:val="left"/>
        <w:tblInd w:w="0" w:type="dxa"/>
        <w:tblLayout w:type="fixed"/>
        <w:tblCellMar>
          <w:top w:w="0" w:type="dxa"/>
          <w:left w:w="0" w:type="dxa"/>
          <w:bottom w:w="0" w:type="dxa"/>
          <w:right w:w="0" w:type="dxa"/>
        </w:tblCellMar>
      </w:tblPr>
      <w:tblGrid>
        <w:gridCol w:w="75"/>
        <w:gridCol w:w="110"/>
        <w:gridCol w:w="60"/>
        <w:gridCol w:w="16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tax-exempt entities.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 </w:t>
      </w:r>
    </w:p>
    <w:p>
      <w:pPr>
        <w:pStyle w:val="TextBody"/>
        <w:bidi w:val="0"/>
        <w:spacing w:before="240" w:after="0"/>
        <w:jc w:val="left"/>
        <w:rPr>
          <w:rFonts w:ascii="Times New Roman" w:hAnsi="Times New Roman"/>
          <w:sz w:val="20"/>
        </w:rPr>
      </w:pPr>
      <w:r>
        <w:rPr>
          <w:rFonts w:ascii="Times New Roman" w:hAnsi="Times New Roman"/>
          <w:sz w:val="20"/>
        </w:rPr>
        <w:t xml:space="preserve">We have not sought, and will not seek, a ruling from the Internal Revenue Service, or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does not consider the tax treatment of partnerships or other pass-through entities or persons who hold our securities through such entities. If a partnership (or other entity or arrangement classified as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partnership or other pass-through entity for U.S. federal income tax purposes) is the beneficial owner of our securities, the U.S. federal income tax treatment of a partner or member in the partnership or other pass-through entity generally will depend on the status of the partner or member and the activities of the partnership or other pass-through entity. If you are a partner or member of a partnership or other pass-through entity holding our securities, we urge you to consult your tax advisor. </w:t>
      </w:r>
    </w:p>
    <w:p>
      <w:pPr>
        <w:pStyle w:val="TextBody"/>
        <w:bidi w:val="0"/>
        <w:spacing w:before="240" w:after="0"/>
        <w:jc w:val="left"/>
        <w:rPr>
          <w:rFonts w:ascii="Times New Roman" w:hAnsi="Times New Roman"/>
          <w:b/>
          <w:sz w:val="20"/>
        </w:rPr>
      </w:pPr>
      <w:r>
        <w:rPr>
          <w:rFonts w:ascii="Times New Roman" w:hAnsi="Times New Roman"/>
          <w:b/>
          <w:sz w:val="20"/>
        </w:rPr>
        <w:t xml:space="preserve">THIS DISCUSSION IS ONLY A SUMMARY OF CERTAIN UNITED STATES FEDERAL INCOME TAX CONSIDERATIONS ASSOCIATED WITH THE ACQUISITION, OWNERSHIP AND DISPOSITION OF OUR SECURITIES. EACH PROSPECTIVE INVESTOR IN OUR SECURITIES IS URGED TO CONSULT ITS TAX ADVISOR WITH RESPECT TO THE PARTICULAR TAX CONSEQUENCES TO SUCH INVESTOR OF THE ACQUISITION, OWNERSHIP AND DISPOSITION OF OUR SECURITIES, INCLUDING THE APPLICABILITY AND EFFECT OF ANY UNITED STATES FEDERAL NON-INCOME, STATE AND LOCAL, AND NON-U.S. TAX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Material U.S. Federal Income Tax Consequences for U.S. Holders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a “U.S. Holder” is any beneficial owner of our common stock that, for U.S. federal income tax purposes, is or is treated as: </w:t>
      </w:r>
    </w:p>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75"/>
        <w:gridCol w:w="110"/>
        <w:gridCol w:w="60"/>
        <w:gridCol w:w="5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10120" w:type="dxa"/>
        <w:jc w:val="left"/>
        <w:tblInd w:w="0" w:type="dxa"/>
        <w:tblLayout w:type="fixed"/>
        <w:tblCellMar>
          <w:top w:w="0" w:type="dxa"/>
          <w:left w:w="0" w:type="dxa"/>
          <w:bottom w:w="0" w:type="dxa"/>
          <w:right w:w="0" w:type="dxa"/>
        </w:tblCellMar>
      </w:tblPr>
      <w:tblGrid>
        <w:gridCol w:w="75"/>
        <w:gridCol w:w="110"/>
        <w:gridCol w:w="60"/>
        <w:gridCol w:w="9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corporation created or organized in or under the laws of the United States, any state thereof, or the District of Columbia; </w:t>
            </w:r>
          </w:p>
        </w:tc>
      </w:tr>
    </w:tbl>
    <w:p>
      <w:pPr>
        <w:pStyle w:val="TextBody"/>
        <w:bidi w:val="0"/>
        <w:spacing w:before="0" w:after="0"/>
        <w:jc w:val="left"/>
        <w:rPr/>
      </w:pPr>
      <w:r>
        <w:rPr/>
        <w:t> </w:t>
      </w:r>
    </w:p>
    <w:tbl>
      <w:tblPr>
        <w:tblW w:w="7855" w:type="dxa"/>
        <w:jc w:val="left"/>
        <w:tblInd w:w="0" w:type="dxa"/>
        <w:tblLayout w:type="fixed"/>
        <w:tblCellMar>
          <w:top w:w="0" w:type="dxa"/>
          <w:left w:w="0" w:type="dxa"/>
          <w:bottom w:w="0" w:type="dxa"/>
          <w:right w:w="0" w:type="dxa"/>
        </w:tblCellMar>
      </w:tblPr>
      <w:tblGrid>
        <w:gridCol w:w="75"/>
        <w:gridCol w:w="110"/>
        <w:gridCol w:w="60"/>
        <w:gridCol w:w="76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trust that (1) is subject to the primary supervision of a U.S. court and all substantial decisions of which are subject to the control of one or more “United States persons” (within the meaning of Section 7701(a)(30) of the Code), or (2) has a valid election in effect to be treated as a United States person for U.S. federal income tax purposes. </w:t>
            </w:r>
          </w:p>
        </w:tc>
      </w:tr>
    </w:tbl>
    <w:p>
      <w:pPr>
        <w:pStyle w:val="TextBody"/>
        <w:bidi w:val="0"/>
        <w:spacing w:before="240" w:after="0"/>
        <w:jc w:val="left"/>
        <w:rPr>
          <w:rFonts w:ascii="Times New Roman" w:hAnsi="Times New Roman"/>
          <w:sz w:val="20"/>
        </w:rPr>
      </w:pPr>
      <w:r>
        <w:rPr>
          <w:rFonts w:ascii="Times New Roman" w:hAnsi="Times New Roman"/>
          <w:i/>
          <w:sz w:val="20"/>
        </w:rPr>
        <w:t>Taxation of Distributions</w:t>
      </w:r>
      <w:r>
        <w:rPr>
          <w:rFonts w:ascii="Times New Roman" w:hAnsi="Times New Roman"/>
          <w:sz w:val="20"/>
        </w:rPr>
        <w:t>. If we pay distributions in cash or other property (other than certain distributions of our stock or rights to acquire our stock) to U.S. holders of shares of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common stock. Any remaining excess will be treated as gain realized on the sale or other disposition of the common stock and will be treated as described under “</w:t>
      </w:r>
      <w:r>
        <w:rPr>
          <w:rFonts w:ascii="Times New Roman" w:hAnsi="Times New Roman"/>
          <w:i/>
          <w:sz w:val="20"/>
        </w:rPr>
        <w:t>U.S. Holders-Gain or Loss on Sale, Taxable Exchange or Other Taxable Disposition of Common Stock</w:t>
      </w:r>
      <w:r>
        <w:rPr>
          <w:rFonts w:ascii="Times New Roman" w:hAnsi="Times New Roman"/>
          <w:sz w:val="20"/>
        </w:rPr>
        <w:t xml:space="preserve">” below. </w:t>
      </w:r>
    </w:p>
    <w:p>
      <w:pPr>
        <w:pStyle w:val="TextBody"/>
        <w:bidi w:val="0"/>
        <w:spacing w:before="240" w:after="0"/>
        <w:jc w:val="left"/>
        <w:rPr>
          <w:rFonts w:ascii="Times New Roman" w:hAnsi="Times New Roman"/>
          <w:sz w:val="20"/>
        </w:rPr>
      </w:pPr>
      <w:r>
        <w:rPr>
          <w:rFonts w:ascii="Times New Roman" w:hAnsi="Times New Roman"/>
          <w:sz w:val="20"/>
        </w:rPr>
        <w:t xml:space="preserve">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dividends” that will be subject to tax at the maximum tax rate accorded to long-term capital gains. If the holding period requirements are not satisfied, then a corporation may not be able to qualify for the dividends received deduction and would have taxable income equal to the entire dividend amount, and non-corporate holders may be subject to tax on such dividend at regular ordinary income tax rates instead of the preferential rate that applies to qualified dividend income. </w:t>
      </w:r>
    </w:p>
    <w:p>
      <w:pPr>
        <w:pStyle w:val="TextBody"/>
        <w:bidi w:val="0"/>
        <w:spacing w:before="240" w:after="0"/>
        <w:jc w:val="left"/>
        <w:rPr>
          <w:rFonts w:ascii="Times New Roman" w:hAnsi="Times New Roman"/>
          <w:sz w:val="20"/>
        </w:rPr>
      </w:pPr>
      <w:r>
        <w:rPr>
          <w:rFonts w:ascii="Times New Roman" w:hAnsi="Times New Roman"/>
          <w:i/>
          <w:sz w:val="20"/>
        </w:rPr>
        <w:t>Gain or Loss on Sale, Taxable Exchange or Other Taxable Disposition of Common Stock</w:t>
      </w:r>
      <w:r>
        <w:rPr>
          <w:rFonts w:ascii="Times New Roman" w:hAnsi="Times New Roman"/>
          <w:sz w:val="20"/>
        </w:rPr>
        <w:t xml:space="preserve">. Upon a sale or other taxable disposition of common stock, a U.S. holder generally will recognize capital gain or loss in an amount equal to the difference between the amount realized and the U.S. holder’s adjusted tax basis in the common stock. Any such capital gain or loss generally will be long-term capital gain or loss if the U.S. holder’s holding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period for the common stock so disposed of exceeds one year. If the holding period requirements are not satisfied, any gain on a sale or taxable disposition of the shares would be subject to short-term capital gain treatment and would be taxed at regular ordinary income tax rates. Long-term capital gains recognized by non-corporate U.S. holders will be eligible to be taxed at reduced rates. The deductibility of capital losses is subject to limitations. </w:t>
      </w:r>
    </w:p>
    <w:p>
      <w:pPr>
        <w:pStyle w:val="TextBody"/>
        <w:bidi w:val="0"/>
        <w:spacing w:before="240" w:after="0"/>
        <w:jc w:val="left"/>
        <w:rPr>
          <w:rFonts w:ascii="Times New Roman" w:hAnsi="Times New Roman"/>
          <w:sz w:val="20"/>
        </w:rPr>
      </w:pPr>
      <w:r>
        <w:rPr>
          <w:rFonts w:ascii="Times New Roman" w:hAnsi="Times New Roman"/>
          <w:sz w:val="20"/>
        </w:rPr>
        <w:t xml:space="preserve">Generally, the amount of gain or loss recognized by a U.S. holder is an amount equal to the difference between (i) the sum of the amount of cash and the fair market value of any property received in such disposition and (ii) the U.S. holder’s adjusted tax basis in its common stock so disposed of. A U.S. holder’s adjusted tax basis in its common stock generally will equal the U.S. holder’s acquisition cost for the common stock or less, in the case of a share of common stock, any prior distributions treated as a return of capital. In the case of any shares of common stock originally acquired as part of an investment unit, the acquisition cost for the share of common stock that were part of such unit would equal an allocable portion of the acquisition cost of the unit based on the relative fair market values of the components of the unit at the time of acquisition. </w:t>
      </w:r>
    </w:p>
    <w:p>
      <w:pPr>
        <w:pStyle w:val="TextBody"/>
        <w:bidi w:val="0"/>
        <w:spacing w:before="240" w:after="0"/>
        <w:jc w:val="left"/>
        <w:rPr>
          <w:rFonts w:ascii="Times New Roman" w:hAnsi="Times New Roman"/>
          <w:sz w:val="20"/>
        </w:rPr>
      </w:pPr>
      <w:r>
        <w:rPr>
          <w:rFonts w:ascii="Times New Roman" w:hAnsi="Times New Roman"/>
          <w:i/>
          <w:sz w:val="20"/>
        </w:rPr>
        <w:t>Information Reporting and Backup Withholding</w:t>
      </w:r>
      <w:r>
        <w:rPr>
          <w:rFonts w:ascii="Times New Roman" w:hAnsi="Times New Roman"/>
          <w:sz w:val="20"/>
        </w:rPr>
        <w:t xml:space="preserve">. In general, information reporting requirements may apply to dividends paid to a U.S. holder and to the proceeds of the sale or other disposition of our shares of common stock,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 </w:t>
      </w:r>
    </w:p>
    <w:p>
      <w:pPr>
        <w:pStyle w:val="TextBody"/>
        <w:bidi w:val="0"/>
        <w:spacing w:before="240" w:after="0"/>
        <w:jc w:val="left"/>
        <w:rPr>
          <w:rFonts w:ascii="Times New Roman" w:hAnsi="Times New Roman"/>
          <w:sz w:val="20"/>
        </w:rPr>
      </w:pPr>
      <w:r>
        <w:rPr>
          <w:rFonts w:ascii="Times New Roman" w:hAnsi="Times New Roman"/>
          <w:sz w:val="20"/>
        </w:rPr>
        <w:t xml:space="preserve">Any amounts withheld under the backup withholding rules generally should be allowed as a refund or a credit against a U.S. holder’s U.S. federal income tax liability provided the required information is timely furnished to the IRS. </w:t>
      </w:r>
    </w:p>
    <w:p>
      <w:pPr>
        <w:pStyle w:val="TextBody"/>
        <w:bidi w:val="0"/>
        <w:spacing w:before="360" w:after="0"/>
        <w:jc w:val="left"/>
        <w:rPr>
          <w:rFonts w:ascii="Times New Roman" w:hAnsi="Times New Roman"/>
          <w:b/>
          <w:i/>
          <w:sz w:val="20"/>
        </w:rPr>
      </w:pPr>
      <w:r>
        <w:rPr>
          <w:rFonts w:ascii="Times New Roman" w:hAnsi="Times New Roman"/>
          <w:b/>
          <w:i/>
          <w:sz w:val="20"/>
        </w:rPr>
        <w:t xml:space="preserve">Material U.S. Federal Income Tax Consequences for Non-U.S. Holders </w:t>
      </w:r>
    </w:p>
    <w:p>
      <w:pPr>
        <w:pStyle w:val="TextBody"/>
        <w:bidi w:val="0"/>
        <w:spacing w:before="120" w:after="0"/>
        <w:jc w:val="left"/>
        <w:rPr>
          <w:rFonts w:ascii="Times New Roman" w:hAnsi="Times New Roman"/>
          <w:sz w:val="20"/>
        </w:rPr>
      </w:pPr>
      <w:r>
        <w:rPr>
          <w:rFonts w:ascii="Times New Roman" w:hAnsi="Times New Roman"/>
          <w:sz w:val="20"/>
        </w:rPr>
        <w:t xml:space="preserve">This section applies to you if you are a “Non-U.S. holder.” As used herein, the term “Non-U.S. holder” means a beneficial owner of common stock who or that is for U.S. federal income tax purposes: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non-resident alien individual (other than certain former citizens and residents of the U.S. subject to U.S. tax as expatriates); </w:t>
            </w:r>
          </w:p>
        </w:tc>
      </w:tr>
    </w:tbl>
    <w:p>
      <w:pPr>
        <w:pStyle w:val="TextBody"/>
        <w:bidi w:val="0"/>
        <w:spacing w:before="0" w:after="0"/>
        <w:jc w:val="left"/>
        <w:rPr/>
      </w:pPr>
      <w:r>
        <w:rPr/>
        <w:t> </w:t>
      </w:r>
    </w:p>
    <w:tbl>
      <w:tblPr>
        <w:tblW w:w="2305" w:type="dxa"/>
        <w:jc w:val="left"/>
        <w:tblInd w:w="0" w:type="dxa"/>
        <w:tblLayout w:type="fixed"/>
        <w:tblCellMar>
          <w:top w:w="0" w:type="dxa"/>
          <w:left w:w="0" w:type="dxa"/>
          <w:bottom w:w="0" w:type="dxa"/>
          <w:right w:w="0" w:type="dxa"/>
        </w:tblCellMar>
      </w:tblPr>
      <w:tblGrid>
        <w:gridCol w:w="75"/>
        <w:gridCol w:w="110"/>
        <w:gridCol w:w="60"/>
        <w:gridCol w:w="20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foreign corporation; or </w:t>
            </w:r>
          </w:p>
        </w:tc>
      </w:tr>
    </w:tbl>
    <w:p>
      <w:pPr>
        <w:pStyle w:val="TextBody"/>
        <w:bidi w:val="0"/>
        <w:spacing w:before="0" w:after="0"/>
        <w:jc w:val="left"/>
        <w:rPr/>
      </w:pPr>
      <w:r>
        <w:rPr/>
        <w:t> </w:t>
      </w:r>
    </w:p>
    <w:tbl>
      <w:tblPr>
        <w:tblW w:w="3595" w:type="dxa"/>
        <w:jc w:val="left"/>
        <w:tblInd w:w="0" w:type="dxa"/>
        <w:tblLayout w:type="fixed"/>
        <w:tblCellMar>
          <w:top w:w="0" w:type="dxa"/>
          <w:left w:w="0" w:type="dxa"/>
          <w:bottom w:w="0" w:type="dxa"/>
          <w:right w:w="0" w:type="dxa"/>
        </w:tblCellMar>
      </w:tblPr>
      <w:tblGrid>
        <w:gridCol w:w="75"/>
        <w:gridCol w:w="110"/>
        <w:gridCol w:w="60"/>
        <w:gridCol w:w="33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 estate or trust that is not a U.S. holder;</w:t>
            </w:r>
          </w:p>
        </w:tc>
      </w:tr>
    </w:tbl>
    <w:p>
      <w:pPr>
        <w:pStyle w:val="TextBody"/>
        <w:bidi w:val="0"/>
        <w:spacing w:before="240" w:after="0"/>
        <w:jc w:val="left"/>
        <w:rPr>
          <w:rFonts w:ascii="Times New Roman" w:hAnsi="Times New Roman"/>
          <w:sz w:val="20"/>
        </w:rPr>
      </w:pPr>
      <w:r>
        <w:rPr>
          <w:rFonts w:ascii="Times New Roman" w:hAnsi="Times New Roman"/>
          <w:sz w:val="20"/>
        </w:rPr>
        <w:t xml:space="preserve">but generally does not include an individual who is present in the United States for 183 days or more in the taxable year of disposition. If you are such an individual, you should consult your tax advisor regarding the U.S. federal income tax consequences of the acquisition, ownership or sale or other disposition of our securities. </w:t>
      </w:r>
    </w:p>
    <w:p>
      <w:pPr>
        <w:pStyle w:val="TextBody"/>
        <w:bidi w:val="0"/>
        <w:spacing w:before="240" w:after="0"/>
        <w:jc w:val="left"/>
        <w:rPr>
          <w:rFonts w:ascii="Times New Roman" w:hAnsi="Times New Roman"/>
          <w:sz w:val="20"/>
        </w:rPr>
      </w:pPr>
      <w:r>
        <w:rPr>
          <w:rFonts w:ascii="Times New Roman" w:hAnsi="Times New Roman"/>
          <w:i/>
          <w:sz w:val="20"/>
        </w:rPr>
        <w:t>Taxation of Distributions</w:t>
      </w:r>
      <w:r>
        <w:rPr>
          <w:rFonts w:ascii="Times New Roman" w:hAnsi="Times New Roman"/>
          <w:sz w:val="20"/>
        </w:rPr>
        <w:t>. In general, any distributions we make to a Non-U.S. holder of shares of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Any distribution not constituting a dividend will be treated first as reducing (but not below zero) the Non-U.S. holder’s adjusted tax basis in its shares of common stock and, to the extent such distribution exceeds the Non-U.S. holder’s adjusted tax basis, as gain realized from the sale or other disposition of the common stock, which will be treated as described under “</w:t>
      </w:r>
      <w:r>
        <w:rPr>
          <w:rFonts w:ascii="Times New Roman" w:hAnsi="Times New Roman"/>
          <w:i/>
          <w:sz w:val="20"/>
        </w:rPr>
        <w:t>Non-U.S. Holders-Gain on Sale, Taxable Exchange or Other Taxable Disposition of Common Stock</w:t>
      </w:r>
      <w:r>
        <w:rPr>
          <w:rFonts w:ascii="Times New Roman" w:hAnsi="Times New Roman"/>
          <w:sz w:val="20"/>
        </w:rPr>
        <w:t xml:space="preserve">”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withholding tax does not apply to dividends paid to a Non-U.S. holder who provides a Form W-8ECI, certifying that the dividends are effectively connected with the Non-U.S. holder’s conduct of a trade or business within the United States. Instead, the effectively connected dividends will be subject to regular U.S. income tax as if the Non-U.S. holder were a U.S. resident, subject to an applicable income tax treaty providing otherwise. A Non-U.S. corporation receiving effectively connected dividends may also be subject to an additional “branch profits tax” imposed at a rate of 30% (or a lower treaty rate). </w:t>
      </w:r>
    </w:p>
    <w:p>
      <w:pPr>
        <w:pStyle w:val="TextBody"/>
        <w:bidi w:val="0"/>
        <w:spacing w:before="240" w:after="0"/>
        <w:jc w:val="left"/>
        <w:rPr>
          <w:rFonts w:ascii="Times New Roman" w:hAnsi="Times New Roman"/>
          <w:sz w:val="20"/>
        </w:rPr>
      </w:pPr>
      <w:r>
        <w:rPr>
          <w:rFonts w:ascii="Times New Roman" w:hAnsi="Times New Roman"/>
          <w:i/>
          <w:sz w:val="20"/>
        </w:rPr>
        <w:t>Gain on Sale, Taxable Exchange or Other Taxable Disposition of Common Stock</w:t>
      </w:r>
      <w:r>
        <w:rPr>
          <w:rFonts w:ascii="Times New Roman" w:hAnsi="Times New Roman"/>
          <w:sz w:val="20"/>
        </w:rPr>
        <w:t xml:space="preserve">. A Non-U.S. holder generally will not be subject to U.S. federal income or withholding tax in respect of gain recognized on a sale, taxable exchange or other taxable disposition of common stock, unless: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conduct of a trade or business by the Non-U.S. holder within the United States (and, under certain income tax treaties, is attributable to a United States permanent establishment or fixed base maintained by the Non-U.S. holder);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are or have been a “U.S. real property holding corporation” for U.S. federal income tax purposes at any time during the shorter of the five-year period ending on the date of disposition or the period that the Non-U.S. holder held common stock, and, in the case where shares of common stock are regularly traded on an established securities market, the Non-U.S. holder has owned, directly or constructively, more than 5% of common stock at any time within the shorter of the five-year period preceding the disposition or such Non-U.S. holder’s holding period for the shares of common stock. There can be no assurance that common stock will be treated as regularly traded on an established securities market for this purpose.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treaty rate). </w:t>
      </w:r>
    </w:p>
    <w:p>
      <w:pPr>
        <w:pStyle w:val="TextBody"/>
        <w:bidi w:val="0"/>
        <w:spacing w:before="240" w:after="0"/>
        <w:jc w:val="left"/>
        <w:rPr>
          <w:rFonts w:ascii="Times New Roman" w:hAnsi="Times New Roman"/>
          <w:sz w:val="20"/>
        </w:rPr>
      </w:pPr>
      <w:r>
        <w:rPr>
          <w:rFonts w:ascii="Times New Roman" w:hAnsi="Times New Roman"/>
          <w:sz w:val="20"/>
        </w:rPr>
        <w:t xml:space="preserve">If the second bullet point above applies to a Non-U.S. holder, gain recognized by such holder on the sale, exchange or other disposition of common stock will be subject to tax at generally applicable U.S. federal income tax rates. </w:t>
      </w:r>
    </w:p>
    <w:p>
      <w:pPr>
        <w:pStyle w:val="TextBody"/>
        <w:bidi w:val="0"/>
        <w:spacing w:before="240" w:after="0"/>
        <w:jc w:val="left"/>
        <w:rPr>
          <w:rFonts w:ascii="Times New Roman" w:hAnsi="Times New Roman"/>
          <w:sz w:val="20"/>
        </w:rPr>
      </w:pPr>
      <w:r>
        <w:rPr>
          <w:rFonts w:ascii="Times New Roman" w:hAnsi="Times New Roman"/>
          <w:i/>
          <w:sz w:val="20"/>
        </w:rPr>
        <w:t>Information Reporting and Backup Withholding</w:t>
      </w:r>
      <w:r>
        <w:rPr>
          <w:rFonts w:ascii="Times New Roman" w:hAnsi="Times New Roman"/>
          <w:sz w:val="20"/>
        </w:rPr>
        <w:t xml:space="preserve">. Information returns will be filed with the IRS in connection with payments of dividends and the proceeds from a sale or other disposition of our shares of common stock.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will satisfy the certification requirements necessary to avoid the backup withholding as well. The amount of any backup withholding from a payment to a Non-U.S. holder will be allowed as a credit against such holder’s U.S. federal income tax liability and may entitle such holder to a refund, provided that the required information is timely furnished to the IRS. </w:t>
      </w:r>
    </w:p>
    <w:p>
      <w:pPr>
        <w:pStyle w:val="TextBody"/>
        <w:bidi w:val="0"/>
        <w:spacing w:before="240" w:after="0"/>
        <w:jc w:val="left"/>
        <w:rPr>
          <w:rFonts w:ascii="Times New Roman" w:hAnsi="Times New Roman"/>
          <w:sz w:val="20"/>
        </w:rPr>
      </w:pPr>
      <w:r>
        <w:rPr>
          <w:rFonts w:ascii="Times New Roman" w:hAnsi="Times New Roman"/>
          <w:i/>
          <w:sz w:val="20"/>
        </w:rPr>
        <w:t>FATCA Withholding Taxes</w:t>
      </w:r>
      <w:r>
        <w:rPr>
          <w:rFonts w:ascii="Times New Roman" w:hAnsi="Times New Roman"/>
          <w:sz w:val="20"/>
        </w:rPr>
        <w:t xml:space="preserve">. Provisions commonly referred to as “FATCA” impose withholding of 30% on payments of dividends (including constructive dividends) on common stock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by, or an exemption applies to, the payee (typically certified as to by the delivery of a properly completed IRS Form W-8BEN-E). Pursuant to proposed Treasury Regulations, the U.S. Treasury Department has indicated its intent to eliminate the requirement under FATCA of withholding on gross proceeds from the sale or other disposition of property of a type which can produce U.S. source dividends or interest. The U.S. Treasury Department has indicated that taxpayers may rely on these proposed Treasury Regulations pending their finalization.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Prospective investors should consult their tax advisers regarding the effects of FATCA on their investment in our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127696_22"/>
      <w:bookmarkEnd w:id="23"/>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common stock offered by this prospectus will be passed upon for us by Goodwin Procter LLP, Boston, Massachusetts.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127696_23"/>
      <w:bookmarkEnd w:id="24"/>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Obsidian Therapeutics Sub, Inc. (f/k/a Obsidian Therapeutics, Inc.) as of December 31, 2025 and 2024, and for the years then ended, have been included herein and in the registration statement in reliance upon the report of KPMG LLP, independent registered public accounting firm, appearing elsewhere herein, and upon the authority of said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audit report covering the December 31, 2025 consolidated financial statements contains an explanatory paragraph that states that the Company’s recurring losses from operations, negative operating cash flows, and accumulated deficit raise substantial doubt about the entity’s ability to continue as a going concern. The consolidated financial statements do not include any adjustments that might result from the outcome of that uncertainty. </w:t>
      </w:r>
    </w:p>
    <w:p>
      <w:pPr>
        <w:pStyle w:val="TextBody"/>
        <w:bidi w:val="0"/>
        <w:spacing w:before="480" w:after="0"/>
        <w:jc w:val="center"/>
        <w:rPr>
          <w:rFonts w:ascii="Times New Roman" w:hAnsi="Times New Roman"/>
          <w:b/>
          <w:sz w:val="20"/>
        </w:rPr>
      </w:pPr>
      <w:bookmarkStart w:id="25" w:name="tx127696_24"/>
      <w:bookmarkEnd w:id="2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informational requirements of the Exchange Act and in accordance therewith, file annual, quarterly and current reports, proxy statements and other information with the SEC electronically, and the SEC maintains a website that contains our filings as well as reports, proxy and information statements, and other information issuers file electronically with the SEC at www.sec.gov. </w:t>
      </w:r>
    </w:p>
    <w:p>
      <w:pPr>
        <w:pStyle w:val="TextBody"/>
        <w:bidi w:val="0"/>
        <w:spacing w:before="240" w:after="0"/>
        <w:jc w:val="left"/>
        <w:rPr>
          <w:rFonts w:ascii="Times New Roman" w:hAnsi="Times New Roman"/>
          <w:sz w:val="20"/>
        </w:rPr>
      </w:pPr>
      <w:r>
        <w:rPr>
          <w:rFonts w:ascii="Times New Roman" w:hAnsi="Times New Roman"/>
          <w:sz w:val="20"/>
        </w:rPr>
        <w:t xml:space="preserve">We also make available free of charge on or through our website at </w:t>
      </w:r>
      <w:r>
        <w:rPr>
          <w:rFonts w:ascii="Times New Roman" w:hAnsi="Times New Roman"/>
          <w:i/>
          <w:sz w:val="20"/>
        </w:rPr>
        <w:t>www.obsidiantx.com</w:t>
      </w:r>
      <w:r>
        <w:rPr>
          <w:rFonts w:ascii="Times New Roman" w:hAnsi="Times New Roman"/>
          <w:sz w:val="20"/>
        </w:rPr>
        <w:t xml:space="preserve">, our Annual Reports on Form 10-K, Quarterly Reports on Form 10-Q, Current Reports on Form 8-K and amendments to those reports filed or furnished pursuant to Section 13(a) or 15(d) of the Exchange Act as soon as reasonably practicable after we electronically file such material with or otherwise furnish it to the SEC. The website addresses are inactive textual references and except as specifically incorporated by reference into this prospectus, information on those websites is not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are part of a registration statement that we filed with the SEC and do not contain all of the information in the registration statement. The full registration statement may be obtained from the SEC or us, as provided below. Other documents establishing the terms of the offered securities are or may be filed as exhibits to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before="240" w:after="0"/>
        <w:jc w:val="left"/>
        <w:rPr>
          <w:rFonts w:ascii="Times New Roman" w:hAnsi="Times New Roman"/>
          <w:sz w:val="20"/>
        </w:rPr>
      </w:pPr>
      <w:r>
        <w:rPr>
          <w:rFonts w:ascii="Times New Roman" w:hAnsi="Times New Roman"/>
          <w:sz w:val="20"/>
        </w:rPr>
        <w:t xml:space="preserve">If you would like to request documents, please send a request in writing or by telephone to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Obsidian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1030 Massachusetts Avenue </w:t>
      </w:r>
    </w:p>
    <w:p>
      <w:pPr>
        <w:pStyle w:val="TextBody"/>
        <w:bidi w:val="0"/>
        <w:spacing w:before="0" w:after="0"/>
        <w:jc w:val="center"/>
        <w:rPr>
          <w:rFonts w:ascii="Times New Roman" w:hAnsi="Times New Roman"/>
          <w:sz w:val="20"/>
        </w:rPr>
      </w:pPr>
      <w:r>
        <w:rPr>
          <w:rFonts w:ascii="Times New Roman" w:hAnsi="Times New Roman"/>
          <w:sz w:val="20"/>
        </w:rPr>
        <w:t xml:space="preserve">Cambridge, MA 02138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127696_25"/>
      <w:bookmarkEnd w:id="26"/>
      <w:r>
        <w:rPr>
          <w:rFonts w:ascii="Times New Roman" w:hAnsi="Times New Roman"/>
          <w:b/>
          <w:sz w:val="20"/>
        </w:rPr>
        <w:t xml:space="preserve">INDEX TO CONSOLIDATED FINANCIAL STATEMENTS OF OBSIDIAN THERAPEUTICS SUB, INC. (F/K/A OBSIDIAN THERAPEUTICS, INC.) </w:t>
      </w:r>
    </w:p>
    <w:p>
      <w:pPr>
        <w:pStyle w:val="TextBody"/>
        <w:bidi w:val="0"/>
        <w:spacing w:before="0" w:after="0"/>
        <w:jc w:val="left"/>
        <w:rPr/>
      </w:pPr>
      <w:r>
        <w:rPr/>
        <w:t> </w:t>
      </w:r>
    </w:p>
    <w:tbl>
      <w:tblPr>
        <w:tblW w:w="8335" w:type="dxa"/>
        <w:jc w:val="left"/>
        <w:tblInd w:w="0" w:type="dxa"/>
        <w:tblLayout w:type="fixed"/>
        <w:tblCellMar>
          <w:top w:w="0" w:type="dxa"/>
          <w:left w:w="0" w:type="dxa"/>
          <w:bottom w:w="0" w:type="dxa"/>
          <w:right w:w="0" w:type="dxa"/>
        </w:tblCellMar>
      </w:tblPr>
      <w:tblGrid>
        <w:gridCol w:w="7730"/>
        <w:gridCol w:w="120"/>
        <w:gridCol w:w="60"/>
        <w:gridCol w:w="350"/>
        <w:gridCol w:w="75"/>
      </w:tblGrid>
      <w:tr>
        <w:trPr/>
        <w:tc>
          <w:tcPr>
            <w:tcW w:w="7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7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Consolidated Financial Statements for the Years ended December 31, 2025 and 2024</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730" w:type="dxa"/>
            <w:tcBorders/>
            <w:vAlign w:val="center"/>
          </w:tcPr>
          <w:p>
            <w:pPr>
              <w:pStyle w:val="TableContents"/>
              <w:bidi w:val="0"/>
              <w:spacing w:before="0" w:after="0"/>
              <w:jc w:val="left"/>
              <w:rPr/>
            </w:pPr>
            <w:hyperlink w:anchor="fin127696_1">
              <w:r>
                <w:rPr>
                  <w:rStyle w:val="InternetLink"/>
                  <w:rFonts w:ascii="Times New Roman" w:hAnsi="Times New Roman"/>
                  <w:sz w:val="20"/>
                </w:rPr>
                <w:t>Report of Independent Registered Public Accounting Firm</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F-2</w:t>
            </w:r>
          </w:p>
        </w:tc>
        <w:tc>
          <w:tcPr>
            <w:tcW w:w="75" w:type="dxa"/>
            <w:tcBorders/>
            <w:vAlign w:val="center"/>
          </w:tcPr>
          <w:p>
            <w:pPr>
              <w:pStyle w:val="TableContents"/>
              <w:bidi w:val="0"/>
              <w:spacing w:before="0" w:after="283"/>
              <w:jc w:val="left"/>
              <w:rPr/>
            </w:pPr>
            <w:r>
              <w:rPr/>
              <w:t> </w:t>
            </w:r>
          </w:p>
        </w:tc>
      </w:tr>
      <w:tr>
        <w:trPr/>
        <w:tc>
          <w:tcPr>
            <w:tcW w:w="7730" w:type="dxa"/>
            <w:tcBorders/>
            <w:vAlign w:val="center"/>
          </w:tcPr>
          <w:p>
            <w:pPr>
              <w:pStyle w:val="TableContents"/>
              <w:bidi w:val="0"/>
              <w:spacing w:before="0" w:after="0"/>
              <w:jc w:val="left"/>
              <w:rPr/>
            </w:pPr>
            <w:hyperlink w:anchor="fin127696_2">
              <w:r>
                <w:rPr>
                  <w:rStyle w:val="InternetLink"/>
                  <w:rFonts w:ascii="Times New Roman" w:hAnsi="Times New Roman"/>
                  <w:sz w:val="20"/>
                </w:rPr>
                <w:t>Consolidated Balance Sheets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F-3</w:t>
            </w:r>
          </w:p>
        </w:tc>
        <w:tc>
          <w:tcPr>
            <w:tcW w:w="75" w:type="dxa"/>
            <w:tcBorders/>
            <w:vAlign w:val="center"/>
          </w:tcPr>
          <w:p>
            <w:pPr>
              <w:pStyle w:val="TableContents"/>
              <w:bidi w:val="0"/>
              <w:spacing w:before="0" w:after="283"/>
              <w:jc w:val="left"/>
              <w:rPr/>
            </w:pPr>
            <w:r>
              <w:rPr/>
              <w:t> </w:t>
            </w:r>
          </w:p>
        </w:tc>
      </w:tr>
      <w:tr>
        <w:trPr/>
        <w:tc>
          <w:tcPr>
            <w:tcW w:w="7730" w:type="dxa"/>
            <w:tcBorders/>
            <w:vAlign w:val="center"/>
          </w:tcPr>
          <w:p>
            <w:pPr>
              <w:pStyle w:val="TableContents"/>
              <w:bidi w:val="0"/>
              <w:spacing w:before="0" w:after="0"/>
              <w:jc w:val="left"/>
              <w:rPr/>
            </w:pPr>
            <w:hyperlink w:anchor="fin127696_3">
              <w:r>
                <w:rPr>
                  <w:rStyle w:val="InternetLink"/>
                  <w:rFonts w:ascii="Times New Roman" w:hAnsi="Times New Roman"/>
                  <w:sz w:val="20"/>
                </w:rPr>
                <w:t>Consolidated Statements of Operations and Comprehensive Loss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F-4</w:t>
            </w:r>
          </w:p>
        </w:tc>
        <w:tc>
          <w:tcPr>
            <w:tcW w:w="75" w:type="dxa"/>
            <w:tcBorders/>
            <w:vAlign w:val="center"/>
          </w:tcPr>
          <w:p>
            <w:pPr>
              <w:pStyle w:val="TableContents"/>
              <w:bidi w:val="0"/>
              <w:spacing w:before="0" w:after="283"/>
              <w:jc w:val="left"/>
              <w:rPr/>
            </w:pPr>
            <w:r>
              <w:rPr/>
              <w:t> </w:t>
            </w:r>
          </w:p>
        </w:tc>
      </w:tr>
      <w:tr>
        <w:trPr/>
        <w:tc>
          <w:tcPr>
            <w:tcW w:w="7730" w:type="dxa"/>
            <w:tcBorders/>
            <w:vAlign w:val="center"/>
          </w:tcPr>
          <w:p>
            <w:pPr>
              <w:pStyle w:val="TableContents"/>
              <w:bidi w:val="0"/>
              <w:spacing w:before="0" w:after="0"/>
              <w:jc w:val="left"/>
              <w:rPr/>
            </w:pPr>
            <w:hyperlink w:anchor="fin127696_4">
              <w:r>
                <w:rPr>
                  <w:rStyle w:val="InternetLink"/>
                  <w:rFonts w:ascii="Times New Roman" w:hAnsi="Times New Roman"/>
                  <w:sz w:val="20"/>
                </w:rPr>
                <w:t>Consolidated Statements of Redeemable Convertible Preferred Stock and Stockholders’ Deficit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F-5</w:t>
            </w:r>
          </w:p>
        </w:tc>
        <w:tc>
          <w:tcPr>
            <w:tcW w:w="75" w:type="dxa"/>
            <w:tcBorders/>
            <w:vAlign w:val="center"/>
          </w:tcPr>
          <w:p>
            <w:pPr>
              <w:pStyle w:val="TableContents"/>
              <w:bidi w:val="0"/>
              <w:spacing w:before="0" w:after="283"/>
              <w:jc w:val="left"/>
              <w:rPr/>
            </w:pPr>
            <w:r>
              <w:rPr/>
              <w:t> </w:t>
            </w:r>
          </w:p>
        </w:tc>
      </w:tr>
      <w:tr>
        <w:trPr/>
        <w:tc>
          <w:tcPr>
            <w:tcW w:w="7730" w:type="dxa"/>
            <w:tcBorders/>
            <w:vAlign w:val="center"/>
          </w:tcPr>
          <w:p>
            <w:pPr>
              <w:pStyle w:val="TableContents"/>
              <w:bidi w:val="0"/>
              <w:spacing w:before="0" w:after="0"/>
              <w:jc w:val="left"/>
              <w:rPr/>
            </w:pPr>
            <w:hyperlink w:anchor="fin127696_5">
              <w:r>
                <w:rPr>
                  <w:rStyle w:val="InternetLink"/>
                  <w:rFonts w:ascii="Times New Roman" w:hAnsi="Times New Roman"/>
                  <w:sz w:val="20"/>
                </w:rPr>
                <w:t>Consolidated Statements of Cash Flows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F-6</w:t>
            </w:r>
          </w:p>
        </w:tc>
        <w:tc>
          <w:tcPr>
            <w:tcW w:w="75" w:type="dxa"/>
            <w:tcBorders/>
            <w:vAlign w:val="center"/>
          </w:tcPr>
          <w:p>
            <w:pPr>
              <w:pStyle w:val="TableContents"/>
              <w:bidi w:val="0"/>
              <w:spacing w:before="0" w:after="283"/>
              <w:jc w:val="left"/>
              <w:rPr/>
            </w:pPr>
            <w:r>
              <w:rPr/>
              <w:t> </w:t>
            </w:r>
          </w:p>
        </w:tc>
      </w:tr>
      <w:tr>
        <w:trPr/>
        <w:tc>
          <w:tcPr>
            <w:tcW w:w="7730" w:type="dxa"/>
            <w:tcBorders/>
            <w:vAlign w:val="center"/>
          </w:tcPr>
          <w:p>
            <w:pPr>
              <w:pStyle w:val="TableContents"/>
              <w:bidi w:val="0"/>
              <w:spacing w:before="0" w:after="0"/>
              <w:jc w:val="left"/>
              <w:rPr/>
            </w:pPr>
            <w:hyperlink w:anchor="fin127696_6">
              <w:r>
                <w:rPr>
                  <w:rStyle w:val="InternetLink"/>
                  <w:rFonts w:ascii="Times New Roman" w:hAnsi="Times New Roman"/>
                  <w:sz w:val="20"/>
                </w:rPr>
                <w:t>Notes to Consolidated Financial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F-7</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9415" w:type="dxa"/>
        <w:jc w:val="left"/>
        <w:tblInd w:w="0" w:type="dxa"/>
        <w:tblLayout w:type="fixed"/>
        <w:tblCellMar>
          <w:top w:w="0" w:type="dxa"/>
          <w:left w:w="0" w:type="dxa"/>
          <w:bottom w:w="0" w:type="dxa"/>
          <w:right w:w="0" w:type="dxa"/>
        </w:tblCellMar>
      </w:tblPr>
      <w:tblGrid>
        <w:gridCol w:w="8690"/>
        <w:gridCol w:w="120"/>
        <w:gridCol w:w="60"/>
        <w:gridCol w:w="470"/>
        <w:gridCol w:w="75"/>
      </w:tblGrid>
      <w:tr>
        <w:trPr/>
        <w:tc>
          <w:tcPr>
            <w:tcW w:w="8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6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Unaudited Interim Condensed Consolidated Financial Statements as of June 30, 2026</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690" w:type="dxa"/>
            <w:tcBorders/>
            <w:vAlign w:val="center"/>
          </w:tcPr>
          <w:p>
            <w:pPr>
              <w:pStyle w:val="TableContents"/>
              <w:bidi w:val="0"/>
              <w:spacing w:before="0" w:after="0"/>
              <w:jc w:val="left"/>
              <w:rPr/>
            </w:pPr>
            <w:hyperlink w:anchor="fin127696_7">
              <w:r>
                <w:rPr>
                  <w:rStyle w:val="InternetLink"/>
                  <w:rFonts w:ascii="Times New Roman" w:hAnsi="Times New Roman"/>
                  <w:sz w:val="20"/>
                </w:rPr>
                <w:t>Condensed Consolidated Balance Sheets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F-30</w:t>
            </w:r>
          </w:p>
        </w:tc>
        <w:tc>
          <w:tcPr>
            <w:tcW w:w="75" w:type="dxa"/>
            <w:tcBorders/>
            <w:vAlign w:val="center"/>
          </w:tcPr>
          <w:p>
            <w:pPr>
              <w:pStyle w:val="TableContents"/>
              <w:bidi w:val="0"/>
              <w:spacing w:before="0" w:after="283"/>
              <w:jc w:val="left"/>
              <w:rPr/>
            </w:pPr>
            <w:r>
              <w:rPr/>
              <w:t> </w:t>
            </w:r>
          </w:p>
        </w:tc>
      </w:tr>
      <w:tr>
        <w:trPr/>
        <w:tc>
          <w:tcPr>
            <w:tcW w:w="8690" w:type="dxa"/>
            <w:tcBorders/>
            <w:vAlign w:val="center"/>
          </w:tcPr>
          <w:p>
            <w:pPr>
              <w:pStyle w:val="TableContents"/>
              <w:bidi w:val="0"/>
              <w:spacing w:before="0" w:after="0"/>
              <w:jc w:val="left"/>
              <w:rPr/>
            </w:pPr>
            <w:hyperlink w:anchor="fin127696_8">
              <w:r>
                <w:rPr>
                  <w:rStyle w:val="InternetLink"/>
                  <w:rFonts w:ascii="Times New Roman" w:hAnsi="Times New Roman"/>
                  <w:sz w:val="20"/>
                </w:rPr>
                <w:t>Condensed Consolidated Statements of Operations and Comprehensive Loss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F-31</w:t>
            </w:r>
          </w:p>
        </w:tc>
        <w:tc>
          <w:tcPr>
            <w:tcW w:w="75" w:type="dxa"/>
            <w:tcBorders/>
            <w:vAlign w:val="center"/>
          </w:tcPr>
          <w:p>
            <w:pPr>
              <w:pStyle w:val="TableContents"/>
              <w:bidi w:val="0"/>
              <w:spacing w:before="0" w:after="283"/>
              <w:jc w:val="left"/>
              <w:rPr/>
            </w:pPr>
            <w:r>
              <w:rPr/>
              <w:t> </w:t>
            </w:r>
          </w:p>
        </w:tc>
      </w:tr>
      <w:tr>
        <w:trPr/>
        <w:tc>
          <w:tcPr>
            <w:tcW w:w="8690" w:type="dxa"/>
            <w:tcBorders/>
            <w:vAlign w:val="center"/>
          </w:tcPr>
          <w:p>
            <w:pPr>
              <w:pStyle w:val="TableContents"/>
              <w:bidi w:val="0"/>
              <w:spacing w:before="0" w:after="0"/>
              <w:jc w:val="left"/>
              <w:rPr/>
            </w:pPr>
            <w:hyperlink w:anchor="fin127696_9">
              <w:r>
                <w:rPr>
                  <w:rStyle w:val="InternetLink"/>
                  <w:rFonts w:ascii="Times New Roman" w:hAnsi="Times New Roman"/>
                  <w:sz w:val="20"/>
                </w:rPr>
                <w:t>Condensed Consolidated Statements of Redeemable Convertible Preferred Stock and Stockholders’ Deficit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F-32</w:t>
            </w:r>
          </w:p>
        </w:tc>
        <w:tc>
          <w:tcPr>
            <w:tcW w:w="75" w:type="dxa"/>
            <w:tcBorders/>
            <w:vAlign w:val="center"/>
          </w:tcPr>
          <w:p>
            <w:pPr>
              <w:pStyle w:val="TableContents"/>
              <w:bidi w:val="0"/>
              <w:spacing w:before="0" w:after="283"/>
              <w:jc w:val="left"/>
              <w:rPr/>
            </w:pPr>
            <w:r>
              <w:rPr/>
              <w:t> </w:t>
            </w:r>
          </w:p>
        </w:tc>
      </w:tr>
      <w:tr>
        <w:trPr/>
        <w:tc>
          <w:tcPr>
            <w:tcW w:w="8690" w:type="dxa"/>
            <w:tcBorders/>
            <w:vAlign w:val="center"/>
          </w:tcPr>
          <w:p>
            <w:pPr>
              <w:pStyle w:val="TableContents"/>
              <w:bidi w:val="0"/>
              <w:spacing w:before="0" w:after="0"/>
              <w:jc w:val="left"/>
              <w:rPr/>
            </w:pPr>
            <w:hyperlink w:anchor="fin127696_10">
              <w:r>
                <w:rPr>
                  <w:rStyle w:val="InternetLink"/>
                  <w:rFonts w:ascii="Times New Roman" w:hAnsi="Times New Roman"/>
                  <w:sz w:val="20"/>
                </w:rPr>
                <w:t>Condensed Consolidated Statements of Cash Flows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F-34</w:t>
            </w:r>
          </w:p>
        </w:tc>
        <w:tc>
          <w:tcPr>
            <w:tcW w:w="75" w:type="dxa"/>
            <w:tcBorders/>
            <w:vAlign w:val="center"/>
          </w:tcPr>
          <w:p>
            <w:pPr>
              <w:pStyle w:val="TableContents"/>
              <w:bidi w:val="0"/>
              <w:spacing w:before="0" w:after="283"/>
              <w:jc w:val="left"/>
              <w:rPr/>
            </w:pPr>
            <w:r>
              <w:rPr/>
              <w:t> </w:t>
            </w:r>
          </w:p>
        </w:tc>
      </w:tr>
      <w:tr>
        <w:trPr/>
        <w:tc>
          <w:tcPr>
            <w:tcW w:w="8690" w:type="dxa"/>
            <w:tcBorders/>
            <w:vAlign w:val="center"/>
          </w:tcPr>
          <w:p>
            <w:pPr>
              <w:pStyle w:val="TableContents"/>
              <w:bidi w:val="0"/>
              <w:spacing w:before="0" w:after="0"/>
              <w:jc w:val="left"/>
              <w:rPr/>
            </w:pPr>
            <w:hyperlink w:anchor="fin127696_11">
              <w:r>
                <w:rPr>
                  <w:rStyle w:val="InternetLink"/>
                  <w:rFonts w:ascii="Times New Roman" w:hAnsi="Times New Roman"/>
                  <w:sz w:val="20"/>
                </w:rPr>
                <w:t>Notes to Condensed Consolidated Financial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F-35</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Report of Independent Registered Public Accounting Firm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To the Stockholders and the Board of Directors </w:t>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Obsidian Therapeutics, Inc.: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Opinion on the Consolidated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accompanying consolidated balance sheets of Obsidian Therapeutics, Inc. and subsidiary (the Company) as of December 31, 2025 and 2024, the related consolidated statements of operations and comprehensive loss, redeemable convertible preferred stock and stockholders’ deficit, and cash flows for the years then ended,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the years then ended, in conformity with U.S. generally accepted accounting principles.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consolidated financial statements have been prepared assuming that the Company will continue as a going concern. As discussed in Note 1 to the consolidated financial statements, the Company has suffered recurring losses from operations, negative operating cash flows, and has an accumulated deficit, that raise substantial doubt about its ability to continue as a going concern. Management’s plans in regard to these matters are also described in Note 1. The consolidated financial statements do not include any adjustments that might result from the outcome of this uncertainty.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Critical Audit Matters </w:t>
      </w:r>
    </w:p>
    <w:p>
      <w:pPr>
        <w:pStyle w:val="TextBody"/>
        <w:bidi w:val="0"/>
        <w:spacing w:before="120" w:after="0"/>
        <w:jc w:val="left"/>
        <w:rPr>
          <w:rFonts w:ascii="Times New Roman" w:hAnsi="Times New Roman"/>
          <w:sz w:val="20"/>
        </w:rPr>
      </w:pPr>
      <w:r>
        <w:rPr>
          <w:rFonts w:ascii="Times New Roman" w:hAnsi="Times New Roman"/>
          <w:sz w:val="20"/>
        </w:rPr>
        <w:t xml:space="preserve">Critical audit matters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We determined that there are no critical audit matters. </w:t>
      </w:r>
    </w:p>
    <w:p>
      <w:pPr>
        <w:pStyle w:val="TextBody"/>
        <w:bidi w:val="0"/>
        <w:spacing w:before="0" w:after="0"/>
        <w:jc w:val="left"/>
        <w:rPr/>
      </w:pPr>
      <w:r>
        <w:rPr/>
        <w:t> </w:t>
      </w:r>
    </w:p>
    <w:tbl>
      <w:tblPr>
        <w:tblW w:w="4415" w:type="dxa"/>
        <w:jc w:val="left"/>
        <w:tblInd w:w="0" w:type="dxa"/>
        <w:tblLayout w:type="fixed"/>
        <w:tblCellMar>
          <w:top w:w="0" w:type="dxa"/>
          <w:left w:w="0" w:type="dxa"/>
          <w:bottom w:w="0" w:type="dxa"/>
          <w:right w:w="0" w:type="dxa"/>
        </w:tblCellMar>
      </w:tblPr>
      <w:tblGrid>
        <w:gridCol w:w="4415"/>
      </w:tblGrid>
      <w:tr>
        <w:trPr/>
        <w:tc>
          <w:tcPr>
            <w:tcW w:w="4415" w:type="dxa"/>
            <w:tcBorders/>
            <w:vAlign w:val="center"/>
          </w:tcPr>
          <w:p>
            <w:pPr>
              <w:pStyle w:val="TableContents"/>
              <w:bidi w:val="0"/>
              <w:spacing w:before="0" w:after="283"/>
              <w:jc w:val="left"/>
              <w:rPr>
                <w:sz w:val="4"/>
                <w:szCs w:val="4"/>
              </w:rPr>
            </w:pPr>
            <w:r>
              <w:rPr>
                <w:sz w:val="4"/>
                <w:szCs w:val="4"/>
              </w:rPr>
            </w:r>
          </w:p>
        </w:tc>
      </w:tr>
      <w:tr>
        <w:trPr/>
        <w:tc>
          <w:tcPr>
            <w:tcW w:w="4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 KPMG LLP</w:t>
            </w:r>
          </w:p>
        </w:tc>
      </w:tr>
      <w:tr>
        <w:trPr/>
        <w:tc>
          <w:tcPr>
            <w:tcW w:w="4415" w:type="dxa"/>
            <w:tcBorders/>
            <w:vAlign w:val="center"/>
          </w:tcPr>
          <w:p>
            <w:pPr>
              <w:pStyle w:val="TableContents"/>
              <w:bidi w:val="0"/>
              <w:spacing w:before="0" w:after="283"/>
              <w:jc w:val="left"/>
              <w:rPr>
                <w:sz w:val="4"/>
                <w:szCs w:val="4"/>
              </w:rPr>
            </w:pPr>
            <w:r>
              <w:rPr>
                <w:sz w:val="4"/>
                <w:szCs w:val="4"/>
              </w:rPr>
            </w:r>
          </w:p>
        </w:tc>
      </w:tr>
      <w:tr>
        <w:trPr/>
        <w:tc>
          <w:tcPr>
            <w:tcW w:w="4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 have served as the Company’s auditor since 2024.</w:t>
            </w:r>
          </w:p>
        </w:tc>
      </w:tr>
      <w:tr>
        <w:trPr/>
        <w:tc>
          <w:tcPr>
            <w:tcW w:w="4415" w:type="dxa"/>
            <w:tcBorders/>
            <w:vAlign w:val="center"/>
          </w:tcPr>
          <w:p>
            <w:pPr>
              <w:pStyle w:val="TableContents"/>
              <w:bidi w:val="0"/>
              <w:spacing w:before="0" w:after="283"/>
              <w:jc w:val="left"/>
              <w:rPr>
                <w:sz w:val="4"/>
                <w:szCs w:val="4"/>
              </w:rPr>
            </w:pPr>
            <w:r>
              <w:rPr>
                <w:sz w:val="4"/>
                <w:szCs w:val="4"/>
              </w:rPr>
            </w:r>
          </w:p>
        </w:tc>
      </w:tr>
      <w:tr>
        <w:trPr/>
        <w:tc>
          <w:tcPr>
            <w:tcW w:w="4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Boston, Massachusetts</w:t>
            </w:r>
          </w:p>
        </w:tc>
      </w:tr>
      <w:tr>
        <w:trPr/>
        <w:tc>
          <w:tcPr>
            <w:tcW w:w="4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April 22,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OBSIDIAN THERAPEUTICS,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CONSOLIDATED BALANCE SHEETS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EXCEPT FOR SHARE DATA)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670"/>
        <w:gridCol w:w="120"/>
        <w:gridCol w:w="140"/>
        <w:gridCol w:w="875"/>
        <w:gridCol w:w="155"/>
        <w:gridCol w:w="60"/>
        <w:gridCol w:w="140"/>
        <w:gridCol w:w="875"/>
        <w:gridCol w:w="170"/>
      </w:tblGrid>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6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4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40,405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49,761</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40,081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118,509</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4,578</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81,516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172,848</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1,911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3,322</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4,149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6,539</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1,004</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88,580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183,713</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Liabilities, Redeemable Convertible Preferred Stock and Stockholders’ Deficit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1,818</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12,291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11,278</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liabilities, current portion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3,048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2,966</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Financing lease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24</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15,362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16,086</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liabilities, net of current portion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3,824</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206</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16,589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20,116</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10)</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 aggregate liquidation preference of $337,001 at December 31, 2025 and 2024</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338,028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338,028</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Stockholders’ deficit: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$0.0001 par value; 274,320,131 shares authorized; 13,941,901 and 13,921,755 shares issued and outstanding as of December 31, 2025 and 2024, respectively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paid-in-capital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29,874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20,923</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(27</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(295,935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(195,328</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stockholders’ deficit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(266,037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(174,431</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 redeemable convertible preferred stock and stockholders’ deficit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88,580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183,713</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OBSIDIAN THERAPEUTICS,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OPERATIONS AND COMPREHENSIVE LOSS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EXCEPT FOR SHARE AND PER SHARE DATA) </w:t>
      </w:r>
    </w:p>
    <w:p>
      <w:pPr>
        <w:pStyle w:val="TextBody"/>
        <w:bidi w:val="0"/>
        <w:spacing w:before="0" w:after="0"/>
        <w:jc w:val="left"/>
        <w:rPr/>
      </w:pPr>
      <w:r>
        <w:rPr/>
        <w:t> </w:t>
      </w:r>
    </w:p>
    <w:tbl>
      <w:tblPr>
        <w:tblW w:w="8945" w:type="dxa"/>
        <w:jc w:val="left"/>
        <w:tblInd w:w="0" w:type="dxa"/>
        <w:tblLayout w:type="fixed"/>
        <w:tblCellMar>
          <w:top w:w="0" w:type="dxa"/>
          <w:left w:w="0" w:type="dxa"/>
          <w:bottom w:w="0" w:type="dxa"/>
          <w:right w:w="0" w:type="dxa"/>
        </w:tblCellMar>
      </w:tblPr>
      <w:tblGrid>
        <w:gridCol w:w="5960"/>
        <w:gridCol w:w="120"/>
        <w:gridCol w:w="140"/>
        <w:gridCol w:w="1100"/>
        <w:gridCol w:w="155"/>
        <w:gridCol w:w="60"/>
        <w:gridCol w:w="140"/>
        <w:gridCol w:w="1100"/>
        <w:gridCol w:w="170"/>
      </w:tblGrid>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9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95" w:type="dxa"/>
            <w:gridSpan w:val="6"/>
            <w:tcBorders>
              <w:bottom w:val="single" w:sz="8" w:space="0" w:color="000000"/>
            </w:tcBorders>
            <w:tcMar>
              <w:bottom w:w="28" w:type="dxa"/>
            </w:tcMar>
            <w:vAlign w:val="center"/>
          </w:tcPr>
          <w:p>
            <w:pPr>
              <w:pStyle w:val="TableContents"/>
              <w:bidi w:val="0"/>
              <w:spacing w:before="0" w:after="0"/>
              <w:jc w:val="center"/>
              <w:rPr>
                <w:b/>
              </w:rPr>
            </w:pPr>
            <w:r>
              <w:rPr>
                <w:b/>
              </w:rPr>
              <w:t>December 31,</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86,113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73,187</w:t>
            </w:r>
          </w:p>
        </w:tc>
        <w:tc>
          <w:tcPr>
            <w:tcW w:w="170" w:type="dxa"/>
            <w:tcBorders/>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19,554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18,068</w:t>
            </w:r>
          </w:p>
        </w:tc>
        <w:tc>
          <w:tcPr>
            <w:tcW w:w="170" w:type="dxa"/>
            <w:tcBorders/>
            <w:shd w:fill="CCEEFF" w:val="clear"/>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105,667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91,255</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(105,667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(91,255</w:t>
            </w:r>
          </w:p>
        </w:tc>
        <w:tc>
          <w:tcPr>
            <w:tcW w:w="170" w:type="dxa"/>
            <w:tcBorders/>
            <w:shd w:fill="CCEEFF" w:val="clear"/>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and other income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5,060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8,146</w:t>
            </w:r>
          </w:p>
        </w:tc>
        <w:tc>
          <w:tcPr>
            <w:tcW w:w="170" w:type="dxa"/>
            <w:tcBorders/>
            <w:shd w:fill="CCEEFF" w:val="clear"/>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other income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5,060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8,146</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before income tax expense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(100,607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(83,109</w:t>
            </w:r>
          </w:p>
        </w:tc>
        <w:tc>
          <w:tcPr>
            <w:tcW w:w="170" w:type="dxa"/>
            <w:tcBorders/>
            <w:shd w:fill="CCEEFF" w:val="clear"/>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tax benefit (expense)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(100,607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(83,109</w:t>
            </w:r>
          </w:p>
        </w:tc>
        <w:tc>
          <w:tcPr>
            <w:tcW w:w="170" w:type="dxa"/>
            <w:tcBorders/>
            <w:shd w:fill="CCEEFF" w:val="clear"/>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income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Unrealized gain (loss) on marketable securities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(54</w:t>
            </w:r>
          </w:p>
        </w:tc>
        <w:tc>
          <w:tcPr>
            <w:tcW w:w="170" w:type="dxa"/>
            <w:tcBorders/>
            <w:shd w:fill="CCEEFF" w:val="clear"/>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other comprehensive income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(54</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comprehensive loss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(100,557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(83,163</w:t>
            </w:r>
          </w:p>
        </w:tc>
        <w:tc>
          <w:tcPr>
            <w:tcW w:w="170" w:type="dxa"/>
            <w:tcBorders/>
            <w:shd w:fill="CCEEFF" w:val="clear"/>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(7.22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(6.47</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basic and diluted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13,935,769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12,848,484</w:t>
            </w:r>
          </w:p>
        </w:tc>
        <w:tc>
          <w:tcPr>
            <w:tcW w:w="170" w:type="dxa"/>
            <w:tcBorders/>
            <w:shd w:fill="CCEEFF" w:val="clear"/>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OBSIDIAN THERAPEUTICS,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REDEEMABLE CONVERTIBLE PREFERRED STOCK AND STOCKHOLDERS’ DEFICIT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EXCEPT FOR SHARE DATA) </w:t>
      </w:r>
    </w:p>
    <w:p>
      <w:pPr>
        <w:pStyle w:val="TextBody"/>
        <w:bidi w:val="0"/>
        <w:spacing w:before="0" w:after="0"/>
        <w:jc w:val="left"/>
        <w:rPr/>
      </w:pPr>
      <w:r>
        <w:rPr/>
        <w:t> </w:t>
      </w:r>
    </w:p>
    <w:tbl>
      <w:tblPr>
        <w:tblW w:w="12350" w:type="dxa"/>
        <w:jc w:val="left"/>
        <w:tblInd w:w="0" w:type="dxa"/>
        <w:tblLayout w:type="fixed"/>
        <w:tblCellMar>
          <w:top w:w="0" w:type="dxa"/>
          <w:left w:w="0" w:type="dxa"/>
          <w:bottom w:w="0" w:type="dxa"/>
          <w:right w:w="0" w:type="dxa"/>
        </w:tblCellMar>
      </w:tblPr>
      <w:tblGrid>
        <w:gridCol w:w="1175"/>
        <w:gridCol w:w="60"/>
        <w:gridCol w:w="60"/>
        <w:gridCol w:w="1220"/>
        <w:gridCol w:w="60"/>
        <w:gridCol w:w="60"/>
        <w:gridCol w:w="140"/>
        <w:gridCol w:w="800"/>
        <w:gridCol w:w="60"/>
        <w:gridCol w:w="60"/>
        <w:gridCol w:w="30"/>
        <w:gridCol w:w="30"/>
        <w:gridCol w:w="60"/>
        <w:gridCol w:w="60"/>
        <w:gridCol w:w="60"/>
        <w:gridCol w:w="1100"/>
        <w:gridCol w:w="60"/>
        <w:gridCol w:w="60"/>
        <w:gridCol w:w="301"/>
        <w:gridCol w:w="559"/>
        <w:gridCol w:w="60"/>
        <w:gridCol w:w="60"/>
        <w:gridCol w:w="187"/>
        <w:gridCol w:w="913"/>
        <w:gridCol w:w="60"/>
        <w:gridCol w:w="60"/>
        <w:gridCol w:w="474"/>
        <w:gridCol w:w="1136"/>
        <w:gridCol w:w="155"/>
        <w:gridCol w:w="60"/>
        <w:gridCol w:w="188"/>
        <w:gridCol w:w="1182"/>
        <w:gridCol w:w="155"/>
        <w:gridCol w:w="60"/>
        <w:gridCol w:w="195"/>
        <w:gridCol w:w="1220"/>
        <w:gridCol w:w="170"/>
      </w:tblGrid>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0" w:type="dxa"/>
            <w:gridSpan w:val="6"/>
            <w:tcBorders>
              <w:bottom w:val="single" w:sz="8" w:space="0" w:color="000000"/>
            </w:tcBorders>
            <w:tcMar>
              <w:bottom w:w="28" w:type="dxa"/>
            </w:tcMar>
            <w:vAlign w:val="center"/>
          </w:tcPr>
          <w:p>
            <w:pPr>
              <w:pStyle w:val="TableContents"/>
              <w:bidi w:val="0"/>
              <w:spacing w:before="0" w:after="0"/>
              <w:jc w:val="center"/>
              <w:rPr>
                <w:b/>
              </w:rPr>
            </w:pPr>
            <w:r>
              <w:rPr>
                <w:b/>
              </w:rPr>
              <w:t>Redeemable Convertible</w:t>
              <w:b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0"/>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center"/>
          </w:tcPr>
          <w:p>
            <w:pPr>
              <w:pStyle w:val="TableContents"/>
              <w:bidi w:val="0"/>
              <w:spacing w:before="0" w:after="0"/>
              <w:jc w:val="center"/>
              <w:rPr>
                <w:b/>
              </w:rPr>
            </w:pPr>
            <w:r>
              <w:rPr>
                <w:b/>
              </w:rPr>
              <w:t>Additional</w:t>
              <w:br/>
              <w:t>Paid in</w:t>
              <w:br/>
              <w:t>Capital</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610" w:type="dxa"/>
            <w:gridSpan w:val="2"/>
            <w:vMerge w:val="restart"/>
            <w:tcBorders>
              <w:bottom w:val="single" w:sz="8" w:space="0" w:color="000000"/>
            </w:tcBorders>
            <w:tcMar>
              <w:bottom w:w="28" w:type="dxa"/>
            </w:tcMar>
            <w:vAlign w:val="center"/>
          </w:tcPr>
          <w:p>
            <w:pPr>
              <w:pStyle w:val="TableContents"/>
              <w:bidi w:val="0"/>
              <w:spacing w:before="0" w:after="0"/>
              <w:jc w:val="center"/>
              <w:rPr>
                <w:b/>
              </w:rPr>
            </w:pPr>
            <w:r>
              <w:rPr>
                <w:b/>
              </w:rPr>
              <w:t>Accumulated</w:t>
              <w:br/>
              <w:t>Other</w:t>
              <w:br/>
              <w:t>Comprehensive</w:t>
              <w:br/>
              <w:t>Income (Loss)</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center"/>
          </w:tcPr>
          <w:p>
            <w:pPr>
              <w:pStyle w:val="TableContents"/>
              <w:bidi w:val="0"/>
              <w:spacing w:before="0" w:after="0"/>
              <w:jc w:val="center"/>
              <w:rPr>
                <w:b/>
              </w:rPr>
            </w:pPr>
            <w:r>
              <w:rPr>
                <w:b/>
              </w:rPr>
              <w:t>Accumulated</w:t>
              <w:br/>
              <w:t>Deficit</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415" w:type="dxa"/>
            <w:gridSpan w:val="2"/>
            <w:vMerge w:val="restart"/>
            <w:tcBorders>
              <w:bottom w:val="single" w:sz="8" w:space="0" w:color="000000"/>
            </w:tcBorders>
            <w:tcMar>
              <w:bottom w:w="28" w:type="dxa"/>
            </w:tcMar>
            <w:vAlign w:val="center"/>
          </w:tcPr>
          <w:p>
            <w:pPr>
              <w:pStyle w:val="TableContents"/>
              <w:bidi w:val="0"/>
              <w:spacing w:before="0" w:after="0"/>
              <w:jc w:val="center"/>
              <w:rPr>
                <w:b/>
              </w:rPr>
            </w:pPr>
            <w:r>
              <w:rPr>
                <w:b/>
              </w:rPr>
              <w:t>Total</w:t>
              <w:br/>
              <w:t>Stockholders’</w:t>
              <w:br/>
              <w:t>Deficit</w:t>
            </w:r>
          </w:p>
        </w:tc>
        <w:tc>
          <w:tcPr>
            <w:tcW w:w="170" w:type="dxa"/>
            <w:vMerge w:val="restart"/>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10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610" w:type="dxa"/>
            <w:gridSpan w:val="2"/>
            <w:vMerge w:val="continue"/>
            <w:tcBorders/>
            <w:vAlign w:val="center"/>
          </w:tcPr>
          <w:p>
            <w:pPr>
              <w:pStyle w:val="Normal"/>
              <w:bidi w:val="0"/>
              <w:jc w:val="left"/>
              <w:rPr/>
            </w:pPr>
            <w:r>
              <w:rPr/>
            </w:r>
          </w:p>
        </w:tc>
        <w:tc>
          <w:tcPr>
            <w:tcW w:w="155" w:type="dxa"/>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37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415" w:type="dxa"/>
            <w:gridSpan w:val="2"/>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11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Balances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130,471,047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178,060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10,877,392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11,316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w:t>
            </w:r>
          </w:p>
        </w:tc>
        <w:tc>
          <w:tcPr>
            <w:tcW w:w="1136" w:type="dxa"/>
            <w:tcBorders/>
            <w:shd w:fill="CCEEFF" w:val="clear"/>
            <w:vAlign w:val="center"/>
          </w:tcPr>
          <w:p>
            <w:pPr>
              <w:pStyle w:val="TableContents"/>
              <w:bidi w:val="0"/>
              <w:spacing w:before="0" w:after="283"/>
              <w:jc w:val="right"/>
              <w:rPr/>
            </w:pPr>
            <w:r>
              <w:rPr/>
              <w:t>27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(112,219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(100,875</w:t>
            </w:r>
          </w:p>
        </w:tc>
        <w:tc>
          <w:tcPr>
            <w:tcW w:w="170" w:type="dxa"/>
            <w:tcBorders/>
            <w:shd w:fill="CCEEFF" w:val="cle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Issuance of common stock upon exercise of stock 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3,044,363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pPr>
            <w:r>
              <w:rPr/>
              <w:t>2,547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2,547</w:t>
            </w:r>
          </w:p>
        </w:tc>
        <w:tc>
          <w:tcPr>
            <w:tcW w:w="170" w:type="dxa"/>
            <w:tcBorders/>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7,060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7,060</w:t>
            </w:r>
          </w:p>
        </w:tc>
        <w:tc>
          <w:tcPr>
            <w:tcW w:w="170" w:type="dxa"/>
            <w:tcBorders/>
            <w:shd w:fill="CCEEFF" w:val="cle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Sale of Series C preferred stock, net of issuance costs of $532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84,567,145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159,968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Unrealized gain (loss) on marketable securities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(54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(54</w:t>
            </w:r>
          </w:p>
        </w:tc>
        <w:tc>
          <w:tcPr>
            <w:tcW w:w="170" w:type="dxa"/>
            <w:tcBorders/>
            <w:shd w:fill="CCEEFF" w:val="cle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(83,109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(83,109</w:t>
            </w:r>
          </w:p>
        </w:tc>
        <w:tc>
          <w:tcPr>
            <w:tcW w:w="170"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single" w:sz="2" w:space="1" w:color="000000"/>
              </w:rPr>
            </w:pPr>
            <w:r>
              <w:rPr>
                <w:bdr w:val="single" w:sz="2" w:space="1" w:color="000000"/>
              </w:rPr>
              <w:t> </w:t>
            </w:r>
          </w:p>
        </w:tc>
        <w:tc>
          <w:tcPr>
            <w:tcW w:w="5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single" w:sz="2" w:space="1" w:color="000000"/>
              </w:rPr>
            </w:pPr>
            <w:r>
              <w:rPr>
                <w:bdr w:val="single" w:sz="2" w:space="1" w:color="000000"/>
              </w:rPr>
              <w:t> </w:t>
            </w:r>
          </w:p>
        </w:tc>
        <w:tc>
          <w:tcPr>
            <w:tcW w:w="91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0"/>
              <w:jc w:val="left"/>
              <w:rPr>
                <w:bdr w:val="single" w:sz="2" w:space="1" w:color="000000"/>
              </w:rPr>
            </w:pPr>
            <w:r>
              <w:rPr>
                <w:bdr w:val="single" w:sz="2" w:space="1" w:color="000000"/>
              </w:rPr>
              <w:t> </w:t>
            </w:r>
          </w:p>
        </w:tc>
        <w:tc>
          <w:tcPr>
            <w:tcW w:w="113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bdr w:val="single" w:sz="2" w:space="1" w:color="000000"/>
              </w:rPr>
            </w:pPr>
            <w:r>
              <w:rPr>
                <w:bdr w:val="single" w:sz="2" w:space="1" w:color="000000"/>
              </w:rPr>
              <w:t> </w:t>
            </w:r>
          </w:p>
        </w:tc>
        <w:tc>
          <w:tcPr>
            <w:tcW w:w="118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Balances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215,038,192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338,028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13,921,755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20,923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w:t>
            </w:r>
          </w:p>
        </w:tc>
        <w:tc>
          <w:tcPr>
            <w:tcW w:w="1136" w:type="dxa"/>
            <w:tcBorders/>
            <w:shd w:fill="CCEEFF" w:val="clear"/>
            <w:vAlign w:val="center"/>
          </w:tcPr>
          <w:p>
            <w:pPr>
              <w:pStyle w:val="TableContents"/>
              <w:bidi w:val="0"/>
              <w:spacing w:before="0" w:after="283"/>
              <w:jc w:val="right"/>
              <w:rPr/>
            </w:pPr>
            <w:r>
              <w:rPr/>
              <w:t>(27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(195,328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(174,431</w:t>
            </w:r>
          </w:p>
        </w:tc>
        <w:tc>
          <w:tcPr>
            <w:tcW w:w="170" w:type="dxa"/>
            <w:tcBorders/>
            <w:shd w:fill="CCEEFF" w:val="cle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Issuance of common stock upon exercise of stock 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20,146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pPr>
            <w:r>
              <w:rPr/>
              <w:t>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20</w:t>
            </w:r>
          </w:p>
        </w:tc>
        <w:tc>
          <w:tcPr>
            <w:tcW w:w="170" w:type="dxa"/>
            <w:tcBorders/>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8,931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8,931</w:t>
            </w:r>
          </w:p>
        </w:tc>
        <w:tc>
          <w:tcPr>
            <w:tcW w:w="170" w:type="dxa"/>
            <w:tcBorders/>
            <w:shd w:fill="CCEEFF" w:val="cle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Unrealized gain (loss) on marketable securities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50</w:t>
            </w:r>
          </w:p>
        </w:tc>
        <w:tc>
          <w:tcPr>
            <w:tcW w:w="170" w:type="dxa"/>
            <w:tcBorders/>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(100,607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(100,607</w:t>
            </w:r>
          </w:p>
        </w:tc>
        <w:tc>
          <w:tcPr>
            <w:tcW w:w="170" w:type="dxa"/>
            <w:tcBorders/>
            <w:shd w:fill="CCEEFF" w:val="cle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single" w:sz="2" w:space="1" w:color="000000"/>
              </w:rPr>
            </w:pPr>
            <w:r>
              <w:rPr>
                <w:bdr w:val="single" w:sz="2" w:space="1" w:color="000000"/>
              </w:rPr>
              <w:t> </w:t>
            </w:r>
          </w:p>
        </w:tc>
        <w:tc>
          <w:tcPr>
            <w:tcW w:w="5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single" w:sz="2" w:space="1" w:color="000000"/>
              </w:rPr>
            </w:pPr>
            <w:r>
              <w:rPr>
                <w:bdr w:val="single" w:sz="2" w:space="1" w:color="000000"/>
              </w:rPr>
              <w:t> </w:t>
            </w:r>
          </w:p>
        </w:tc>
        <w:tc>
          <w:tcPr>
            <w:tcW w:w="91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0"/>
              <w:jc w:val="left"/>
              <w:rPr>
                <w:bdr w:val="single" w:sz="2" w:space="1" w:color="000000"/>
              </w:rPr>
            </w:pPr>
            <w:r>
              <w:rPr>
                <w:bdr w:val="single" w:sz="2" w:space="1" w:color="000000"/>
              </w:rPr>
              <w:t> </w:t>
            </w:r>
          </w:p>
        </w:tc>
        <w:tc>
          <w:tcPr>
            <w:tcW w:w="113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bdr w:val="single" w:sz="2" w:space="1" w:color="000000"/>
              </w:rPr>
            </w:pPr>
            <w:r>
              <w:rPr>
                <w:bdr w:val="single" w:sz="2" w:space="1" w:color="000000"/>
              </w:rPr>
              <w:t> </w:t>
            </w:r>
          </w:p>
        </w:tc>
        <w:tc>
          <w:tcPr>
            <w:tcW w:w="118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Balances at 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215,038,192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338,028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13,941,901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w:t>
            </w:r>
          </w:p>
        </w:tc>
        <w:tc>
          <w:tcPr>
            <w:tcW w:w="559"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913" w:type="dxa"/>
            <w:tcBorders/>
            <w:vAlign w:val="center"/>
          </w:tcPr>
          <w:p>
            <w:pPr>
              <w:pStyle w:val="TableContents"/>
              <w:bidi w:val="0"/>
              <w:spacing w:before="0" w:after="283"/>
              <w:jc w:val="right"/>
              <w:rPr/>
            </w:pPr>
            <w:r>
              <w:rPr/>
              <w:t>29,874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pPr>
            <w:r>
              <w:rPr/>
              <w:t>$</w:t>
            </w:r>
          </w:p>
        </w:tc>
        <w:tc>
          <w:tcPr>
            <w:tcW w:w="1136" w:type="dxa"/>
            <w:tcBorders/>
            <w:vAlign w:val="center"/>
          </w:tcPr>
          <w:p>
            <w:pPr>
              <w:pStyle w:val="TableContents"/>
              <w:bidi w:val="0"/>
              <w:spacing w:before="0" w:after="283"/>
              <w:jc w:val="right"/>
              <w:rPr/>
            </w:pPr>
            <w:r>
              <w:rPr/>
              <w:t>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w:t>
            </w:r>
          </w:p>
        </w:tc>
        <w:tc>
          <w:tcPr>
            <w:tcW w:w="1182" w:type="dxa"/>
            <w:tcBorders/>
            <w:vAlign w:val="center"/>
          </w:tcPr>
          <w:p>
            <w:pPr>
              <w:pStyle w:val="TableContents"/>
              <w:bidi w:val="0"/>
              <w:spacing w:before="0" w:after="283"/>
              <w:jc w:val="right"/>
              <w:rPr/>
            </w:pPr>
            <w:r>
              <w:rPr/>
              <w:t>(295,935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(266,037</w:t>
            </w:r>
          </w:p>
        </w:tc>
        <w:tc>
          <w:tcPr>
            <w:tcW w:w="170"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double" w:sz="6" w:space="1" w:color="000000"/>
              </w:rPr>
            </w:pPr>
            <w:r>
              <w:rPr>
                <w:bdr w:val="double" w:sz="6" w:space="1" w:color="000000"/>
              </w:rPr>
              <w:t> </w:t>
            </w:r>
          </w:p>
        </w:tc>
        <w:tc>
          <w:tcPr>
            <w:tcW w:w="55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double" w:sz="6" w:space="1" w:color="000000"/>
              </w:rPr>
            </w:pPr>
            <w:r>
              <w:rPr>
                <w:bdr w:val="double" w:sz="6" w:space="1" w:color="000000"/>
              </w:rPr>
              <w:t> </w:t>
            </w:r>
          </w:p>
        </w:tc>
        <w:tc>
          <w:tcPr>
            <w:tcW w:w="913"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0"/>
              <w:jc w:val="left"/>
              <w:rPr>
                <w:bdr w:val="double" w:sz="6" w:space="1" w:color="000000"/>
              </w:rPr>
            </w:pPr>
            <w:r>
              <w:rPr>
                <w:bdr w:val="double" w:sz="6" w:space="1" w:color="000000"/>
              </w:rPr>
              <w:t> </w:t>
            </w:r>
          </w:p>
        </w:tc>
        <w:tc>
          <w:tcPr>
            <w:tcW w:w="1136"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bdr w:val="double" w:sz="6" w:space="1" w:color="000000"/>
              </w:rPr>
            </w:pPr>
            <w:r>
              <w:rPr>
                <w:bdr w:val="double" w:sz="6" w:space="1" w:color="000000"/>
              </w:rPr>
              <w:t> </w:t>
            </w:r>
          </w:p>
        </w:tc>
        <w:tc>
          <w:tcPr>
            <w:tcW w:w="118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OBSIDIAN THERAPEUTICS,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CASH FLOWS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w:t>
      </w:r>
    </w:p>
    <w:p>
      <w:pPr>
        <w:pStyle w:val="TextBody"/>
        <w:bidi w:val="0"/>
        <w:spacing w:before="0" w:after="0"/>
        <w:jc w:val="left"/>
        <w:rPr/>
      </w:pPr>
      <w:r>
        <w:rPr/>
        <w:t> </w:t>
      </w:r>
    </w:p>
    <w:tbl>
      <w:tblPr>
        <w:tblW w:w="8891" w:type="dxa"/>
        <w:jc w:val="left"/>
        <w:tblInd w:w="0" w:type="dxa"/>
        <w:tblLayout w:type="fixed"/>
        <w:tblCellMar>
          <w:top w:w="0" w:type="dxa"/>
          <w:left w:w="0" w:type="dxa"/>
          <w:bottom w:w="0" w:type="dxa"/>
          <w:right w:w="0" w:type="dxa"/>
        </w:tblCellMar>
      </w:tblPr>
      <w:tblGrid>
        <w:gridCol w:w="5945"/>
        <w:gridCol w:w="120"/>
        <w:gridCol w:w="165"/>
        <w:gridCol w:w="1036"/>
        <w:gridCol w:w="183"/>
        <w:gridCol w:w="71"/>
        <w:gridCol w:w="165"/>
        <w:gridCol w:w="1036"/>
        <w:gridCol w:w="170"/>
      </w:tblGrid>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9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56"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83"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20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71"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w:t>
            </w:r>
          </w:p>
        </w:tc>
        <w:tc>
          <w:tcPr>
            <w:tcW w:w="1036" w:type="dxa"/>
            <w:tcBorders/>
            <w:vAlign w:val="center"/>
          </w:tcPr>
          <w:p>
            <w:pPr>
              <w:pStyle w:val="TableContents"/>
              <w:bidi w:val="0"/>
              <w:spacing w:before="0" w:after="283"/>
              <w:jc w:val="right"/>
              <w:rPr/>
            </w:pPr>
            <w:r>
              <w:rPr/>
              <w:t>(100,607</w:t>
            </w:r>
          </w:p>
        </w:tc>
        <w:tc>
          <w:tcPr>
            <w:tcW w:w="183"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w:t>
            </w:r>
          </w:p>
        </w:tc>
        <w:tc>
          <w:tcPr>
            <w:tcW w:w="1036" w:type="dxa"/>
            <w:tcBorders/>
            <w:vAlign w:val="center"/>
          </w:tcPr>
          <w:p>
            <w:pPr>
              <w:pStyle w:val="TableContents"/>
              <w:bidi w:val="0"/>
              <w:spacing w:before="0" w:after="283"/>
              <w:jc w:val="right"/>
              <w:rPr/>
            </w:pPr>
            <w:r>
              <w:rPr/>
              <w:t>(83,109</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71"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expense</w:t>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right"/>
              <w:rPr/>
            </w:pPr>
            <w:r>
              <w:rPr/>
              <w:t>1,484</w:t>
            </w:r>
          </w:p>
        </w:tc>
        <w:tc>
          <w:tcPr>
            <w:tcW w:w="183"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right"/>
              <w:rPr/>
            </w:pPr>
            <w:r>
              <w:rPr/>
              <w:t>1,527</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8,931</w:t>
            </w:r>
          </w:p>
        </w:tc>
        <w:tc>
          <w:tcPr>
            <w:tcW w:w="18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7,060</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preferred stock warrant liability</w:t>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right"/>
              <w:rPr/>
            </w:pPr>
            <w:r>
              <w:rPr/>
              <w:t>(3</w:t>
            </w:r>
          </w:p>
        </w:tc>
        <w:tc>
          <w:tcPr>
            <w:tcW w:w="183"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right"/>
              <w:rPr/>
            </w:pPr>
            <w:r>
              <w:rPr/>
              <w:t>(8</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Accretion of discount on marketable securities</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(2,612</w:t>
            </w:r>
          </w:p>
        </w:tc>
        <w:tc>
          <w:tcPr>
            <w:tcW w:w="18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(2,207</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lease expense</w:t>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right"/>
              <w:rPr/>
            </w:pPr>
            <w:r>
              <w:rPr/>
              <w:t>(141</w:t>
            </w:r>
          </w:p>
        </w:tc>
        <w:tc>
          <w:tcPr>
            <w:tcW w:w="183"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right"/>
              <w:rPr/>
            </w:pPr>
            <w:r>
              <w:rPr/>
              <w:t>(17</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71"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right"/>
              <w:rPr/>
            </w:pPr>
            <w:r>
              <w:rPr/>
              <w:t>3,548</w:t>
            </w:r>
          </w:p>
        </w:tc>
        <w:tc>
          <w:tcPr>
            <w:tcW w:w="183"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right"/>
              <w:rPr/>
            </w:pPr>
            <w:r>
              <w:rPr/>
              <w:t>(2,733</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(1,806</w:t>
            </w:r>
          </w:p>
        </w:tc>
        <w:tc>
          <w:tcPr>
            <w:tcW w:w="18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701</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right"/>
              <w:rPr/>
            </w:pPr>
            <w:r>
              <w:rPr/>
              <w:t>1,013</w:t>
            </w:r>
          </w:p>
        </w:tc>
        <w:tc>
          <w:tcPr>
            <w:tcW w:w="183"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right"/>
              <w:rPr/>
            </w:pPr>
            <w:r>
              <w:rPr/>
              <w:t>3,584</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(200</w:t>
            </w:r>
          </w:p>
        </w:tc>
        <w:tc>
          <w:tcPr>
            <w:tcW w:w="18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200</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0"/>
              <w:jc w:val="left"/>
              <w:rPr>
                <w:bdr w:val="single" w:sz="2" w:space="1" w:color="000000"/>
              </w:rPr>
            </w:pPr>
            <w:r>
              <w:rPr>
                <w:bdr w:val="single" w:sz="2" w:space="1" w:color="000000"/>
              </w:rPr>
              <w:t> </w:t>
            </w:r>
          </w:p>
        </w:tc>
        <w:tc>
          <w:tcPr>
            <w:tcW w:w="1036" w:type="dxa"/>
            <w:tcBorders/>
            <w:vAlign w:val="center"/>
          </w:tcPr>
          <w:p>
            <w:pPr>
              <w:pStyle w:val="TableContents"/>
              <w:bidi w:val="0"/>
              <w:spacing w:before="0" w:after="0"/>
              <w:jc w:val="left"/>
              <w:rPr>
                <w:bdr w:val="single" w:sz="2" w:space="1" w:color="000000"/>
              </w:rPr>
            </w:pPr>
            <w:r>
              <w:rPr>
                <w:bdr w:val="single" w:sz="2" w:space="1" w:color="000000"/>
              </w:rPr>
              <w:t> </w:t>
            </w:r>
          </w:p>
        </w:tc>
        <w:tc>
          <w:tcPr>
            <w:tcW w:w="183"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0"/>
              <w:jc w:val="left"/>
              <w:rPr>
                <w:bdr w:val="single" w:sz="2" w:space="1" w:color="000000"/>
              </w:rPr>
            </w:pPr>
            <w:r>
              <w:rPr>
                <w:bdr w:val="single" w:sz="2" w:space="1" w:color="000000"/>
              </w:rPr>
              <w:t> </w:t>
            </w:r>
          </w:p>
        </w:tc>
        <w:tc>
          <w:tcPr>
            <w:tcW w:w="1036"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right"/>
              <w:rPr/>
            </w:pPr>
            <w:r>
              <w:rPr/>
              <w:t>(90,393</w:t>
            </w:r>
          </w:p>
        </w:tc>
        <w:tc>
          <w:tcPr>
            <w:tcW w:w="183"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right"/>
              <w:rPr/>
            </w:pPr>
            <w:r>
              <w:rPr/>
              <w:t>(75,002</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0"/>
              <w:jc w:val="left"/>
              <w:rPr>
                <w:bdr w:val="single" w:sz="2" w:space="1" w:color="000000"/>
              </w:rPr>
            </w:pPr>
            <w:r>
              <w:rPr>
                <w:bdr w:val="single" w:sz="2" w:space="1" w:color="000000"/>
              </w:rPr>
              <w:t> </w:t>
            </w:r>
          </w:p>
        </w:tc>
        <w:tc>
          <w:tcPr>
            <w:tcW w:w="1036" w:type="dxa"/>
            <w:tcBorders/>
            <w:vAlign w:val="center"/>
          </w:tcPr>
          <w:p>
            <w:pPr>
              <w:pStyle w:val="TableContents"/>
              <w:bidi w:val="0"/>
              <w:spacing w:before="0" w:after="0"/>
              <w:jc w:val="left"/>
              <w:rPr>
                <w:bdr w:val="single" w:sz="2" w:space="1" w:color="000000"/>
              </w:rPr>
            </w:pPr>
            <w:r>
              <w:rPr>
                <w:bdr w:val="single" w:sz="2" w:space="1" w:color="000000"/>
              </w:rPr>
              <w:t> </w:t>
            </w:r>
          </w:p>
        </w:tc>
        <w:tc>
          <w:tcPr>
            <w:tcW w:w="183"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0"/>
              <w:jc w:val="left"/>
              <w:rPr>
                <w:bdr w:val="single" w:sz="2" w:space="1" w:color="000000"/>
              </w:rPr>
            </w:pPr>
            <w:r>
              <w:rPr>
                <w:bdr w:val="single" w:sz="2" w:space="1" w:color="000000"/>
              </w:rPr>
              <w:t> </w:t>
            </w:r>
          </w:p>
        </w:tc>
        <w:tc>
          <w:tcPr>
            <w:tcW w:w="1036"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71"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right"/>
              <w:rPr/>
            </w:pPr>
            <w:r>
              <w:rPr/>
              <w:t>(73</w:t>
            </w:r>
          </w:p>
        </w:tc>
        <w:tc>
          <w:tcPr>
            <w:tcW w:w="183"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right"/>
              <w:rPr/>
            </w:pPr>
            <w:r>
              <w:rPr/>
              <w:t>(779</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Purchases of marketable securities</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(80,910</w:t>
            </w:r>
          </w:p>
        </w:tc>
        <w:tc>
          <w:tcPr>
            <w:tcW w:w="18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(131,095</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Maturities of marketable securities</w:t>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right"/>
              <w:rPr/>
            </w:pPr>
            <w:r>
              <w:rPr/>
              <w:t>162,000</w:t>
            </w:r>
          </w:p>
        </w:tc>
        <w:tc>
          <w:tcPr>
            <w:tcW w:w="183"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right"/>
              <w:rPr/>
            </w:pPr>
            <w:r>
              <w:rPr/>
              <w:t>78,000</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0"/>
              <w:jc w:val="left"/>
              <w:rPr>
                <w:bdr w:val="single" w:sz="2" w:space="1" w:color="000000"/>
              </w:rPr>
            </w:pPr>
            <w:r>
              <w:rPr>
                <w:bdr w:val="single" w:sz="2" w:space="1" w:color="000000"/>
              </w:rPr>
              <w:t> </w:t>
            </w:r>
          </w:p>
        </w:tc>
        <w:tc>
          <w:tcPr>
            <w:tcW w:w="1036" w:type="dxa"/>
            <w:tcBorders/>
            <w:vAlign w:val="center"/>
          </w:tcPr>
          <w:p>
            <w:pPr>
              <w:pStyle w:val="TableContents"/>
              <w:bidi w:val="0"/>
              <w:spacing w:before="0" w:after="0"/>
              <w:jc w:val="left"/>
              <w:rPr>
                <w:bdr w:val="single" w:sz="2" w:space="1" w:color="000000"/>
              </w:rPr>
            </w:pPr>
            <w:r>
              <w:rPr>
                <w:bdr w:val="single" w:sz="2" w:space="1" w:color="000000"/>
              </w:rPr>
              <w:t> </w:t>
            </w:r>
          </w:p>
        </w:tc>
        <w:tc>
          <w:tcPr>
            <w:tcW w:w="183"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0"/>
              <w:jc w:val="left"/>
              <w:rPr>
                <w:bdr w:val="single" w:sz="2" w:space="1" w:color="000000"/>
              </w:rPr>
            </w:pPr>
            <w:r>
              <w:rPr>
                <w:bdr w:val="single" w:sz="2" w:space="1" w:color="000000"/>
              </w:rPr>
              <w:t> </w:t>
            </w:r>
          </w:p>
        </w:tc>
        <w:tc>
          <w:tcPr>
            <w:tcW w:w="1036"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provided by investing activities</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81,017</w:t>
            </w:r>
          </w:p>
        </w:tc>
        <w:tc>
          <w:tcPr>
            <w:tcW w:w="18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(53,874</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0"/>
              <w:jc w:val="left"/>
              <w:rPr>
                <w:bdr w:val="single" w:sz="2" w:space="1" w:color="000000"/>
              </w:rPr>
            </w:pPr>
            <w:r>
              <w:rPr>
                <w:bdr w:val="single" w:sz="2" w:space="1" w:color="000000"/>
              </w:rPr>
              <w:t> </w:t>
            </w:r>
          </w:p>
        </w:tc>
        <w:tc>
          <w:tcPr>
            <w:tcW w:w="1036" w:type="dxa"/>
            <w:tcBorders/>
            <w:vAlign w:val="center"/>
          </w:tcPr>
          <w:p>
            <w:pPr>
              <w:pStyle w:val="TableContents"/>
              <w:bidi w:val="0"/>
              <w:spacing w:before="0" w:after="0"/>
              <w:jc w:val="left"/>
              <w:rPr>
                <w:bdr w:val="single" w:sz="2" w:space="1" w:color="000000"/>
              </w:rPr>
            </w:pPr>
            <w:r>
              <w:rPr>
                <w:bdr w:val="single" w:sz="2" w:space="1" w:color="000000"/>
              </w:rPr>
              <w:t> </w:t>
            </w:r>
          </w:p>
        </w:tc>
        <w:tc>
          <w:tcPr>
            <w:tcW w:w="183"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0"/>
              <w:jc w:val="left"/>
              <w:rPr>
                <w:bdr w:val="single" w:sz="2" w:space="1" w:color="000000"/>
              </w:rPr>
            </w:pPr>
            <w:r>
              <w:rPr>
                <w:bdr w:val="single" w:sz="2" w:space="1" w:color="000000"/>
              </w:rPr>
              <w:t> </w:t>
            </w:r>
          </w:p>
        </w:tc>
        <w:tc>
          <w:tcPr>
            <w:tcW w:w="1036"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9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the exercise of stock options</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20</w:t>
            </w:r>
          </w:p>
        </w:tc>
        <w:tc>
          <w:tcPr>
            <w:tcW w:w="18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2,547</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Series C financing</w:t>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right"/>
              <w:rPr/>
            </w:pPr>
            <w:r>
              <w:rPr/>
              <w:t>— </w:t>
            </w:r>
          </w:p>
        </w:tc>
        <w:tc>
          <w:tcPr>
            <w:tcW w:w="183"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right"/>
              <w:rPr/>
            </w:pPr>
            <w:r>
              <w:rPr/>
              <w:t>160,500</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Payment of Series C issuance costs</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8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(532</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0"/>
              <w:jc w:val="left"/>
              <w:rPr>
                <w:bdr w:val="single" w:sz="2" w:space="1" w:color="000000"/>
              </w:rPr>
            </w:pPr>
            <w:r>
              <w:rPr>
                <w:bdr w:val="single" w:sz="2" w:space="1" w:color="000000"/>
              </w:rPr>
              <w:t> </w:t>
            </w:r>
          </w:p>
        </w:tc>
        <w:tc>
          <w:tcPr>
            <w:tcW w:w="1036" w:type="dxa"/>
            <w:tcBorders/>
            <w:vAlign w:val="center"/>
          </w:tcPr>
          <w:p>
            <w:pPr>
              <w:pStyle w:val="TableContents"/>
              <w:bidi w:val="0"/>
              <w:spacing w:before="0" w:after="0"/>
              <w:jc w:val="left"/>
              <w:rPr>
                <w:bdr w:val="single" w:sz="2" w:space="1" w:color="000000"/>
              </w:rPr>
            </w:pPr>
            <w:r>
              <w:rPr>
                <w:bdr w:val="single" w:sz="2" w:space="1" w:color="000000"/>
              </w:rPr>
              <w:t> </w:t>
            </w:r>
          </w:p>
        </w:tc>
        <w:tc>
          <w:tcPr>
            <w:tcW w:w="183"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0"/>
              <w:jc w:val="left"/>
              <w:rPr>
                <w:bdr w:val="single" w:sz="2" w:space="1" w:color="000000"/>
              </w:rPr>
            </w:pPr>
            <w:r>
              <w:rPr>
                <w:bdr w:val="single" w:sz="2" w:space="1" w:color="000000"/>
              </w:rPr>
              <w:t> </w:t>
            </w:r>
          </w:p>
        </w:tc>
        <w:tc>
          <w:tcPr>
            <w:tcW w:w="1036"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right"/>
              <w:rPr/>
            </w:pPr>
            <w:r>
              <w:rPr/>
              <w:t>20</w:t>
            </w:r>
          </w:p>
        </w:tc>
        <w:tc>
          <w:tcPr>
            <w:tcW w:w="183"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right"/>
              <w:rPr/>
            </w:pPr>
            <w:r>
              <w:rPr/>
              <w:t>162,515</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0"/>
              <w:jc w:val="left"/>
              <w:rPr>
                <w:bdr w:val="single" w:sz="2" w:space="1" w:color="000000"/>
              </w:rPr>
            </w:pPr>
            <w:r>
              <w:rPr>
                <w:bdr w:val="single" w:sz="2" w:space="1" w:color="000000"/>
              </w:rPr>
              <w:t> </w:t>
            </w:r>
          </w:p>
        </w:tc>
        <w:tc>
          <w:tcPr>
            <w:tcW w:w="1036" w:type="dxa"/>
            <w:tcBorders/>
            <w:vAlign w:val="center"/>
          </w:tcPr>
          <w:p>
            <w:pPr>
              <w:pStyle w:val="TableContents"/>
              <w:bidi w:val="0"/>
              <w:spacing w:before="0" w:after="0"/>
              <w:jc w:val="left"/>
              <w:rPr>
                <w:bdr w:val="single" w:sz="2" w:space="1" w:color="000000"/>
              </w:rPr>
            </w:pPr>
            <w:r>
              <w:rPr>
                <w:bdr w:val="single" w:sz="2" w:space="1" w:color="000000"/>
              </w:rPr>
              <w:t> </w:t>
            </w:r>
          </w:p>
        </w:tc>
        <w:tc>
          <w:tcPr>
            <w:tcW w:w="183"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0"/>
              <w:jc w:val="left"/>
              <w:rPr>
                <w:bdr w:val="single" w:sz="2" w:space="1" w:color="000000"/>
              </w:rPr>
            </w:pPr>
            <w:r>
              <w:rPr>
                <w:bdr w:val="single" w:sz="2" w:space="1" w:color="000000"/>
              </w:rPr>
              <w:t> </w:t>
            </w:r>
          </w:p>
        </w:tc>
        <w:tc>
          <w:tcPr>
            <w:tcW w:w="1036"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decrease in cash and cash equivalents and restricted cash</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(9,356</w:t>
            </w:r>
          </w:p>
        </w:tc>
        <w:tc>
          <w:tcPr>
            <w:tcW w:w="18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(33,639</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and restricted cash at beginning of period</w:t>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right"/>
              <w:rPr/>
            </w:pPr>
            <w:r>
              <w:rPr/>
              <w:t>50,765</w:t>
            </w:r>
          </w:p>
        </w:tc>
        <w:tc>
          <w:tcPr>
            <w:tcW w:w="183"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right"/>
              <w:rPr/>
            </w:pPr>
            <w:r>
              <w:rPr/>
              <w:t>17,126</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0"/>
              <w:jc w:val="left"/>
              <w:rPr>
                <w:bdr w:val="single" w:sz="2" w:space="1" w:color="000000"/>
              </w:rPr>
            </w:pPr>
            <w:r>
              <w:rPr>
                <w:bdr w:val="single" w:sz="2" w:space="1" w:color="000000"/>
              </w:rPr>
              <w:t> </w:t>
            </w:r>
          </w:p>
        </w:tc>
        <w:tc>
          <w:tcPr>
            <w:tcW w:w="1036" w:type="dxa"/>
            <w:tcBorders/>
            <w:vAlign w:val="center"/>
          </w:tcPr>
          <w:p>
            <w:pPr>
              <w:pStyle w:val="TableContents"/>
              <w:bidi w:val="0"/>
              <w:spacing w:before="0" w:after="0"/>
              <w:jc w:val="left"/>
              <w:rPr>
                <w:bdr w:val="single" w:sz="2" w:space="1" w:color="000000"/>
              </w:rPr>
            </w:pPr>
            <w:r>
              <w:rPr>
                <w:bdr w:val="single" w:sz="2" w:space="1" w:color="000000"/>
              </w:rPr>
              <w:t> </w:t>
            </w:r>
          </w:p>
        </w:tc>
        <w:tc>
          <w:tcPr>
            <w:tcW w:w="183"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0"/>
              <w:jc w:val="left"/>
              <w:rPr>
                <w:bdr w:val="single" w:sz="2" w:space="1" w:color="000000"/>
              </w:rPr>
            </w:pPr>
            <w:r>
              <w:rPr>
                <w:bdr w:val="single" w:sz="2" w:space="1" w:color="000000"/>
              </w:rPr>
              <w:t> </w:t>
            </w:r>
          </w:p>
        </w:tc>
        <w:tc>
          <w:tcPr>
            <w:tcW w:w="1036"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and restricted cash at end of period</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036" w:type="dxa"/>
            <w:tcBorders/>
            <w:shd w:fill="CCEEFF" w:val="clear"/>
            <w:vAlign w:val="center"/>
          </w:tcPr>
          <w:p>
            <w:pPr>
              <w:pStyle w:val="TableContents"/>
              <w:bidi w:val="0"/>
              <w:spacing w:before="0" w:after="283"/>
              <w:jc w:val="right"/>
              <w:rPr/>
            </w:pPr>
            <w:r>
              <w:rPr/>
              <w:t>41,409</w:t>
            </w:r>
          </w:p>
        </w:tc>
        <w:tc>
          <w:tcPr>
            <w:tcW w:w="18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036" w:type="dxa"/>
            <w:tcBorders/>
            <w:shd w:fill="CCEEFF" w:val="clear"/>
            <w:vAlign w:val="center"/>
          </w:tcPr>
          <w:p>
            <w:pPr>
              <w:pStyle w:val="TableContents"/>
              <w:bidi w:val="0"/>
              <w:spacing w:before="0" w:after="283"/>
              <w:jc w:val="right"/>
              <w:rPr/>
            </w:pPr>
            <w:r>
              <w:rPr/>
              <w:t>50,765</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0"/>
              <w:jc w:val="left"/>
              <w:rPr>
                <w:bdr w:val="double" w:sz="6" w:space="1" w:color="000000"/>
              </w:rPr>
            </w:pPr>
            <w:r>
              <w:rPr>
                <w:bdr w:val="double" w:sz="6" w:space="1" w:color="000000"/>
              </w:rPr>
              <w:t> </w:t>
            </w:r>
          </w:p>
        </w:tc>
        <w:tc>
          <w:tcPr>
            <w:tcW w:w="1036" w:type="dxa"/>
            <w:tcBorders/>
            <w:vAlign w:val="center"/>
          </w:tcPr>
          <w:p>
            <w:pPr>
              <w:pStyle w:val="TableContents"/>
              <w:bidi w:val="0"/>
              <w:spacing w:before="0" w:after="0"/>
              <w:jc w:val="left"/>
              <w:rPr>
                <w:bdr w:val="double" w:sz="6" w:space="1" w:color="000000"/>
              </w:rPr>
            </w:pPr>
            <w:r>
              <w:rPr>
                <w:bdr w:val="double" w:sz="6" w:space="1" w:color="000000"/>
              </w:rPr>
              <w:t> </w:t>
            </w:r>
          </w:p>
        </w:tc>
        <w:tc>
          <w:tcPr>
            <w:tcW w:w="183"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0"/>
              <w:jc w:val="left"/>
              <w:rPr>
                <w:bdr w:val="double" w:sz="6" w:space="1" w:color="000000"/>
              </w:rPr>
            </w:pPr>
            <w:r>
              <w:rPr>
                <w:bdr w:val="double" w:sz="6" w:space="1" w:color="000000"/>
              </w:rPr>
              <w:t> </w:t>
            </w:r>
          </w:p>
        </w:tc>
        <w:tc>
          <w:tcPr>
            <w:tcW w:w="1036"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OBSIDIAN THERAPEUTICS,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ind w:left="0" w:right="0" w:hanging="0"/>
        <w:jc w:val="left"/>
        <w:rPr>
          <w:rFonts w:ascii="Times New Roman" w:hAnsi="Times New Roman"/>
          <w:b/>
          <w:spacing w:val="0"/>
          <w:sz w:val="20"/>
        </w:rPr>
      </w:pPr>
      <w:r>
        <w:rPr>
          <w:rFonts w:ascii="Times New Roman" w:hAnsi="Times New Roman"/>
          <w:b/>
          <w:spacing w:val="0"/>
          <w:sz w:val="20"/>
        </w:rPr>
        <w:t xml:space="preserve">1. Nature of the Business and Basis of Presentation </w:t>
      </w:r>
    </w:p>
    <w:p>
      <w:pPr>
        <w:pStyle w:val="TextBody"/>
        <w:bidi w:val="0"/>
        <w:spacing w:before="120" w:after="0"/>
        <w:jc w:val="left"/>
        <w:rPr>
          <w:rFonts w:ascii="Times New Roman" w:hAnsi="Times New Roman"/>
          <w:sz w:val="20"/>
        </w:rPr>
      </w:pPr>
      <w:r>
        <w:rPr>
          <w:rFonts w:ascii="Times New Roman" w:hAnsi="Times New Roman"/>
          <w:sz w:val="20"/>
        </w:rPr>
        <w:t>Obsidian Therapeutics, Inc. (the “Company”) is a clinical-stage biopharmaceutical company harnessing novel protein-regulation technology to develop engineered tumor infiltrating lymphocytes (“TIL”) cell therapies for the treatment of patients with solid tumors. The Company’s proprietary cytoDRiVE</w:t>
      </w:r>
    </w:p>
    <w:p>
      <w:pPr>
        <w:pStyle w:val="TextBody"/>
        <w:bidi w:val="0"/>
        <w:spacing w:before="120" w:after="0"/>
        <w:jc w:val="left"/>
        <w:rPr/>
      </w:pPr>
      <w:r>
        <w:rPr/>
        <w:t>™</w:t>
      </w:r>
    </w:p>
    <w:p>
      <w:pPr>
        <w:pStyle w:val="TextBody"/>
        <w:bidi w:val="0"/>
        <w:spacing w:before="120" w:after="0"/>
        <w:jc w:val="left"/>
        <w:rPr>
          <w:rFonts w:ascii="Times New Roman" w:hAnsi="Times New Roman"/>
          <w:sz w:val="20"/>
        </w:rPr>
      </w:pPr>
      <w:r>
        <w:rPr>
          <w:rFonts w:ascii="Times New Roman" w:hAnsi="Times New Roman"/>
          <w:sz w:val="20"/>
        </w:rPr>
        <w:t>platform is highly versatile and allows it to leverage drug responsive domains to control protein function, with its initial focus on TIL cell therapies developed from this platform (“cytoTILs</w:t>
      </w:r>
    </w:p>
    <w:p>
      <w:pPr>
        <w:pStyle w:val="TextBody"/>
        <w:bidi w:val="0"/>
        <w:spacing w:before="120" w:after="0"/>
        <w:jc w:val="left"/>
        <w:rPr/>
      </w:pPr>
      <w:r>
        <w:rPr/>
        <w:t>™</w:t>
      </w:r>
    </w:p>
    <w:p>
      <w:pPr>
        <w:pStyle w:val="TextBody"/>
        <w:bidi w:val="0"/>
        <w:spacing w:before="120" w:after="0"/>
        <w:jc w:val="left"/>
        <w:rPr/>
      </w:pPr>
      <w:r>
        <w:rPr/>
        <w:t>”</w:t>
      </w:r>
      <w:r>
        <w:rPr>
          <w:rFonts w:ascii="Times New Roman" w:hAnsi="Times New Roman"/>
          <w:sz w:val="20"/>
        </w:rPr>
        <w:t xml:space="preserve">). The Company’s lead product candidate, OBX-115, is a novel, genetically engineered, autologous TIL cell therapy currently in a Phase 2 clinical trial for the treatment of advanced melanoma and a Phase 1 clinical trial for the treatment of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non-small</w:t>
      </w:r>
    </w:p>
    <w:p>
      <w:pPr>
        <w:pStyle w:val="TextBody"/>
        <w:bidi w:val="0"/>
        <w:spacing w:before="120" w:after="0"/>
        <w:jc w:val="left"/>
        <w:rPr>
          <w:rFonts w:ascii="Times New Roman" w:hAnsi="Times New Roman"/>
          <w:sz w:val="20"/>
        </w:rPr>
      </w:pPr>
      <w:r>
        <w:rPr>
          <w:rFonts w:ascii="Times New Roman" w:hAnsi="Times New Roman"/>
          <w:sz w:val="20"/>
        </w:rPr>
        <w:t xml:space="preserve">cell lung cancer. </w:t>
      </w:r>
    </w:p>
    <w:p>
      <w:pPr>
        <w:pStyle w:val="TextBody"/>
        <w:bidi w:val="0"/>
        <w:spacing w:before="240" w:after="0"/>
        <w:jc w:val="left"/>
        <w:rPr>
          <w:rFonts w:ascii="Times New Roman" w:hAnsi="Times New Roman"/>
          <w:sz w:val="20"/>
        </w:rPr>
      </w:pPr>
      <w:r>
        <w:rPr>
          <w:rFonts w:ascii="Times New Roman" w:hAnsi="Times New Roman"/>
          <w:sz w:val="20"/>
        </w:rPr>
        <w:t xml:space="preserve">The Company was incorporated in 2015 under the laws of the State of Delaware, and its principal offices are in Cambridge, Massachusetts. Since its inception, the Company has devoted substantially all its efforts to raising capital, obtaining financing, and incurring research and development costs related to advancing its scientific platform.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include the accounts of the Company and its wholly owned subsidiary, Obsidian Therapeutics Securities Corporation. All intercompany balances and transactions have been eliminated.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subject to risks and uncertainties common to early-stage companies in the biotechnology industry, including, but not limited to, development by competitors of new technological innovations, dependence on key personnel, protection of proprietary technology, compliance with government regulations, and ability to secure additional capital to fund operations. Product candidates currently under development will likely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 reporting capabilities. There can be no assurance that the Company’s research and development will be successfully completed, that adequate protection for the Company’s technology will be obtained, that any products developed will obtain necessary government regulatory approval, or that any approved products will be commercially viable. The Company operates in an environment of rapid change in technology and substantial competition from pharmaceutical and biotechnology companies. In addition, the Company is dependent upon the services of its employees and consultants. Even if the Company’s product development efforts are successful, it is uncertain when, if ever, the Company will generate significant revenue from product sales. </w:t>
      </w:r>
    </w:p>
    <w:p>
      <w:pPr>
        <w:pStyle w:val="TextBody"/>
        <w:bidi w:val="0"/>
        <w:spacing w:before="360" w:after="0"/>
        <w:jc w:val="left"/>
        <w:rPr>
          <w:rFonts w:ascii="Times New Roman" w:hAnsi="Times New Roman"/>
          <w:b/>
          <w:sz w:val="20"/>
        </w:rPr>
      </w:pPr>
      <w:r>
        <w:rPr>
          <w:rFonts w:ascii="Times New Roman" w:hAnsi="Times New Roman"/>
          <w:b/>
          <w:sz w:val="20"/>
        </w:rPr>
        <w:t xml:space="preserve">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evaluated whether there are conditions and events, considered in the aggregate, that raise substantial doubt about the Company’s ability to continue as a going concern for at least one year after the issuance of these consolidated financial statements. As a result of this evaluation, substantial doubt about the Company’s ability to continue as a going concern exists.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a history of operating losses and negative cash flows from operations and expects to continue generating losses as it advances its research and development programs. As of December 31, 2025, the Company had cash, cash equivalents, and marketable securities of $80.5 million and an accumulated deficit of $295.9 million. Net cash used in operating activities was $90.4 million for the year ended December 31, 2025. The Company expects to incur additional losses and negative cash flows from operations over the next several years as the product candidates currently under development will require significant additional research and clinical development efforts prior to commercialization. Based on the Company’s accumulated deficit, current and future expected losses, and current cash flow projections, which exclude any new capital raising activities, management determined that the Company does not have adequate financial resources to fund its forecasted operating costs for at least one year after the issuance date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Management’s plans to alleviate this uncertainty include pursuing additional equity or debt financing, reducing discretionary spending, and exploring strategic collaborations. However, these plans are not fully within the Company’s control, and there is no assurance that such funding or arrangements will be available on acceptable terms or at all. Because of the uncertainty inherent in these efforts, the Company has concluded that substantial doubt exists with respect to its ability to continue as a going concern for one year after the issuance date of these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have been prepared assuming the Company will continue operating as a going concern, and no adjustments have been made to the carrying amounts or classification of assets and liabilities that may be necessary if the Company were unable to continue as a going concern. </w:t>
      </w:r>
    </w:p>
    <w:p>
      <w:pPr>
        <w:pStyle w:val="TextBody"/>
        <w:bidi w:val="0"/>
        <w:spacing w:before="360" w:after="0"/>
        <w:jc w:val="left"/>
        <w:rPr>
          <w:rFonts w:ascii="Times New Roman" w:hAnsi="Times New Roman"/>
          <w:b/>
          <w:sz w:val="20"/>
        </w:rPr>
      </w:pPr>
      <w:r>
        <w:rPr>
          <w:rFonts w:ascii="Times New Roman" w:hAnsi="Times New Roman"/>
          <w:b/>
          <w:sz w:val="20"/>
        </w:rPr>
        <w:t xml:space="preserve">2. Summary of Significant Accounting Policies </w:t>
      </w:r>
    </w:p>
    <w:p>
      <w:pPr>
        <w:pStyle w:val="TextBody"/>
        <w:bidi w:val="0"/>
        <w:spacing w:before="120" w:after="0"/>
        <w:jc w:val="left"/>
        <w:rPr>
          <w:rFonts w:ascii="Times New Roman" w:hAnsi="Times New Roman"/>
          <w:b/>
          <w:sz w:val="20"/>
        </w:rPr>
      </w:pPr>
      <w:r>
        <w:rPr>
          <w:rFonts w:ascii="Times New Roman" w:hAnsi="Times New Roman"/>
          <w:b/>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financial statements have been prepared in conformity with accounting principles generally accepted in the United States of America (“U.S. GAAP”). Any reference in these notes to applicable guidance is meant to refer to the authoritative U.S. GAAP as found in the Accounting Standards Codification (“ASC”) and as amended by Accounting Standard Updates (“ASU”) of the Financial Accounting Standards Board (“FASB”). </w:t>
      </w:r>
    </w:p>
    <w:p>
      <w:pPr>
        <w:pStyle w:val="TextBody"/>
        <w:bidi w:val="0"/>
        <w:spacing w:before="360" w:after="0"/>
        <w:jc w:val="left"/>
        <w:rPr>
          <w:rFonts w:ascii="Times New Roman" w:hAnsi="Times New Roman"/>
          <w:b/>
          <w:sz w:val="20"/>
        </w:rPr>
      </w:pPr>
      <w:r>
        <w:rPr>
          <w:rFonts w:ascii="Times New Roman" w:hAnsi="Times New Roman"/>
          <w:b/>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financial statements in conformity with GAAP requires management to make estimates and assumptions that affect the reported amounts of assets, liabilities, expenses, and disclosures. Significant estimates and assumptions reflected in these financial statements include, but are not limited to, research and development expenses, fair value of common stock and any resulting equity-based compensation expense, and income taxes. The Company evaluates its estimates and assumptions on an ongoing basis. All revisions to accounting estimates are recognized in the period in which the estimates are revised and in any future periods affected. Actual results could differ from the Company’s estimates. </w:t>
      </w:r>
    </w:p>
    <w:p>
      <w:pPr>
        <w:pStyle w:val="TextBody"/>
        <w:bidi w:val="0"/>
        <w:spacing w:before="360" w:after="0"/>
        <w:jc w:val="left"/>
        <w:rPr>
          <w:rFonts w:ascii="Times New Roman" w:hAnsi="Times New Roman"/>
          <w:b/>
          <w:sz w:val="20"/>
        </w:rPr>
      </w:pPr>
      <w:r>
        <w:rPr>
          <w:rFonts w:ascii="Times New Roman" w:hAnsi="Times New Roman"/>
          <w:b/>
          <w:sz w:val="20"/>
        </w:rPr>
        <w:t xml:space="preserve">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all highly liquid investments that are readily convertible into cash with original maturities three months or less at the time of purchase to be cash equivalents. Cash equivalents are stated at fair value. </w:t>
      </w:r>
    </w:p>
    <w:p>
      <w:pPr>
        <w:pStyle w:val="TextBody"/>
        <w:bidi w:val="0"/>
        <w:spacing w:before="360" w:after="0"/>
        <w:jc w:val="left"/>
        <w:rPr>
          <w:rFonts w:ascii="Times New Roman" w:hAnsi="Times New Roman"/>
          <w:b/>
          <w:sz w:val="20"/>
        </w:rPr>
      </w:pPr>
      <w:r>
        <w:rPr>
          <w:rFonts w:ascii="Times New Roman" w:hAnsi="Times New Roman"/>
          <w:b/>
          <w:sz w:val="20"/>
        </w:rPr>
        <w:t xml:space="preserve">Marketable Securities </w:t>
      </w:r>
    </w:p>
    <w:p>
      <w:pPr>
        <w:pStyle w:val="TextBody"/>
        <w:bidi w:val="0"/>
        <w:spacing w:before="120" w:after="0"/>
        <w:jc w:val="left"/>
        <w:rPr>
          <w:rFonts w:ascii="Times New Roman" w:hAnsi="Times New Roman"/>
          <w:sz w:val="20"/>
        </w:rPr>
      </w:pPr>
      <w:r>
        <w:rPr>
          <w:rFonts w:ascii="Times New Roman" w:hAnsi="Times New Roman"/>
          <w:sz w:val="20"/>
        </w:rPr>
        <w:t xml:space="preserve">Marketable securities consist of U.S. treasuries with maturities greater than three months. The Company classifies all of its marketable securities as available for sale based upon its intent with regard to such investments. The Company classifies marketable securities as short term when their remaining contractual maturities are one year or less from the balance sheet date, and as long term when the marketable security has a remaining contractual maturity of more than one year from the balance sheet date. </w:t>
      </w:r>
    </w:p>
    <w:p>
      <w:pPr>
        <w:pStyle w:val="TextBody"/>
        <w:bidi w:val="0"/>
        <w:spacing w:before="240" w:after="0"/>
        <w:jc w:val="left"/>
        <w:rPr>
          <w:rFonts w:ascii="Times New Roman" w:hAnsi="Times New Roman"/>
          <w:sz w:val="20"/>
        </w:rPr>
      </w:pPr>
      <w:r>
        <w:rPr>
          <w:rFonts w:ascii="Times New Roman" w:hAnsi="Times New Roman"/>
          <w:sz w:val="20"/>
        </w:rPr>
        <w:t xml:space="preserve">The amortized cost of marketable securities is adjusted for amortization of premiums and accretion of discounts to maturity. Such amortization and accretion is included in interest income. Dividends are also included in interest and other income. </w:t>
      </w:r>
    </w:p>
    <w:p>
      <w:pPr>
        <w:pStyle w:val="TextBody"/>
        <w:bidi w:val="0"/>
        <w:spacing w:before="240" w:after="0"/>
        <w:jc w:val="left"/>
        <w:rPr>
          <w:rFonts w:ascii="Times New Roman" w:hAnsi="Times New Roman"/>
          <w:sz w:val="20"/>
        </w:rPr>
      </w:pPr>
      <w:r>
        <w:rPr>
          <w:rFonts w:ascii="Times New Roman" w:hAnsi="Times New Roman"/>
          <w:sz w:val="20"/>
        </w:rPr>
        <w:t xml:space="preserve">The Company periodically reviews its investments for impairment based on a security-specific analysis as of each balance sheet date. If the fair value of a security is below its amortized cost, the Company first assesses whether it intends to sell the security or is more likely than not required to sell it before recovery of its amortized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cost. If neither condition is met, the Company evaluates whether a portion of the decline is attributable to credit loss. Any credit-related impairment is recorded as an allowance for credit losses through earnings, with </w:t>
      </w:r>
    </w:p>
    <w:p>
      <w:pPr>
        <w:pStyle w:val="TextBody"/>
        <w:bidi w:val="0"/>
        <w:spacing w:before="0" w:after="0"/>
        <w:jc w:val="left"/>
        <w:rPr>
          <w:rFonts w:ascii="Times New Roman" w:hAnsi="Times New Roman"/>
          <w:spacing w:val="0"/>
          <w:sz w:val="20"/>
        </w:rPr>
      </w:pPr>
      <w:r>
        <w:rPr>
          <w:rFonts w:ascii="Times New Roman" w:hAnsi="Times New Roman"/>
          <w:spacing w:val="0"/>
          <w:sz w:val="20"/>
        </w:rPr>
        <w:t>non-credit-related</w:t>
      </w:r>
    </w:p>
    <w:p>
      <w:pPr>
        <w:pStyle w:val="TextBody"/>
        <w:bidi w:val="0"/>
        <w:spacing w:before="0" w:after="0"/>
        <w:jc w:val="left"/>
        <w:rPr>
          <w:rFonts w:ascii="Times New Roman" w:hAnsi="Times New Roman"/>
          <w:sz w:val="20"/>
        </w:rPr>
      </w:pPr>
      <w:r>
        <w:rPr>
          <w:rFonts w:ascii="Times New Roman" w:hAnsi="Times New Roman"/>
          <w:sz w:val="20"/>
        </w:rPr>
        <w:t xml:space="preserve">unrealized losses recorded in other comprehensive income (loss). The Company did not recognize any credit loss relating to its investments for the years ended December 31, 2025 or 2024. </w:t>
      </w:r>
    </w:p>
    <w:p>
      <w:pPr>
        <w:pStyle w:val="TextBody"/>
        <w:bidi w:val="0"/>
        <w:spacing w:before="360" w:after="0"/>
        <w:jc w:val="left"/>
        <w:rPr>
          <w:rFonts w:ascii="Times New Roman" w:hAnsi="Times New Roman"/>
          <w:b/>
          <w:sz w:val="20"/>
        </w:rPr>
      </w:pPr>
      <w:r>
        <w:rPr>
          <w:rFonts w:ascii="Times New Roman" w:hAnsi="Times New Roman"/>
          <w:b/>
          <w:sz w:val="20"/>
        </w:rPr>
        <w:t xml:space="preserve">Segment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manages its operations as a single segment for the purpose of assessing performance and making operating decisions. The Company is developing therapeutic treatments for cancer-related diseases. The Company has determined that its chief operating decision maker is its Chief Executive Officer. The Company’s chief operating decision maker reviews the Company’s financial information on an aggregated basis for purposes of allocating resources and assessing financial performance. All of the Company’s tangible assets are located in the United States and all of the Company’s historical collaboration revenue was derived from its collaboration partners headquartered in the United States. </w:t>
      </w:r>
    </w:p>
    <w:p>
      <w:pPr>
        <w:pStyle w:val="TextBody"/>
        <w:bidi w:val="0"/>
        <w:spacing w:before="360" w:after="0"/>
        <w:jc w:val="left"/>
        <w:rPr>
          <w:rFonts w:ascii="Times New Roman" w:hAnsi="Times New Roman"/>
          <w:b/>
          <w:sz w:val="20"/>
        </w:rPr>
      </w:pPr>
      <w:r>
        <w:rPr>
          <w:rFonts w:ascii="Times New Roman" w:hAnsi="Times New Roman"/>
          <w:b/>
          <w:sz w:val="20"/>
        </w:rPr>
        <w:t xml:space="preserve">Concentration of Credit Risk and of Significant Suppliers </w:t>
      </w:r>
    </w:p>
    <w:p>
      <w:pPr>
        <w:pStyle w:val="TextBody"/>
        <w:bidi w:val="0"/>
        <w:spacing w:before="120" w:after="0"/>
        <w:jc w:val="left"/>
        <w:rPr>
          <w:rFonts w:ascii="Times New Roman" w:hAnsi="Times New Roman"/>
          <w:sz w:val="20"/>
        </w:rPr>
      </w:pPr>
      <w:r>
        <w:rPr>
          <w:rFonts w:ascii="Times New Roman" w:hAnsi="Times New Roman"/>
          <w:sz w:val="20"/>
        </w:rPr>
        <w:t xml:space="preserve">Financial instruments that potentially expose the Company to concentrations of credit risk consist of cash, cash equivalents, and marketable securities. The Company limits its exposure to credit loss by placing its cash with major financial institutions and invests only in short-term obligations. The deposits, at times, may exceed federally insured limits. The Company has not experienced any losses in such accounts. The Company has no significant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off-balance</w:t>
      </w:r>
    </w:p>
    <w:p>
      <w:pPr>
        <w:pStyle w:val="TextBody"/>
        <w:bidi w:val="0"/>
        <w:spacing w:before="120" w:after="0"/>
        <w:jc w:val="left"/>
        <w:rPr>
          <w:rFonts w:ascii="Times New Roman" w:hAnsi="Times New Roman"/>
          <w:sz w:val="20"/>
        </w:rPr>
      </w:pPr>
      <w:r>
        <w:rPr>
          <w:rFonts w:ascii="Times New Roman" w:hAnsi="Times New Roman"/>
          <w:sz w:val="20"/>
        </w:rPr>
        <w:t xml:space="preserve">sheet concentrations of credit risk such as foreign exchange contracts, option contracts or other foreign hedging arrangements.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dependent on third-party manufacturers to supply certain products for research and development activities in its programs. Certain key raw materials can be difficult to acquire on a consistent basis. If the Company cannot access adequate supply sources its programs could be adversely affected by an interruption in the availability of these raw materials. </w:t>
      </w:r>
    </w:p>
    <w:p>
      <w:pPr>
        <w:pStyle w:val="TextBody"/>
        <w:bidi w:val="0"/>
        <w:spacing w:before="360" w:after="0"/>
        <w:jc w:val="left"/>
        <w:rPr>
          <w:rFonts w:ascii="Times New Roman" w:hAnsi="Times New Roman"/>
          <w:b/>
          <w:sz w:val="20"/>
        </w:rPr>
      </w:pPr>
      <w:r>
        <w:rPr>
          <w:rFonts w:ascii="Times New Roman" w:hAnsi="Times New Roman"/>
          <w:b/>
          <w:sz w:val="20"/>
        </w:rPr>
        <w:t xml:space="preserve">Restricted Cash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restricted cash in the form of letters of credit which are held in interest bearing money market accounts as collateral for the Company’s Cambridge, Massachusetts, and Bedford, Massachusetts leases. The Company has classified both money market accounts collateralizing the letters of credit issued as long-term restricted cash on its consolidated balance sheets as the remaining term of each lease exceeds twelve months as of December 21, 2025 and 2024. </w:t>
      </w:r>
    </w:p>
    <w:p>
      <w:pPr>
        <w:pStyle w:val="TextBody"/>
        <w:bidi w:val="0"/>
        <w:spacing w:before="360" w:after="0"/>
        <w:jc w:val="left"/>
        <w:rPr>
          <w:rFonts w:ascii="Times New Roman" w:hAnsi="Times New Roman"/>
          <w:b/>
          <w:sz w:val="20"/>
        </w:rPr>
      </w:pPr>
      <w:r>
        <w:rPr>
          <w:rFonts w:ascii="Times New Roman" w:hAnsi="Times New Roman"/>
          <w:b/>
          <w:sz w:val="20"/>
        </w:rPr>
        <w:t xml:space="preserve">Property and Equipment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are stated at cost less accumulated depreciation and amortization. Depreciation and amortization expense is recognized using the straight-line method over the estimated useful life of each asset, as follows: </w:t>
      </w:r>
    </w:p>
    <w:p>
      <w:pPr>
        <w:pStyle w:val="TextBody"/>
        <w:bidi w:val="0"/>
        <w:spacing w:before="0" w:after="0"/>
        <w:jc w:val="left"/>
        <w:rPr/>
      </w:pPr>
      <w:r>
        <w:rPr/>
        <w:t> </w:t>
      </w:r>
    </w:p>
    <w:tbl>
      <w:tblPr>
        <w:tblW w:w="6715" w:type="dxa"/>
        <w:jc w:val="left"/>
        <w:tblInd w:w="0" w:type="dxa"/>
        <w:tblLayout w:type="fixed"/>
        <w:tblCellMar>
          <w:top w:w="0" w:type="dxa"/>
          <w:left w:w="0" w:type="dxa"/>
          <w:bottom w:w="0" w:type="dxa"/>
          <w:right w:w="0" w:type="dxa"/>
        </w:tblCellMar>
      </w:tblPr>
      <w:tblGrid>
        <w:gridCol w:w="2075"/>
        <w:gridCol w:w="120"/>
        <w:gridCol w:w="4520"/>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20"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Estimated Useful Life</w:t>
            </w:r>
          </w:p>
        </w:tc>
      </w:tr>
      <w:tr>
        <w:trPr/>
        <w:tc>
          <w:tcPr>
            <w:tcW w:w="2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Laboratory equipment</w:t>
            </w:r>
          </w:p>
        </w:tc>
        <w:tc>
          <w:tcPr>
            <w:tcW w:w="12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center"/>
              <w:rPr/>
            </w:pPr>
            <w:r>
              <w:rPr/>
              <w:t>5 years</w:t>
            </w:r>
          </w:p>
        </w:tc>
      </w:tr>
      <w:tr>
        <w:trPr/>
        <w:tc>
          <w:tcPr>
            <w:tcW w:w="2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12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0"/>
              <w:jc w:val="center"/>
              <w:rPr/>
            </w:pPr>
            <w:r>
              <w:rPr/>
              <w:t>Shorter of the lease term or estimated useful life</w:t>
            </w:r>
          </w:p>
        </w:tc>
      </w:tr>
      <w:tr>
        <w:trPr/>
        <w:tc>
          <w:tcPr>
            <w:tcW w:w="2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12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center"/>
              <w:rPr/>
            </w:pPr>
            <w:r>
              <w:rPr/>
              <w:t>5 years</w:t>
            </w:r>
          </w:p>
        </w:tc>
      </w:tr>
      <w:tr>
        <w:trPr/>
        <w:tc>
          <w:tcPr>
            <w:tcW w:w="2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Computer software</w:t>
            </w:r>
          </w:p>
        </w:tc>
        <w:tc>
          <w:tcPr>
            <w:tcW w:w="12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center"/>
              <w:rPr/>
            </w:pPr>
            <w:r>
              <w:rPr/>
              <w:t>3 years</w:t>
            </w:r>
          </w:p>
        </w:tc>
      </w:tr>
    </w:tbl>
    <w:p>
      <w:pPr>
        <w:pStyle w:val="TextBody"/>
        <w:bidi w:val="0"/>
        <w:spacing w:before="240" w:after="0"/>
        <w:jc w:val="left"/>
        <w:rPr>
          <w:rFonts w:ascii="Times New Roman" w:hAnsi="Times New Roman"/>
          <w:sz w:val="20"/>
        </w:rPr>
      </w:pPr>
      <w:r>
        <w:rPr>
          <w:rFonts w:ascii="Times New Roman" w:hAnsi="Times New Roman"/>
          <w:sz w:val="20"/>
        </w:rPr>
        <w:t xml:space="preserve">Maintenance and repairs are charged to expense as incurred. When assets are retired or otherwise disposed of, the cost of these assets and related accumulated depreciation or amortization are eliminated from the consolidated balance sheets and any resulting gains or losses are included in the consolidated statements of operations in the period of disposals.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Impairment of Long-Lived Assets </w:t>
      </w:r>
    </w:p>
    <w:p>
      <w:pPr>
        <w:pStyle w:val="TextBody"/>
        <w:bidi w:val="0"/>
        <w:spacing w:before="120" w:after="0"/>
        <w:jc w:val="left"/>
        <w:rPr>
          <w:rFonts w:ascii="Times New Roman" w:hAnsi="Times New Roman"/>
          <w:sz w:val="20"/>
        </w:rPr>
      </w:pPr>
      <w:r>
        <w:rPr>
          <w:rFonts w:ascii="Times New Roman" w:hAnsi="Times New Roman"/>
          <w:sz w:val="20"/>
        </w:rPr>
        <w:t xml:space="preserve">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Recoverability of assets to be held and used is measured by a comparison of the carrying amount of an asset to future undiscounted net cash flows expected to be generated. Impairment charges are recognized at the amount by which the carrying amount of an asset exceeds the fair value of the asset. There were no impairments for the years ended December 31, 2025 or 2024. </w:t>
      </w:r>
    </w:p>
    <w:p>
      <w:pPr>
        <w:pStyle w:val="TextBody"/>
        <w:bidi w:val="0"/>
        <w:spacing w:before="360" w:after="0"/>
        <w:jc w:val="left"/>
        <w:rPr>
          <w:rFonts w:ascii="Times New Roman" w:hAnsi="Times New Roman"/>
          <w:b/>
          <w:sz w:val="20"/>
        </w:rPr>
      </w:pPr>
      <w:r>
        <w:rPr>
          <w:rFonts w:ascii="Times New Roman" w:hAnsi="Times New Roman"/>
          <w:b/>
          <w:sz w:val="20"/>
        </w:rPr>
        <w:t xml:space="preserve">Leases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2016-02,</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Leases</w:t>
      </w:r>
    </w:p>
    <w:p>
      <w:pPr>
        <w:pStyle w:val="TextBody"/>
        <w:bidi w:val="0"/>
        <w:spacing w:before="120" w:after="0"/>
        <w:jc w:val="left"/>
        <w:rPr>
          <w:rFonts w:ascii="Times New Roman" w:hAnsi="Times New Roman"/>
          <w:sz w:val="20"/>
        </w:rPr>
      </w:pPr>
      <w:r>
        <w:rPr>
          <w:rFonts w:ascii="Times New Roman" w:hAnsi="Times New Roman"/>
          <w:sz w:val="20"/>
        </w:rPr>
        <w:t xml:space="preserve">(“ASC 842”), the Company determines whether an arrangement is or contains a lease at inception. A contract is or contains a lease if the contract conveys the right to control the use of an identified asset for a period of time in exchange for consideration. The Company classifies leases at the lease commencement date, when control of the underlying asset is transferred from the lessor to the lessee, as operating or finance leases and records a right of use (“ROU”) asset and a lease liability on the consolidated balance sheets for all leases with an initial lease term of greater than 12 months. The Company has elected to not recognize leases with a lease term of 12 months or less, and payments are recognized as expense on a straight-line basis over the lease term. </w:t>
      </w:r>
    </w:p>
    <w:p>
      <w:pPr>
        <w:pStyle w:val="TextBody"/>
        <w:bidi w:val="0"/>
        <w:spacing w:before="240" w:after="0"/>
        <w:jc w:val="left"/>
        <w:rPr>
          <w:rFonts w:ascii="Times New Roman" w:hAnsi="Times New Roman"/>
          <w:sz w:val="20"/>
        </w:rPr>
      </w:pPr>
      <w:r>
        <w:rPr>
          <w:rFonts w:ascii="Times New Roman" w:hAnsi="Times New Roman"/>
          <w:sz w:val="20"/>
        </w:rPr>
        <w:t xml:space="preserve">The Company enters into contracts that contain both lease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non-lease</w:t>
      </w:r>
    </w:p>
    <w:p>
      <w:pPr>
        <w:pStyle w:val="TextBody"/>
        <w:bidi w:val="0"/>
        <w:spacing w:before="240" w:after="0"/>
        <w:jc w:val="left"/>
        <w:rPr>
          <w:rFonts w:ascii="Times New Roman" w:hAnsi="Times New Roman"/>
          <w:sz w:val="20"/>
        </w:rPr>
      </w:pPr>
      <w:r>
        <w:rPr>
          <w:rFonts w:ascii="Times New Roman" w:hAnsi="Times New Roman"/>
          <w:sz w:val="20"/>
        </w:rPr>
        <w:t xml:space="preserve">components.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Non-lease</w:t>
      </w:r>
    </w:p>
    <w:p>
      <w:pPr>
        <w:pStyle w:val="TextBody"/>
        <w:bidi w:val="0"/>
        <w:spacing w:before="240" w:after="0"/>
        <w:jc w:val="left"/>
        <w:rPr>
          <w:rFonts w:ascii="Times New Roman" w:hAnsi="Times New Roman"/>
          <w:sz w:val="20"/>
        </w:rPr>
      </w:pPr>
      <w:r>
        <w:rPr>
          <w:rFonts w:ascii="Times New Roman" w:hAnsi="Times New Roman"/>
          <w:sz w:val="20"/>
        </w:rPr>
        <w:t xml:space="preserve">components may include maintenance, utilities, and other operating costs. For leases of real estate, the Company combines the lease and associated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non-lease</w:t>
      </w:r>
    </w:p>
    <w:p>
      <w:pPr>
        <w:pStyle w:val="TextBody"/>
        <w:bidi w:val="0"/>
        <w:spacing w:before="240" w:after="0"/>
        <w:jc w:val="left"/>
        <w:rPr>
          <w:rFonts w:ascii="Times New Roman" w:hAnsi="Times New Roman"/>
          <w:sz w:val="20"/>
        </w:rPr>
      </w:pPr>
      <w:r>
        <w:rPr>
          <w:rFonts w:ascii="Times New Roman" w:hAnsi="Times New Roman"/>
          <w:sz w:val="20"/>
        </w:rPr>
        <w:t xml:space="preserve">components in its lease arrangements as a single lease component. Variable costs, such as utilities or maintenance costs, are not included in the measurement of </w:t>
      </w:r>
    </w:p>
    <w:p>
      <w:pPr>
        <w:pStyle w:val="TextBody"/>
        <w:bidi w:val="0"/>
        <w:spacing w:before="240" w:after="0"/>
        <w:jc w:val="left"/>
        <w:rPr>
          <w:rFonts w:ascii="Times New Roman" w:hAnsi="Times New Roman"/>
          <w:spacing w:val="0"/>
          <w:sz w:val="20"/>
        </w:rPr>
      </w:pPr>
      <w:r>
        <w:rPr>
          <w:rFonts w:ascii="Times New Roman" w:hAnsi="Times New Roman"/>
          <w:spacing w:val="0"/>
          <w:sz w:val="20"/>
        </w:rPr>
        <w:t>right-of-use</w:t>
      </w:r>
    </w:p>
    <w:p>
      <w:pPr>
        <w:pStyle w:val="TextBody"/>
        <w:bidi w:val="0"/>
        <w:spacing w:before="240" w:after="0"/>
        <w:jc w:val="left"/>
        <w:rPr>
          <w:rFonts w:ascii="Times New Roman" w:hAnsi="Times New Roman"/>
          <w:sz w:val="20"/>
        </w:rPr>
      </w:pPr>
      <w:r>
        <w:rPr>
          <w:rFonts w:ascii="Times New Roman" w:hAnsi="Times New Roman"/>
          <w:sz w:val="20"/>
        </w:rPr>
        <w:t xml:space="preserve">assets and lease liabilities, but rather are expensed when the event determining the amount of variable consideration to be paid occurs. </w:t>
      </w:r>
    </w:p>
    <w:p>
      <w:pPr>
        <w:pStyle w:val="TextBody"/>
        <w:bidi w:val="0"/>
        <w:spacing w:before="240" w:after="0"/>
        <w:jc w:val="left"/>
        <w:rPr>
          <w:rFonts w:ascii="Times New Roman" w:hAnsi="Times New Roman"/>
          <w:sz w:val="20"/>
        </w:rPr>
      </w:pPr>
      <w:r>
        <w:rPr>
          <w:rFonts w:ascii="Times New Roman" w:hAnsi="Times New Roman"/>
          <w:sz w:val="20"/>
        </w:rPr>
        <w:t xml:space="preserve">Finance and operating lease assets and liabilities are recognized at the lease commencement date based on the present value of the lease payments over the lease term using the discount rate implicit in the lease if readily determinable. If the rate implicit is not readily determinable, the Company utilizes its incremental borrowing rate, which reflects the fixed rate at which the Company could borrow on a collateralized basis over a similar term and amount equal to the lease payments in a similar economic environment. ROU assets are further adjusted for initial direct costs, prepaid rent, or incentives received. Operating lease payments are expensed using the straight-line method as an operating expense over the lease term. The Company’s lease terms may include options to extend or terminate the lease when it is reasonably certain that the Company will exercise that option. Finance lease assets are amortized to depreciation expense using the straight-line method over the shorter of the useful life of the related asset or the lease term. Finance lease payments are bifurcated into (i) a portion that is recorded as interest expense using the effective interest method and (ii) a portion that reduces the finance liability associated with the lease.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Company examines other contracts with suppliers, vendors and outside parties to identify whether such contracts contain an embedded lease and, as applicable, accounts for such embedded leases in accordance with ASC 842. </w:t>
      </w:r>
    </w:p>
    <w:p>
      <w:pPr>
        <w:pStyle w:val="TextBody"/>
        <w:bidi w:val="0"/>
        <w:spacing w:before="240" w:after="0"/>
        <w:jc w:val="left"/>
        <w:rPr>
          <w:rFonts w:ascii="Times New Roman" w:hAnsi="Times New Roman"/>
          <w:sz w:val="20"/>
        </w:rPr>
      </w:pPr>
      <w:r>
        <w:rPr>
          <w:rFonts w:ascii="Times New Roman" w:hAnsi="Times New Roman"/>
          <w:sz w:val="20"/>
        </w:rPr>
        <w:t xml:space="preserve">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Financial assets and liabilities carried at fair value are to be classified and disclosed in one of the following three levels of the fair value hierarchy, of which the first two are considered observable and the last is considered unobservable: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Level 1</w:t>
      </w:r>
    </w:p>
    <w:p>
      <w:pPr>
        <w:pStyle w:val="TextBody"/>
        <w:bidi w:val="0"/>
        <w:spacing w:before="240" w:after="0"/>
        <w:jc w:val="left"/>
        <w:rPr>
          <w:rFonts w:ascii="Times New Roman" w:hAnsi="Times New Roman"/>
          <w:sz w:val="20"/>
        </w:rPr>
      </w:pPr>
      <w:r>
        <w:rPr>
          <w:rFonts w:ascii="Times New Roman" w:hAnsi="Times New Roman"/>
          <w:sz w:val="20"/>
        </w:rPr>
        <w:t xml:space="preserve">- Quoted prices in active markets for identical assets or liabilities.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Level 2</w:t>
      </w:r>
    </w:p>
    <w:p>
      <w:pPr>
        <w:pStyle w:val="TextBody"/>
        <w:bidi w:val="0"/>
        <w:spacing w:before="240" w:after="0"/>
        <w:jc w:val="left"/>
        <w:rPr>
          <w:rFonts w:ascii="Times New Roman" w:hAnsi="Times New Roman"/>
          <w:sz w:val="20"/>
        </w:rPr>
      </w:pPr>
      <w:r>
        <w:rPr>
          <w:rFonts w:ascii="Times New Roman" w:hAnsi="Times New Roman"/>
          <w:sz w:val="20"/>
        </w:rPr>
        <w:t xml:space="preserve">-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Level 3</w:t>
      </w:r>
    </w:p>
    <w:p>
      <w:pPr>
        <w:pStyle w:val="TextBody"/>
        <w:bidi w:val="0"/>
        <w:spacing w:before="240" w:after="0"/>
        <w:jc w:val="left"/>
        <w:rPr>
          <w:rFonts w:ascii="Times New Roman" w:hAnsi="Times New Roman"/>
          <w:sz w:val="20"/>
        </w:rPr>
      </w:pPr>
      <w:r>
        <w:rPr>
          <w:rFonts w:ascii="Times New Roman" w:hAnsi="Times New Roman"/>
          <w:sz w:val="20"/>
        </w:rPr>
        <w:t xml:space="preserve">- Unobservable inputs that are supported by little or no market activity and that are significant to determining the fair value of the assets or liabilities, including pricing models, discounted cash flow methodologies and similar techniques.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preferred stock warrant liability is carried at fair value, determined according to Level 3 inputs in the fair value hierarchy described above. The carrying values of the Company’s accounts payable and accrued expenses and other current liabilities approximate their fair value due to the short-term nature of these liabilities. </w:t>
      </w:r>
    </w:p>
    <w:p>
      <w:pPr>
        <w:pStyle w:val="TextBody"/>
        <w:bidi w:val="0"/>
        <w:spacing w:before="360" w:after="0"/>
        <w:jc w:val="left"/>
        <w:rPr>
          <w:rFonts w:ascii="Times New Roman" w:hAnsi="Times New Roman"/>
          <w:b/>
          <w:sz w:val="20"/>
        </w:rPr>
      </w:pPr>
      <w:r>
        <w:rPr>
          <w:rFonts w:ascii="Times New Roman" w:hAnsi="Times New Roman"/>
          <w:b/>
          <w:sz w:val="20"/>
        </w:rPr>
        <w:t xml:space="preserve">Redeemable Convertible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Company’s redeemable convertible preferred stock is classified as temporary equity in the accompanying consolidated balance sheets and excluded from stockholders’ deficit as the potential redemption of such stock is outside the Company’s control. Costs incurred in connection with the issuance of redeemable convertible preferred stock are recorded as a reduction of gross proceeds from issuance. </w:t>
      </w:r>
    </w:p>
    <w:p>
      <w:pPr>
        <w:pStyle w:val="TextBody"/>
        <w:bidi w:val="0"/>
        <w:spacing w:before="240" w:after="0"/>
        <w:jc w:val="left"/>
        <w:rPr>
          <w:rFonts w:ascii="Times New Roman" w:hAnsi="Times New Roman"/>
          <w:sz w:val="20"/>
        </w:rPr>
      </w:pPr>
      <w:r>
        <w:rPr>
          <w:rFonts w:ascii="Times New Roman" w:hAnsi="Times New Roman"/>
          <w:sz w:val="20"/>
        </w:rPr>
        <w:t xml:space="preserve">The Company did not accrete the carrying values of the preferred stock to the redemption values since the occurrence of either a merger or consolidation; or a sale, lease, transfer, exclusive license or other disposition, in a single transaction or series of related transactions, of all, or substantially all, of the Company’s assets or intellectual property of the Company (a “Deemed Liquidation Event”) was not considered probable as of December 31, 2025 or 2024. Subsequent adjustments of the carrying values to the ultimate redemption values will be made only when it becomes probable that these events will occur. In the event of such a Deemed Liquidation Event, the proceeds from the event are distributed in accordance with the liquidation preferences, provided that the holders of preferred stock have not converted their shares into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Collaboration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analyzes its collaboration arrangements to assess whether they are within the scope of ASC 808,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Collaborative Arrangements</w:t>
      </w:r>
    </w:p>
    <w:p>
      <w:pPr>
        <w:pStyle w:val="TextBody"/>
        <w:bidi w:val="0"/>
        <w:spacing w:before="120" w:after="0"/>
        <w:jc w:val="left"/>
        <w:rPr>
          <w:rFonts w:ascii="Times New Roman" w:hAnsi="Times New Roman"/>
          <w:sz w:val="20"/>
        </w:rPr>
      </w:pPr>
      <w:r>
        <w:rPr>
          <w:rFonts w:ascii="Times New Roman" w:hAnsi="Times New Roman"/>
          <w:sz w:val="20"/>
        </w:rPr>
        <w:t xml:space="preserve">(“ASC 808”) to determine whether such arrangements involve joint operating activities performed by parties that are both active participants in the activities and exposed to significant risks and rewards dependent on the commercial success of such activities. This assessment is performed throughout the life of the arrangement based on changes in the responsibilities of all parties in the arrangement. When the Company has concluded that a collaborator meets the definition of a customer the Company follows the guidance in ASC Topic 606,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Revenue from Contracts with Customers</w:t>
      </w:r>
    </w:p>
    <w:p>
      <w:pPr>
        <w:pStyle w:val="TextBody"/>
        <w:bidi w:val="0"/>
        <w:spacing w:before="120" w:after="0"/>
        <w:jc w:val="left"/>
        <w:rPr>
          <w:rFonts w:ascii="Times New Roman" w:hAnsi="Times New Roman"/>
          <w:sz w:val="20"/>
        </w:rPr>
      </w:pPr>
      <w:r>
        <w:rPr>
          <w:rFonts w:ascii="Times New Roman" w:hAnsi="Times New Roman"/>
          <w:sz w:val="20"/>
        </w:rPr>
        <w:t xml:space="preserve">(“ASC 606”). </w:t>
      </w:r>
    </w:p>
    <w:p>
      <w:pPr>
        <w:pStyle w:val="TextBody"/>
        <w:bidi w:val="0"/>
        <w:spacing w:before="360" w:after="0"/>
        <w:jc w:val="left"/>
        <w:rPr>
          <w:rFonts w:ascii="Times New Roman" w:hAnsi="Times New Roman"/>
          <w:b/>
          <w:sz w:val="20"/>
        </w:rPr>
      </w:pPr>
      <w:r>
        <w:rPr>
          <w:rFonts w:ascii="Times New Roman" w:hAnsi="Times New Roman"/>
          <w:b/>
          <w:sz w:val="20"/>
        </w:rPr>
        <w:t xml:space="preserve">Revenue Recognition </w:t>
      </w:r>
    </w:p>
    <w:p>
      <w:pPr>
        <w:pStyle w:val="TextBody"/>
        <w:bidi w:val="0"/>
        <w:spacing w:before="120" w:after="0"/>
        <w:jc w:val="left"/>
        <w:rPr>
          <w:rFonts w:ascii="Times New Roman" w:hAnsi="Times New Roman"/>
          <w:sz w:val="20"/>
        </w:rPr>
      </w:pPr>
      <w:r>
        <w:rPr>
          <w:rFonts w:ascii="Times New Roman" w:hAnsi="Times New Roman"/>
          <w:sz w:val="20"/>
        </w:rPr>
        <w:t xml:space="preserve">Under ASC 606, the Company recognizes revenue associated with collaboration agreements when its customer obtains control of promised goods or services in an amount that reflects the consideration that the Company expects to receive in exchange for those goods or services. To determine revenue recognition for arrangements within the scope of ASC 606, the Company performs the following five steps: (i) identify the contract(s) with a customer; (ii) identify the performance obligations in the contract; (iii) determine the transaction price, including variable consideration, if any; (iv) allocate the transaction price to the performance obligations in the contract; and (v) recognize revenue when (or as) the Company satisfies a performance obligation.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assesses the goods or services promised within each contract and determines those that are performance obligations. The Company’s collaboration agreements typically consist of promises to transfer licenses to the Company’s intellectual property, research and development services, and related supporting activities.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assesses whether each promised good or service is distinct for the purpose of identifying the performance obligations in the contract. This assessment involves subjective determinations and requires management to make judgments about the individual promised goods or services, including the significance of the Company’s integration service, the interdependency of their utility, and the customer’s ability to derive their intended benefit from the contract and whether such are separable from the other aspects of the contractual relationship. Promised goods and services are considered distinct provided that: (i) the customer can benefit from the good or service either on its own or together with other resources that are readily available to the customer (that is, the good or service is capable of being distinct) and (ii) the Company’s promise to transfer the good or service to the customer is separately identifiable from other promises in the contract (that is, the promise to transfer the good or service is distinct within the context of the contract). In assessing whether a promised good or service is distinct, the Company considers factors such as the research, development, manufacturing and commercialization capabilities of the customer and the availability of similar services in the general marketplace. If a promised good or service is not distinct, an entity is required to combine that good or service with other promised goods or services until it identifies a bundle of goods or services that is distinct. </w:t>
      </w:r>
    </w:p>
    <w:p>
      <w:pPr>
        <w:pStyle w:val="TextBody"/>
        <w:bidi w:val="0"/>
        <w:spacing w:before="240" w:after="0"/>
        <w:jc w:val="left"/>
        <w:rPr>
          <w:rFonts w:ascii="Times New Roman" w:hAnsi="Times New Roman"/>
          <w:sz w:val="20"/>
        </w:rPr>
      </w:pPr>
      <w:r>
        <w:rPr>
          <w:rFonts w:ascii="Times New Roman" w:hAnsi="Times New Roman"/>
          <w:sz w:val="20"/>
        </w:rPr>
        <w:t xml:space="preserve">When an arrangement includes a customer option for additional goods or services, the Company assesses whether the option provides the customer with a material right. A material right is an option to purchase the underlying goods and services at a price below their standalone selling price that the customer would not have received had it not entered into the initial contract. When an option is deemed to provide a material right to the customer, it is accounted for as a separate performance obligation.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 price is the sum of fixed and estimated variable consideration. Variable consideration is estimated using the most likely amount or expected value method to determine the amount of consideration to which the Company expects to be entitled in exchange for transferring the promised goods or services to a customer. The amount of variable consideration included in the transaction price is constrained to the amount for which it is probable that a significant reversal of cumulative revenue recognized will not occur. At each reporting date, the Company </w:t>
      </w:r>
    </w:p>
    <w:p>
      <w:pPr>
        <w:pStyle w:val="TextBody"/>
        <w:bidi w:val="0"/>
        <w:spacing w:before="240" w:after="0"/>
        <w:jc w:val="left"/>
        <w:rPr>
          <w:rFonts w:ascii="Times New Roman" w:hAnsi="Times New Roman"/>
          <w:spacing w:val="0"/>
          <w:sz w:val="20"/>
        </w:rPr>
      </w:pPr>
      <w:r>
        <w:rPr>
          <w:rFonts w:ascii="Times New Roman" w:hAnsi="Times New Roman"/>
          <w:spacing w:val="0"/>
          <w:sz w:val="20"/>
        </w:rPr>
        <w:t>re-evaluates</w:t>
      </w:r>
    </w:p>
    <w:p>
      <w:pPr>
        <w:pStyle w:val="TextBody"/>
        <w:bidi w:val="0"/>
        <w:spacing w:before="240" w:after="0"/>
        <w:jc w:val="left"/>
        <w:rPr>
          <w:rFonts w:ascii="Times New Roman" w:hAnsi="Times New Roman"/>
          <w:sz w:val="20"/>
        </w:rPr>
      </w:pPr>
      <w:r>
        <w:rPr>
          <w:rFonts w:ascii="Times New Roman" w:hAnsi="Times New Roman"/>
          <w:sz w:val="20"/>
        </w:rPr>
        <w:t xml:space="preserve">the estimate of variable consideration and the constraint. </w:t>
      </w:r>
    </w:p>
    <w:p>
      <w:pPr>
        <w:pStyle w:val="TextBody"/>
        <w:bidi w:val="0"/>
        <w:spacing w:before="240" w:after="0"/>
        <w:jc w:val="left"/>
        <w:rPr>
          <w:rFonts w:ascii="Times New Roman" w:hAnsi="Times New Roman"/>
          <w:sz w:val="20"/>
        </w:rPr>
      </w:pPr>
      <w:r>
        <w:rPr>
          <w:rFonts w:ascii="Times New Roman" w:hAnsi="Times New Roman"/>
          <w:sz w:val="20"/>
        </w:rPr>
        <w:t xml:space="preserve">When arrangements include development and regulatory milestone payments, the Company evaluates whether the milestones are considered probable of being reached and estimates the amount to be included in the transaction price using the most likely amount method. Milestone payments triggered by events that have significant uncertainty and are not within the Company’s control such as regulatory approvals, are not considered probable of being achieved until those approvals are received and are excluded from the transaction price. </w:t>
      </w:r>
    </w:p>
    <w:p>
      <w:pPr>
        <w:pStyle w:val="TextBody"/>
        <w:bidi w:val="0"/>
        <w:spacing w:before="240" w:after="0"/>
        <w:jc w:val="left"/>
        <w:rPr>
          <w:rFonts w:ascii="Times New Roman" w:hAnsi="Times New Roman"/>
          <w:sz w:val="20"/>
        </w:rPr>
      </w:pPr>
      <w:r>
        <w:rPr>
          <w:rFonts w:ascii="Times New Roman" w:hAnsi="Times New Roman"/>
          <w:sz w:val="20"/>
        </w:rPr>
        <w:t xml:space="preserve">For arrangements with licenses of intellectual property, where the license is deemed to be the predominant item to which the royalties relate, the Company utilizes the royalty exception and recognizes revenue and sales-based royalties and milestones at the later of (i) when the related sales occur, or (ii) upon satisfaction of the related performance obligation.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the transaction price, the Company adjusts consideration for the effects of the time value of money if the timing of payments provides the Company with a significant benefit of financing. If the expectation at contract inception is such that the period between the transfer of the promised goods or services to the customer and the payment by the customer will be one year or less, the Company will elect the practical expedient provided by ASC 606 to forego this assessment and conclude a significant financing component does not exist.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Variable consideration may be allocated to a single performance obligation or a subset of distinct goods or services within a series performance obligation if the variable consideration is both earned by the efforts or outcomes of transferring the service and the allocation objective it met. The remaining transaction price is allocated to the identified performance obligations in proportion to their standalone selling prices (“SSP”) on a relative SSP basis. SSP is determined at contract inception using an approach that maximizes the use of available inputs and may include the adjusted market assessment or cost-plus margin approach. The SSP estimate is not updated to reflect changes between contract inception and when the performance obligations are satisfied. Determining the SSP for performance obligations may require significant judgment, including consideration market conditions, entity-specific pricing strategies, and observable data points on expected costs and profit margins. </w:t>
      </w:r>
    </w:p>
    <w:p>
      <w:pPr>
        <w:pStyle w:val="TextBody"/>
        <w:bidi w:val="0"/>
        <w:spacing w:before="240" w:after="0"/>
        <w:jc w:val="left"/>
        <w:rPr>
          <w:rFonts w:ascii="Times New Roman" w:hAnsi="Times New Roman"/>
          <w:sz w:val="20"/>
        </w:rPr>
      </w:pPr>
      <w:r>
        <w:rPr>
          <w:rFonts w:ascii="Times New Roman" w:hAnsi="Times New Roman"/>
          <w:sz w:val="20"/>
        </w:rPr>
        <w:t xml:space="preserve">The Company then recognizes as revenue the amount of the transaction price that is allocated to the respective performance obligation when, or as, each performance obligation is satisfied, either at a point in time or over time, and if over time, recognition is based on the measure of progress that most faithfully depicts our performance towards transferring the related goods and services. The estimate of the Company’s measure of progress is updated at each reporting date.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records amounts as accounts receivable when the right to consideration is deemed unconditional. When consideration is received, or such consideration is unconditionally due, from a customer prior to transferring goods or services to the customer, a contract liability, which the Company refers to as deferred revenue, is recorded. </w:t>
      </w:r>
    </w:p>
    <w:p>
      <w:pPr>
        <w:pStyle w:val="TextBody"/>
        <w:bidi w:val="0"/>
        <w:spacing w:before="360" w:after="0"/>
        <w:jc w:val="left"/>
        <w:rPr>
          <w:rFonts w:ascii="Times New Roman" w:hAnsi="Times New Roman"/>
          <w:b/>
          <w:sz w:val="20"/>
        </w:rPr>
      </w:pPr>
      <w:r>
        <w:rPr>
          <w:rFonts w:ascii="Times New Roman" w:hAnsi="Times New Roman"/>
          <w:b/>
          <w:sz w:val="20"/>
        </w:rPr>
        <w:t xml:space="preserve">Research and Development and Manufacturing Contract Costs and Accruals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costs are expensed as incurred. Research and development expenses consist of costs incurred in performing research and development activities, including costs for salaries and bonuses, employee benefits, subcontractors, facility-related expenses, depreciation, stock-based compensation, third-party license fees, laboratory supplies, and external costs of outside vendors engaged to conduct discovery and preclinical development activities as well as to begin to manufacture materials for upcoming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Nonrefundable advance payments for goods or services to be provided in the future for use in research and development activities are recorded as prepaid expenses. Such prepaid expenses are recognized as an expense when the goods have been delivered or the related services have been performed, or when it is no longer expected that the goods will be delivered, or the services rendered. </w:t>
      </w:r>
    </w:p>
    <w:p>
      <w:pPr>
        <w:pStyle w:val="TextBody"/>
        <w:bidi w:val="0"/>
        <w:spacing w:before="240" w:after="0"/>
        <w:jc w:val="left"/>
        <w:rPr>
          <w:rFonts w:ascii="Times New Roman" w:hAnsi="Times New Roman"/>
          <w:sz w:val="20"/>
        </w:rPr>
      </w:pPr>
      <w:r>
        <w:rPr>
          <w:rFonts w:ascii="Times New Roman" w:hAnsi="Times New Roman"/>
          <w:sz w:val="20"/>
        </w:rPr>
        <w:t xml:space="preserve">Upfront payments under license agreements are expensed as research and development expense upon receipt of the license, and annual maintenance fees under license agreements are expensed in the period in which they are incurred. Contingent milestone payments are recognized when the related contingency is resolved and the amounts are paid or become payable.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entered into various research, development and manufacturing contracts with research institutions and other companies. These agreements are generally cancelable, and related costs are recorded as research and development expenses as incurred. The Company records accruals for estimated ongoing research, development and manufacturing costs. When billing terms under these contracts do not coincide with the timing of when the work is performed, the Company is required to make estimates of outstanding obligations to those third parties as of period end. Any accrual estimates are based on a number of factors, including the Company’s knowledge of the progress towards completion of the research, development and manufacturing activities, invoicing to date under the contracts, communication from the research institutions and other companies of any actual costs incurred during the period that have not yet been invoiced and the costs included in the contracts. Significant judgments and estimates may be made in determining the accrued balances at the end of any reporting period. Actual results could differ from the estimates made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Patent Costs </w:t>
      </w:r>
    </w:p>
    <w:p>
      <w:pPr>
        <w:pStyle w:val="TextBody"/>
        <w:bidi w:val="0"/>
        <w:spacing w:before="120" w:after="0"/>
        <w:jc w:val="left"/>
        <w:rPr>
          <w:rFonts w:ascii="Times New Roman" w:hAnsi="Times New Roman"/>
          <w:sz w:val="20"/>
        </w:rPr>
      </w:pPr>
      <w:r>
        <w:rPr>
          <w:rFonts w:ascii="Times New Roman" w:hAnsi="Times New Roman"/>
          <w:sz w:val="20"/>
        </w:rPr>
        <w:t xml:space="preserve">For the periods ended December 31, 2025 and 2024, costs associated with successful and pending applications of patents and trademarks are recognized as general and administrative expenses as incurred. </w:t>
      </w:r>
    </w:p>
    <w:p>
      <w:pPr>
        <w:pStyle w:val="TextBody"/>
        <w:bidi w:val="0"/>
        <w:spacing w:before="360" w:after="0"/>
        <w:jc w:val="left"/>
        <w:rPr>
          <w:rFonts w:ascii="Times New Roman" w:hAnsi="Times New Roman"/>
          <w:b/>
          <w:sz w:val="20"/>
        </w:rPr>
      </w:pPr>
      <w:r>
        <w:rPr>
          <w:rFonts w:ascii="Times New Roman" w:hAnsi="Times New Roman"/>
          <w:b/>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measures stock-based awards granted to employees, nonemployees and directors based on the fair value on the date of the grant and recognizes compensation expense for those awards over the requisite service period, which is generally the vesting period of the respective award. Forfeitures are accounted for as they occur. Generally, the Company issues stock-based awards in the form of stock options with only service-based vesting conditions and records the expense for these awards using the straight-line method. The Company has also issued stock-based awards in the form of stock options with both performance and service-based vesting conditions. The Company records the expense for stock-based awards with both performance and service-based vesting using an accelerated attribution method, once the performance conditions are considered probable of being achieved, using management’s best estimates.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each share option is estimated on the date of grant using the Black-Scholes option pricing model, which requires inputs based on certain subjective assumptions,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Fair Value of Common Stock</w:t>
            </w:r>
          </w:p>
          <w:p>
            <w:pPr>
              <w:pStyle w:val="TableContents"/>
              <w:bidi w:val="0"/>
              <w:spacing w:before="0" w:after="0"/>
              <w:jc w:val="left"/>
              <w:rPr>
                <w:rFonts w:ascii="Times New Roman" w:hAnsi="Times New Roman"/>
                <w:sz w:val="20"/>
              </w:rPr>
            </w:pPr>
            <w:r>
              <w:rPr>
                <w:rFonts w:ascii="Times New Roman" w:hAnsi="Times New Roman"/>
                <w:sz w:val="20"/>
              </w:rPr>
              <w:t xml:space="preserve">- Because there is no public market for the Company’s common shares, the Company has determined the fair value of the Company’s common stock based on the independent third-party appraisals. The fair value of the Company’s common stock has been determined using a market approach to estimate the Company’s enterprise value and applies a hybrid method for allocation of equity value to different classes of equity. The hybrid method is a combination of an option pricing method (“OPM”) and a probability-weighted expected return method (“PWERM”) that contemplated the Company’s financial position and historical financial performance, the status of development of the Company’s programs, the current climate in the marketplace, the illiquid nature of the common stock, the effect of the rights and preferences of the preferred stockholders, and the prospects of a liquidity event, among others.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Estimated Volatility</w:t>
            </w:r>
          </w:p>
          <w:p>
            <w:pPr>
              <w:pStyle w:val="TableContents"/>
              <w:bidi w:val="0"/>
              <w:spacing w:before="0" w:after="0"/>
              <w:jc w:val="left"/>
              <w:rPr/>
            </w:pPr>
            <w:r>
              <w:rPr/>
              <w:t>—</w:t>
            </w:r>
            <w:r>
              <w:rPr>
                <w:rFonts w:ascii="Times New Roman" w:hAnsi="Times New Roman"/>
                <w:sz w:val="20"/>
              </w:rPr>
              <w:t xml:space="preserve">As a private company the Company lacks company-specific historical and implied volatility information for its shares, therefore, the Company estimates its expected share price volatility based on the historical volatility of publicly traded peer companies.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Expected Term</w:t>
            </w:r>
          </w:p>
          <w:p>
            <w:pPr>
              <w:pStyle w:val="TableContents"/>
              <w:bidi w:val="0"/>
              <w:spacing w:before="0" w:after="0"/>
              <w:jc w:val="left"/>
              <w:rPr/>
            </w:pPr>
            <w:r>
              <w:rPr/>
              <w:t>—</w:t>
            </w:r>
            <w:r>
              <w:rPr>
                <w:rFonts w:ascii="Times New Roman" w:hAnsi="Times New Roman"/>
                <w:sz w:val="20"/>
              </w:rPr>
              <w:t xml:space="preserve">The expected term represents the period that the stock-based awards are expected to be outstanding. The Company uses the simplified method to determine the expected term for “plain-vanilla” options, which is based on the average of the </w:t>
            </w:r>
          </w:p>
          <w:p>
            <w:pPr>
              <w:pStyle w:val="TableContents"/>
              <w:bidi w:val="0"/>
              <w:spacing w:before="0" w:after="0"/>
              <w:jc w:val="left"/>
              <w:rPr>
                <w:rFonts w:ascii="Times New Roman" w:hAnsi="Times New Roman"/>
                <w:sz w:val="20"/>
              </w:rPr>
            </w:pPr>
            <w:r>
              <w:rPr>
                <w:rFonts w:ascii="Times New Roman" w:hAnsi="Times New Roman"/>
                <w:sz w:val="20"/>
              </w:rPr>
              <w:t>time-to-vesting</w:t>
            </w:r>
          </w:p>
          <w:p>
            <w:pPr>
              <w:pStyle w:val="TableContents"/>
              <w:bidi w:val="0"/>
              <w:spacing w:before="0" w:after="0"/>
              <w:jc w:val="left"/>
              <w:rPr>
                <w:rFonts w:ascii="Times New Roman" w:hAnsi="Times New Roman"/>
                <w:sz w:val="20"/>
              </w:rPr>
            </w:pPr>
            <w:r>
              <w:rPr>
                <w:rFonts w:ascii="Times New Roman" w:hAnsi="Times New Roman"/>
                <w:sz w:val="20"/>
              </w:rPr>
              <w:t xml:space="preserve">and the contractual life of the options. For awards with both performance and service based vesting conditions, the expected term has been determined using management’s best estimate considering the characteristics of the award, contractual life, the timing of the expected achievement of the performance conditions, and the remaining time-based vesting period, if any. For nonemployees, the Company determines the life to be the contractual term of the option.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Risk Free Interest Rate</w:t>
            </w:r>
          </w:p>
          <w:p>
            <w:pPr>
              <w:pStyle w:val="TableContents"/>
              <w:bidi w:val="0"/>
              <w:spacing w:before="0" w:after="0"/>
              <w:jc w:val="left"/>
              <w:rPr/>
            </w:pPr>
            <w:r>
              <w:rPr/>
              <w:t>—</w:t>
            </w:r>
            <w:r>
              <w:rPr>
                <w:rFonts w:ascii="Times New Roman" w:hAnsi="Times New Roman"/>
                <w:sz w:val="20"/>
              </w:rPr>
              <w:t xml:space="preserve">The risk-free interest rate is determined by reference to the U.S. Treasury yield curve in effect at the time of grant of the award for time periods approximately equal to the expected term of the award.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Dividend Yield</w:t>
            </w:r>
          </w:p>
          <w:p>
            <w:pPr>
              <w:pStyle w:val="TableContents"/>
              <w:bidi w:val="0"/>
              <w:spacing w:before="0" w:after="0"/>
              <w:jc w:val="left"/>
              <w:rPr/>
            </w:pPr>
            <w:r>
              <w:rPr/>
              <w:t>—</w:t>
            </w:r>
            <w:r>
              <w:rPr>
                <w:rFonts w:ascii="Times New Roman" w:hAnsi="Times New Roman"/>
                <w:sz w:val="20"/>
              </w:rPr>
              <w:t xml:space="preserve">The Company has used an expected dividend yield of zero based on the fact that it has never paid cash dividends on its ordinary shares and does not expect to pay any cash dividends in the future.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classifies stock-based compensation expense in its consolidated statements of operations and comprehensive loss in the same manner in which the award recipient’s payroll costs are classified or in which the award recipient’s service payments are classified.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taxes are determined based on the difference between the financial statement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accounts for uncertainty in income taxes recognized in the financial statements by applying a </w:t>
      </w:r>
    </w:p>
    <w:p>
      <w:pPr>
        <w:pStyle w:val="TextBody"/>
        <w:bidi w:val="0"/>
        <w:spacing w:before="240" w:after="0"/>
        <w:jc w:val="left"/>
        <w:rPr>
          <w:rFonts w:ascii="Times New Roman" w:hAnsi="Times New Roman"/>
          <w:sz w:val="20"/>
        </w:rPr>
      </w:pPr>
      <w:r>
        <w:rPr>
          <w:rFonts w:ascii="Times New Roman" w:hAnsi="Times New Roman"/>
          <w:sz w:val="20"/>
        </w:rPr>
        <w:t>two-step</w:t>
      </w:r>
    </w:p>
    <w:p>
      <w:pPr>
        <w:pStyle w:val="TextBody"/>
        <w:bidi w:val="0"/>
        <w:spacing w:before="240" w:after="0"/>
        <w:jc w:val="left"/>
        <w:rPr>
          <w:rFonts w:ascii="Times New Roman" w:hAnsi="Times New Roman"/>
          <w:sz w:val="20"/>
        </w:rPr>
      </w:pPr>
      <w:r>
        <w:rPr>
          <w:rFonts w:ascii="Times New Roman" w:hAnsi="Times New Roman"/>
          <w:sz w:val="20"/>
        </w:rPr>
        <w:t xml:space="preserve">process to determine the amount of tax benefit to be recognized. First, the tax position must be evaluated to determine the likelihood that it will be sustained upon external examination by the taxing authorities. If the tax position is deemed </w:t>
      </w:r>
    </w:p>
    <w:p>
      <w:pPr>
        <w:pStyle w:val="TextBody"/>
        <w:bidi w:val="0"/>
        <w:spacing w:before="240" w:after="0"/>
        <w:jc w:val="left"/>
        <w:rPr>
          <w:rFonts w:ascii="Times New Roman" w:hAnsi="Times New Roman"/>
          <w:sz w:val="20"/>
        </w:rPr>
      </w:pPr>
      <w:r>
        <w:rPr>
          <w:rFonts w:ascii="Times New Roman" w:hAnsi="Times New Roman"/>
          <w:sz w:val="20"/>
        </w:rPr>
        <w:t>more-likely-than-not</w:t>
      </w:r>
    </w:p>
    <w:p>
      <w:pPr>
        <w:pStyle w:val="TextBody"/>
        <w:bidi w:val="0"/>
        <w:spacing w:before="240" w:after="0"/>
        <w:jc w:val="left"/>
        <w:rPr>
          <w:rFonts w:ascii="Times New Roman" w:hAnsi="Times New Roman"/>
          <w:sz w:val="20"/>
        </w:rPr>
      </w:pPr>
      <w:r>
        <w:rPr>
          <w:rFonts w:ascii="Times New Roman" w:hAnsi="Times New Roman"/>
          <w:sz w:val="20"/>
        </w:rPr>
        <w:t xml:space="preserve">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 The Company recognizes interest and penalties related to unrecognized tax benefits within income tax expense. Any accrued interest and penalties are included within the related tax liability. As of December 31, 2025 and 2024, the Company had not accrued interest or penalties related to uncertain tax positions and no amounts have been recognized in the Company’s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the Company’s stockholders or the Company. The Company assesses the impact of various tax reform proposals and modifications to existing tax treaties in all jurisdictions where the Company has operations to determine the potential effect on its business and any assumptions the Company has made about its future taxable income. The Company cannot predict whether any specific proposals will be enacted, the terms of any such proposals or what effect, if any, such proposals would have on its business if they were to be enacted. </w:t>
      </w:r>
    </w:p>
    <w:p>
      <w:pPr>
        <w:pStyle w:val="TextBody"/>
        <w:bidi w:val="0"/>
        <w:spacing w:before="360" w:after="0"/>
        <w:jc w:val="left"/>
        <w:rPr>
          <w:rFonts w:ascii="Times New Roman" w:hAnsi="Times New Roman"/>
          <w:b/>
          <w:sz w:val="20"/>
        </w:rPr>
      </w:pPr>
      <w:r>
        <w:rPr>
          <w:rFonts w:ascii="Times New Roman" w:hAnsi="Times New Roman"/>
          <w:b/>
          <w:sz w:val="20"/>
        </w:rPr>
        <w:t xml:space="preserve">Net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The Company calculated basic and diluted net loss per share attributable to common stockholders in conformity with the </w:t>
      </w:r>
    </w:p>
    <w:p>
      <w:pPr>
        <w:pStyle w:val="TextBody"/>
        <w:bidi w:val="0"/>
        <w:spacing w:before="120" w:after="0"/>
        <w:jc w:val="left"/>
        <w:rPr>
          <w:rFonts w:ascii="Times New Roman" w:hAnsi="Times New Roman"/>
          <w:sz w:val="20"/>
        </w:rPr>
      </w:pPr>
      <w:r>
        <w:rPr>
          <w:rFonts w:ascii="Times New Roman" w:hAnsi="Times New Roman"/>
          <w:sz w:val="20"/>
        </w:rPr>
        <w:t>two-class</w:t>
      </w:r>
    </w:p>
    <w:p>
      <w:pPr>
        <w:pStyle w:val="TextBody"/>
        <w:bidi w:val="0"/>
        <w:spacing w:before="120" w:after="0"/>
        <w:jc w:val="left"/>
        <w:rPr>
          <w:rFonts w:ascii="Times New Roman" w:hAnsi="Times New Roman"/>
          <w:sz w:val="20"/>
        </w:rPr>
      </w:pPr>
      <w:r>
        <w:rPr>
          <w:rFonts w:ascii="Times New Roman" w:hAnsi="Times New Roman"/>
          <w:sz w:val="20"/>
        </w:rPr>
        <w:t xml:space="preserve">method required for companies with participating securities. The Company’s </w:t>
      </w:r>
    </w:p>
    <w:p>
      <w:pPr>
        <w:pStyle w:val="TextBody"/>
        <w:bidi w:val="0"/>
        <w:spacing w:before="0" w:after="0"/>
        <w:jc w:val="left"/>
        <w:rPr>
          <w:rFonts w:ascii="Times New Roman" w:hAnsi="Times New Roman"/>
          <w:sz w:val="20"/>
        </w:rPr>
      </w:pPr>
      <w:r>
        <w:rPr>
          <w:rFonts w:ascii="Times New Roman" w:hAnsi="Times New Roman"/>
          <w:sz w:val="20"/>
        </w:rPr>
        <w:t xml:space="preserve">Preferred Stock (as defined below) is considered to be a participating security as the holders are entitled to receive dividends at a dividend rate payable in preference and priority to the holders of common stock. The </w:t>
      </w:r>
    </w:p>
    <w:p>
      <w:pPr>
        <w:pStyle w:val="TextBody"/>
        <w:bidi w:val="0"/>
        <w:spacing w:before="0" w:after="0"/>
        <w:jc w:val="left"/>
        <w:rPr>
          <w:rFonts w:ascii="Times New Roman" w:hAnsi="Times New Roman"/>
          <w:sz w:val="20"/>
        </w:rPr>
      </w:pPr>
      <w:r>
        <w:rPr>
          <w:rFonts w:ascii="Times New Roman" w:hAnsi="Times New Roman"/>
          <w:sz w:val="20"/>
        </w:rPr>
        <w:t>two-class</w:t>
      </w:r>
    </w:p>
    <w:p>
      <w:pPr>
        <w:pStyle w:val="TextBody"/>
        <w:bidi w:val="0"/>
        <w:spacing w:before="0" w:after="0"/>
        <w:jc w:val="left"/>
        <w:rPr>
          <w:rFonts w:ascii="Times New Roman" w:hAnsi="Times New Roman"/>
          <w:sz w:val="20"/>
        </w:rPr>
      </w:pPr>
      <w:r>
        <w:rPr>
          <w:rFonts w:ascii="Times New Roman" w:hAnsi="Times New Roman"/>
          <w:sz w:val="20"/>
        </w:rPr>
        <w:t xml:space="preserve">method determines net loss per share for each class of common and participating securities according to dividends declared or accumulated and participation rights in undistributed earnings. The </w:t>
      </w:r>
    </w:p>
    <w:p>
      <w:pPr>
        <w:pStyle w:val="TextBody"/>
        <w:bidi w:val="0"/>
        <w:spacing w:before="0" w:after="0"/>
        <w:jc w:val="left"/>
        <w:rPr>
          <w:rFonts w:ascii="Times New Roman" w:hAnsi="Times New Roman"/>
          <w:sz w:val="20"/>
        </w:rPr>
      </w:pPr>
      <w:r>
        <w:rPr>
          <w:rFonts w:ascii="Times New Roman" w:hAnsi="Times New Roman"/>
          <w:sz w:val="20"/>
        </w:rPr>
        <w:t>two-class</w:t>
      </w:r>
    </w:p>
    <w:p>
      <w:pPr>
        <w:pStyle w:val="TextBody"/>
        <w:bidi w:val="0"/>
        <w:spacing w:before="0" w:after="0"/>
        <w:jc w:val="left"/>
        <w:rPr>
          <w:rFonts w:ascii="Times New Roman" w:hAnsi="Times New Roman"/>
          <w:sz w:val="20"/>
        </w:rPr>
      </w:pPr>
      <w:r>
        <w:rPr>
          <w:rFonts w:ascii="Times New Roman" w:hAnsi="Times New Roman"/>
          <w:sz w:val="20"/>
        </w:rPr>
        <w:t xml:space="preserve">method requires income available to common stockholders for the period to be allocated between common and participating securities based upon their respective rights to receive dividends as if all income for the period has been distributed. There is no allocation required under the </w:t>
      </w:r>
    </w:p>
    <w:p>
      <w:pPr>
        <w:pStyle w:val="TextBody"/>
        <w:bidi w:val="0"/>
        <w:spacing w:before="0" w:after="0"/>
        <w:jc w:val="left"/>
        <w:rPr>
          <w:rFonts w:ascii="Times New Roman" w:hAnsi="Times New Roman"/>
          <w:sz w:val="20"/>
        </w:rPr>
      </w:pPr>
      <w:r>
        <w:rPr>
          <w:rFonts w:ascii="Times New Roman" w:hAnsi="Times New Roman"/>
          <w:sz w:val="20"/>
        </w:rPr>
        <w:t>two-class</w:t>
      </w:r>
    </w:p>
    <w:p>
      <w:pPr>
        <w:pStyle w:val="TextBody"/>
        <w:bidi w:val="0"/>
        <w:spacing w:before="0" w:after="0"/>
        <w:jc w:val="left"/>
        <w:rPr>
          <w:rFonts w:ascii="Times New Roman" w:hAnsi="Times New Roman"/>
          <w:sz w:val="20"/>
        </w:rPr>
      </w:pPr>
      <w:r>
        <w:rPr>
          <w:rFonts w:ascii="Times New Roman" w:hAnsi="Times New Roman"/>
          <w:sz w:val="20"/>
        </w:rPr>
        <w:t xml:space="preserve">method during periods of loss since the participating securities do not have a contractual obligation to share in the losses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Under the </w:t>
      </w:r>
    </w:p>
    <w:p>
      <w:pPr>
        <w:pStyle w:val="TextBody"/>
        <w:bidi w:val="0"/>
        <w:spacing w:before="240" w:after="0"/>
        <w:jc w:val="left"/>
        <w:rPr>
          <w:rFonts w:ascii="Times New Roman" w:hAnsi="Times New Roman"/>
          <w:sz w:val="20"/>
        </w:rPr>
      </w:pPr>
      <w:r>
        <w:rPr>
          <w:rFonts w:ascii="Times New Roman" w:hAnsi="Times New Roman"/>
          <w:sz w:val="20"/>
        </w:rPr>
        <w:t>two-class</w:t>
      </w:r>
    </w:p>
    <w:p>
      <w:pPr>
        <w:pStyle w:val="TextBody"/>
        <w:bidi w:val="0"/>
        <w:spacing w:before="240" w:after="0"/>
        <w:jc w:val="left"/>
        <w:rPr>
          <w:rFonts w:ascii="Times New Roman" w:hAnsi="Times New Roman"/>
          <w:sz w:val="20"/>
        </w:rPr>
      </w:pPr>
      <w:r>
        <w:rPr>
          <w:rFonts w:ascii="Times New Roman" w:hAnsi="Times New Roman"/>
          <w:sz w:val="20"/>
        </w:rPr>
        <w:t xml:space="preserve">method, basic net loss per share attributable to common stockholders is calculated by dividing the net loss attributable to common stockholders by the weighted-average number of shares of common stock outstanding during the period. Diluted net loss per share attributable to common stockholders is computed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by (i) adjusting net loss attributable to common stockholders to reallocate undistributed earnings based on the potential impact of dilutive securities and (ii) dividing the diluted net loss attributable to common stockholders by the weighted-average number of common shares outstanding for the period, including potential dilutive common shares. For purposes of this calculation, Preferred Stock, preferred stock warrants, and stock options to purchase common stock are considered potential dilutive common shares.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generated a net loss for each of the periods presented. Accordingly, basic and diluted net loss per share attributable to common stockholders are the same because the inclusion of the potentially dilutive securities would be anti-dilutive. </w:t>
      </w:r>
    </w:p>
    <w:p>
      <w:pPr>
        <w:pStyle w:val="TextBody"/>
        <w:bidi w:val="0"/>
        <w:spacing w:before="360" w:after="0"/>
        <w:jc w:val="left"/>
        <w:rPr>
          <w:rFonts w:ascii="Times New Roman" w:hAnsi="Times New Roman"/>
          <w:b/>
          <w:sz w:val="20"/>
        </w:rPr>
      </w:pPr>
      <w:r>
        <w:rPr>
          <w:rFonts w:ascii="Times New Roman" w:hAnsi="Times New Roman"/>
          <w:b/>
          <w:sz w:val="20"/>
        </w:rPr>
        <w:t xml:space="preserve">Other Comprehensive Loss </w:t>
      </w:r>
    </w:p>
    <w:p>
      <w:pPr>
        <w:pStyle w:val="TextBody"/>
        <w:bidi w:val="0"/>
        <w:spacing w:before="120" w:after="0"/>
        <w:jc w:val="left"/>
        <w:rPr>
          <w:rFonts w:ascii="Times New Roman" w:hAnsi="Times New Roman"/>
          <w:sz w:val="20"/>
        </w:rPr>
      </w:pPr>
      <w:r>
        <w:rPr>
          <w:rFonts w:ascii="Times New Roman" w:hAnsi="Times New Roman"/>
          <w:sz w:val="20"/>
        </w:rPr>
        <w:t xml:space="preserve">Comprehensive loss includes net loss as well as other changes in stockholders’ deficit that result from transactions and economic events other than those with stockholders. Other comprehensive loss consists of unrealized gains (losses) on marketable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Recently Adopted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2023, the FASB issued ASU </w:t>
      </w:r>
    </w:p>
    <w:p>
      <w:pPr>
        <w:pStyle w:val="TextBody"/>
        <w:bidi w:val="0"/>
        <w:spacing w:before="120" w:after="0"/>
        <w:jc w:val="left"/>
        <w:rPr>
          <w:rFonts w:ascii="Times New Roman" w:hAnsi="Times New Roman"/>
          <w:sz w:val="20"/>
        </w:rPr>
      </w:pPr>
      <w:r>
        <w:rPr>
          <w:rFonts w:ascii="Times New Roman" w:hAnsi="Times New Roman"/>
          <w:sz w:val="20"/>
        </w:rPr>
        <w:t>No. 2023-09,</w:t>
      </w:r>
    </w:p>
    <w:p>
      <w:pPr>
        <w:pStyle w:val="TextBody"/>
        <w:bidi w:val="0"/>
        <w:spacing w:before="120" w:after="0"/>
        <w:jc w:val="left"/>
        <w:rPr>
          <w:rFonts w:ascii="Times New Roman" w:hAnsi="Times New Roman"/>
          <w:i/>
          <w:sz w:val="20"/>
        </w:rPr>
      </w:pPr>
      <w:r>
        <w:rPr>
          <w:rFonts w:ascii="Times New Roman" w:hAnsi="Times New Roman"/>
          <w:i/>
          <w:sz w:val="20"/>
        </w:rPr>
        <w:t>Income Taxes (Topic 740): Improvement to Income Tax Disclosures</w:t>
      </w:r>
    </w:p>
    <w:p>
      <w:pPr>
        <w:pStyle w:val="TextBody"/>
        <w:bidi w:val="0"/>
        <w:spacing w:before="120" w:after="0"/>
        <w:jc w:val="left"/>
        <w:rPr>
          <w:rFonts w:ascii="Times New Roman" w:hAnsi="Times New Roman"/>
          <w:sz w:val="20"/>
        </w:rPr>
      </w:pPr>
      <w:r>
        <w:rPr>
          <w:rFonts w:ascii="Times New Roman" w:hAnsi="Times New Roman"/>
          <w:sz w:val="20"/>
        </w:rPr>
        <w:t xml:space="preserve">(“ASU </w:t>
      </w:r>
    </w:p>
    <w:p>
      <w:pPr>
        <w:pStyle w:val="TextBody"/>
        <w:bidi w:val="0"/>
        <w:spacing w:before="120" w:after="0"/>
        <w:jc w:val="left"/>
        <w:rPr>
          <w:rFonts w:ascii="Times New Roman" w:hAnsi="Times New Roman"/>
          <w:sz w:val="20"/>
        </w:rPr>
      </w:pPr>
      <w:r>
        <w:rPr>
          <w:rFonts w:ascii="Times New Roman" w:hAnsi="Times New Roman"/>
          <w:sz w:val="20"/>
        </w:rPr>
        <w:t>2023-09”),</w:t>
      </w:r>
    </w:p>
    <w:p>
      <w:pPr>
        <w:pStyle w:val="TextBody"/>
        <w:bidi w:val="0"/>
        <w:spacing w:before="120" w:after="0"/>
        <w:jc w:val="left"/>
        <w:rPr>
          <w:rFonts w:ascii="Times New Roman" w:hAnsi="Times New Roman"/>
          <w:sz w:val="20"/>
        </w:rPr>
      </w:pPr>
      <w:r>
        <w:rPr>
          <w:rFonts w:ascii="Times New Roman" w:hAnsi="Times New Roman"/>
          <w:sz w:val="20"/>
        </w:rPr>
        <w:t xml:space="preserve">to enhance the transparency and decision usefulness of income tax disclosures. ASU </w:t>
      </w:r>
    </w:p>
    <w:p>
      <w:pPr>
        <w:pStyle w:val="TextBody"/>
        <w:bidi w:val="0"/>
        <w:spacing w:before="120" w:after="0"/>
        <w:jc w:val="left"/>
        <w:rPr>
          <w:rFonts w:ascii="Times New Roman" w:hAnsi="Times New Roman"/>
          <w:sz w:val="20"/>
        </w:rPr>
      </w:pPr>
      <w:r>
        <w:rPr>
          <w:rFonts w:ascii="Times New Roman" w:hAnsi="Times New Roman"/>
          <w:sz w:val="20"/>
        </w:rPr>
        <w:t>2023-09</w:t>
      </w:r>
    </w:p>
    <w:p>
      <w:pPr>
        <w:pStyle w:val="TextBody"/>
        <w:bidi w:val="0"/>
        <w:spacing w:before="120" w:after="0"/>
        <w:jc w:val="left"/>
        <w:rPr>
          <w:rFonts w:ascii="Times New Roman" w:hAnsi="Times New Roman"/>
          <w:sz w:val="20"/>
        </w:rPr>
      </w:pPr>
      <w:r>
        <w:rPr>
          <w:rFonts w:ascii="Times New Roman" w:hAnsi="Times New Roman"/>
          <w:sz w:val="20"/>
        </w:rPr>
        <w:t xml:space="preserve">became effective for annual periods beginning after December 15, 2024 on a prospective basis for public business entities. For all other entities, the ASU is effective for annual periods beginning after December 15, 2025 on a prospective basis. Early adoption and retrospective application in all prior periods presented is permitted. The Company has early adopted and applied the pronouncement on a retrospective basis. The adoption of ASU </w:t>
      </w:r>
    </w:p>
    <w:p>
      <w:pPr>
        <w:pStyle w:val="TextBody"/>
        <w:bidi w:val="0"/>
        <w:spacing w:before="120" w:after="0"/>
        <w:jc w:val="left"/>
        <w:rPr>
          <w:rFonts w:ascii="Times New Roman" w:hAnsi="Times New Roman"/>
          <w:sz w:val="20"/>
        </w:rPr>
      </w:pPr>
      <w:r>
        <w:rPr>
          <w:rFonts w:ascii="Times New Roman" w:hAnsi="Times New Roman"/>
          <w:sz w:val="20"/>
        </w:rPr>
        <w:t>2023-09</w:t>
      </w:r>
    </w:p>
    <w:p>
      <w:pPr>
        <w:pStyle w:val="TextBody"/>
        <w:bidi w:val="0"/>
        <w:spacing w:before="120" w:after="0"/>
        <w:jc w:val="left"/>
        <w:rPr>
          <w:rFonts w:ascii="Times New Roman" w:hAnsi="Times New Roman"/>
          <w:sz w:val="20"/>
        </w:rPr>
      </w:pPr>
      <w:r>
        <w:rPr>
          <w:rFonts w:ascii="Times New Roman" w:hAnsi="Times New Roman"/>
          <w:sz w:val="20"/>
        </w:rPr>
        <w:t xml:space="preserve">did not result in a material impact to the consolidated financial statements and related disclosures. </w:t>
      </w:r>
    </w:p>
    <w:p>
      <w:pPr>
        <w:pStyle w:val="TextBody"/>
        <w:bidi w:val="0"/>
        <w:spacing w:before="360" w:after="0"/>
        <w:jc w:val="left"/>
        <w:rPr>
          <w:rFonts w:ascii="Times New Roman" w:hAnsi="Times New Roman"/>
          <w:b/>
          <w:sz w:val="20"/>
        </w:rPr>
      </w:pPr>
      <w:r>
        <w:rPr>
          <w:rFonts w:ascii="Times New Roman" w:hAnsi="Times New Roman"/>
          <w:b/>
          <w:sz w:val="20"/>
        </w:rPr>
        <w:t xml:space="preserve">Recently Issued Accounting Standards Not Yet Adopted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the FASB issued ASU </w:t>
      </w:r>
    </w:p>
    <w:p>
      <w:pPr>
        <w:pStyle w:val="TextBody"/>
        <w:bidi w:val="0"/>
        <w:spacing w:before="120" w:after="0"/>
        <w:jc w:val="left"/>
        <w:rPr>
          <w:rFonts w:ascii="Times New Roman" w:hAnsi="Times New Roman"/>
          <w:sz w:val="20"/>
        </w:rPr>
      </w:pPr>
      <w:r>
        <w:rPr>
          <w:rFonts w:ascii="Times New Roman" w:hAnsi="Times New Roman"/>
          <w:sz w:val="20"/>
        </w:rPr>
        <w:t>2024-03,</w:t>
      </w:r>
    </w:p>
    <w:p>
      <w:pPr>
        <w:pStyle w:val="TextBody"/>
        <w:bidi w:val="0"/>
        <w:spacing w:before="120" w:after="0"/>
        <w:jc w:val="left"/>
        <w:rPr>
          <w:rFonts w:ascii="Times New Roman" w:hAnsi="Times New Roman"/>
          <w:i/>
          <w:sz w:val="20"/>
        </w:rPr>
      </w:pPr>
      <w:r>
        <w:rPr>
          <w:rFonts w:ascii="Times New Roman" w:hAnsi="Times New Roman"/>
          <w:i/>
          <w:sz w:val="20"/>
        </w:rPr>
        <w:t xml:space="preserve">Income Statement-Reporting Comprehensive Income-Expense Disaggregation Disclosures (Subtopic </w:t>
      </w:r>
    </w:p>
    <w:p>
      <w:pPr>
        <w:pStyle w:val="TextBody"/>
        <w:bidi w:val="0"/>
        <w:spacing w:before="120" w:after="0"/>
        <w:jc w:val="left"/>
        <w:rPr>
          <w:rFonts w:ascii="Times New Roman" w:hAnsi="Times New Roman"/>
          <w:i/>
          <w:sz w:val="20"/>
        </w:rPr>
      </w:pPr>
      <w:r>
        <w:rPr>
          <w:rFonts w:ascii="Times New Roman" w:hAnsi="Times New Roman"/>
          <w:i/>
          <w:sz w:val="20"/>
        </w:rPr>
        <w:t>220-40):</w:t>
      </w:r>
    </w:p>
    <w:p>
      <w:pPr>
        <w:pStyle w:val="TextBody"/>
        <w:bidi w:val="0"/>
        <w:spacing w:before="120" w:after="0"/>
        <w:jc w:val="left"/>
        <w:rPr>
          <w:rFonts w:ascii="Times New Roman" w:hAnsi="Times New Roman"/>
          <w:i/>
          <w:sz w:val="20"/>
        </w:rPr>
      </w:pPr>
      <w:r>
        <w:rPr>
          <w:rFonts w:ascii="Times New Roman" w:hAnsi="Times New Roman"/>
          <w:i/>
          <w:sz w:val="20"/>
        </w:rPr>
        <w:t>Disaggregation of Income Statement Expenses</w:t>
      </w:r>
    </w:p>
    <w:p>
      <w:pPr>
        <w:pStyle w:val="TextBody"/>
        <w:bidi w:val="0"/>
        <w:spacing w:before="120" w:after="0"/>
        <w:jc w:val="left"/>
        <w:rPr>
          <w:rFonts w:ascii="Times New Roman" w:hAnsi="Times New Roman"/>
          <w:sz w:val="20"/>
        </w:rPr>
      </w:pPr>
      <w:r>
        <w:rPr>
          <w:rFonts w:ascii="Times New Roman" w:hAnsi="Times New Roman"/>
          <w:sz w:val="20"/>
        </w:rPr>
        <w:t xml:space="preserve">(“ASU </w:t>
      </w:r>
    </w:p>
    <w:p>
      <w:pPr>
        <w:pStyle w:val="TextBody"/>
        <w:bidi w:val="0"/>
        <w:spacing w:before="120" w:after="0"/>
        <w:jc w:val="left"/>
        <w:rPr>
          <w:rFonts w:ascii="Times New Roman" w:hAnsi="Times New Roman"/>
          <w:sz w:val="20"/>
        </w:rPr>
      </w:pPr>
      <w:r>
        <w:rPr>
          <w:rFonts w:ascii="Times New Roman" w:hAnsi="Times New Roman"/>
          <w:sz w:val="20"/>
        </w:rPr>
        <w:t>2024-03”)</w:t>
      </w:r>
    </w:p>
    <w:p>
      <w:pPr>
        <w:pStyle w:val="TextBody"/>
        <w:bidi w:val="0"/>
        <w:spacing w:before="120" w:after="0"/>
        <w:jc w:val="left"/>
        <w:rPr>
          <w:rFonts w:ascii="Times New Roman" w:hAnsi="Times New Roman"/>
          <w:i/>
          <w:sz w:val="20"/>
        </w:rPr>
      </w:pPr>
      <w:r>
        <w:rPr>
          <w:rFonts w:ascii="Times New Roman" w:hAnsi="Times New Roman"/>
          <w:i/>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which requires public business entities to disclose specified information about certain costs and expenses on an interim and annual basis. ASU 2024-03 is effective for annual reporting periods beginning after December 15, 2026, and interim reporting periods beginning after December 15, 2027, with early adoption permitted. The Company is currently evaluating the impact that adoption of ASU </w:t>
      </w:r>
    </w:p>
    <w:p>
      <w:pPr>
        <w:pStyle w:val="TextBody"/>
        <w:bidi w:val="0"/>
        <w:spacing w:before="120" w:after="0"/>
        <w:jc w:val="left"/>
        <w:rPr>
          <w:rFonts w:ascii="Times New Roman" w:hAnsi="Times New Roman"/>
          <w:sz w:val="20"/>
        </w:rPr>
      </w:pPr>
      <w:r>
        <w:rPr>
          <w:rFonts w:ascii="Times New Roman" w:hAnsi="Times New Roman"/>
          <w:sz w:val="20"/>
        </w:rPr>
        <w:t>2024-03</w:t>
      </w:r>
    </w:p>
    <w:p>
      <w:pPr>
        <w:pStyle w:val="TextBody"/>
        <w:bidi w:val="0"/>
        <w:spacing w:before="120" w:after="0"/>
        <w:jc w:val="left"/>
        <w:rPr>
          <w:rFonts w:ascii="Times New Roman" w:hAnsi="Times New Roman"/>
          <w:sz w:val="20"/>
        </w:rPr>
      </w:pPr>
      <w:r>
        <w:rPr>
          <w:rFonts w:ascii="Times New Roman" w:hAnsi="Times New Roman"/>
          <w:sz w:val="20"/>
        </w:rPr>
        <w:t xml:space="preserve">will have on our financial statement disclosures. </w:t>
      </w:r>
    </w:p>
    <w:p>
      <w:pPr>
        <w:pStyle w:val="TextBody"/>
        <w:bidi w:val="0"/>
        <w:spacing w:before="360" w:after="0"/>
        <w:jc w:val="left"/>
        <w:rPr>
          <w:rFonts w:ascii="Times New Roman" w:hAnsi="Times New Roman"/>
          <w:b/>
          <w:sz w:val="20"/>
        </w:rPr>
      </w:pPr>
      <w:r>
        <w:rPr>
          <w:rFonts w:ascii="Times New Roman" w:hAnsi="Times New Roman"/>
          <w:b/>
          <w:sz w:val="20"/>
        </w:rPr>
        <w:t xml:space="preserve">3. Financial Instruments and Fair Value Measurements </w:t>
      </w:r>
    </w:p>
    <w:p>
      <w:pPr>
        <w:pStyle w:val="TextBody"/>
        <w:bidi w:val="0"/>
        <w:spacing w:before="120" w:after="0"/>
        <w:jc w:val="left"/>
        <w:rPr>
          <w:rFonts w:ascii="Times New Roman" w:hAnsi="Times New Roman"/>
          <w:b/>
          <w:sz w:val="20"/>
        </w:rPr>
      </w:pPr>
      <w:r>
        <w:rPr>
          <w:rFonts w:ascii="Times New Roman" w:hAnsi="Times New Roman"/>
          <w:b/>
          <w:sz w:val="20"/>
        </w:rPr>
        <w:t xml:space="preserve">Assets and Liabilities Measured at Fair Value on a Recurring Basis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tables present information about the Company’s financial assets and liabilities that are measured at fair value on a recurring basis and indicate the level of the fair value hierarchy used to determine such fair values (in thousands): </w:t>
      </w:r>
    </w:p>
    <w:p>
      <w:pPr>
        <w:pStyle w:val="TextBody"/>
        <w:bidi w:val="0"/>
        <w:spacing w:before="0" w:after="0"/>
        <w:jc w:val="left"/>
        <w:rPr/>
      </w:pPr>
      <w:r>
        <w:rPr/>
        <w:t> </w:t>
      </w:r>
    </w:p>
    <w:tbl>
      <w:tblPr>
        <w:tblW w:w="7753" w:type="dxa"/>
        <w:jc w:val="left"/>
        <w:tblInd w:w="0" w:type="dxa"/>
        <w:tblLayout w:type="fixed"/>
        <w:tblCellMar>
          <w:top w:w="0" w:type="dxa"/>
          <w:left w:w="0" w:type="dxa"/>
          <w:bottom w:w="0" w:type="dxa"/>
          <w:right w:w="0" w:type="dxa"/>
        </w:tblCellMar>
      </w:tblPr>
      <w:tblGrid>
        <w:gridCol w:w="2585"/>
        <w:gridCol w:w="120"/>
        <w:gridCol w:w="195"/>
        <w:gridCol w:w="948"/>
        <w:gridCol w:w="83"/>
        <w:gridCol w:w="167"/>
        <w:gridCol w:w="195"/>
        <w:gridCol w:w="948"/>
        <w:gridCol w:w="83"/>
        <w:gridCol w:w="167"/>
        <w:gridCol w:w="264"/>
        <w:gridCol w:w="530"/>
        <w:gridCol w:w="83"/>
        <w:gridCol w:w="167"/>
        <w:gridCol w:w="195"/>
        <w:gridCol w:w="948"/>
        <w:gridCol w:w="75"/>
      </w:tblGrid>
      <w:tr>
        <w:trPr/>
        <w:tc>
          <w:tcPr>
            <w:tcW w:w="25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973" w:type="dxa"/>
            <w:gridSpan w:val="14"/>
            <w:tcBorders>
              <w:bottom w:val="single" w:sz="8" w:space="0" w:color="000000"/>
            </w:tcBorders>
            <w:tcMar>
              <w:bottom w:w="28" w:type="dxa"/>
            </w:tcMar>
            <w:vAlign w:val="center"/>
          </w:tcPr>
          <w:p>
            <w:pPr>
              <w:pStyle w:val="TableContents"/>
              <w:bidi w:val="0"/>
              <w:spacing w:before="0" w:after="0"/>
              <w:jc w:val="center"/>
              <w:rPr>
                <w:b/>
              </w:rPr>
            </w:pPr>
            <w:r>
              <w:rPr>
                <w:b/>
              </w:rPr>
              <w:t>Fair Value Measurements at December 31, 2025</w:t>
            </w:r>
          </w:p>
        </w:tc>
        <w:tc>
          <w:tcPr>
            <w:tcW w:w="7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3" w:type="dxa"/>
            <w:gridSpan w:val="2"/>
            <w:tcBorders>
              <w:bottom w:val="single" w:sz="8" w:space="0" w:color="000000"/>
            </w:tcBorders>
            <w:tcMar>
              <w:bottom w:w="28" w:type="dxa"/>
            </w:tcMar>
            <w:vAlign w:val="center"/>
          </w:tcPr>
          <w:p>
            <w:pPr>
              <w:pStyle w:val="TableContents"/>
              <w:bidi w:val="0"/>
              <w:spacing w:before="0" w:after="0"/>
              <w:jc w:val="center"/>
              <w:rPr>
                <w:b/>
              </w:rPr>
            </w:pPr>
            <w:r>
              <w:rPr>
                <w:b/>
              </w:rPr>
              <w:t>Level 1</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143" w:type="dxa"/>
            <w:gridSpan w:val="2"/>
            <w:tcBorders>
              <w:bottom w:val="single" w:sz="8" w:space="0" w:color="000000"/>
            </w:tcBorders>
            <w:tcMar>
              <w:bottom w:w="28" w:type="dxa"/>
            </w:tcMar>
            <w:vAlign w:val="center"/>
          </w:tcPr>
          <w:p>
            <w:pPr>
              <w:pStyle w:val="TableContents"/>
              <w:bidi w:val="0"/>
              <w:spacing w:before="0" w:after="0"/>
              <w:jc w:val="center"/>
              <w:rPr>
                <w:b/>
              </w:rPr>
            </w:pPr>
            <w:r>
              <w:rPr>
                <w:b/>
              </w:rPr>
              <w:t>Level 2</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794" w:type="dxa"/>
            <w:gridSpan w:val="2"/>
            <w:tcBorders>
              <w:bottom w:val="single" w:sz="8" w:space="0" w:color="000000"/>
            </w:tcBorders>
            <w:tcMar>
              <w:bottom w:w="28" w:type="dxa"/>
            </w:tcMar>
            <w:vAlign w:val="center"/>
          </w:tcPr>
          <w:p>
            <w:pPr>
              <w:pStyle w:val="TableContents"/>
              <w:bidi w:val="0"/>
              <w:spacing w:before="0" w:after="0"/>
              <w:jc w:val="center"/>
              <w:rPr>
                <w:b/>
              </w:rPr>
            </w:pPr>
            <w:r>
              <w:rPr>
                <w:b/>
              </w:rPr>
              <w:t>Level 3</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143" w:type="dxa"/>
            <w:gridSpan w:val="2"/>
            <w:tcBorders>
              <w:bottom w:val="single" w:sz="8" w:space="0" w:color="000000"/>
            </w:tcBorders>
            <w:tcMar>
              <w:bottom w:w="28" w:type="dxa"/>
            </w:tcMar>
            <w:vAlign w:val="center"/>
          </w:tcPr>
          <w:p>
            <w:pPr>
              <w:pStyle w:val="TableContents"/>
              <w:bidi w:val="0"/>
              <w:spacing w:before="0" w:after="0"/>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948" w:type="dxa"/>
            <w:tcBorders/>
            <w:shd w:fill="CCEEFF" w:val="clear"/>
            <w:vAlign w:val="center"/>
          </w:tcPr>
          <w:p>
            <w:pPr>
              <w:pStyle w:val="TableContents"/>
              <w:bidi w:val="0"/>
              <w:spacing w:before="0" w:after="283"/>
              <w:jc w:val="left"/>
              <w:rPr>
                <w:sz w:val="4"/>
                <w:szCs w:val="4"/>
              </w:rPr>
            </w:pPr>
            <w:r>
              <w:rPr>
                <w:sz w:val="4"/>
                <w:szCs w:val="4"/>
              </w:rPr>
            </w:r>
          </w:p>
        </w:tc>
        <w:tc>
          <w:tcPr>
            <w:tcW w:w="83" w:type="dxa"/>
            <w:tcBorders/>
            <w:shd w:fill="CCEEFF" w:val="clear"/>
            <w:vAlign w:val="center"/>
          </w:tcPr>
          <w:p>
            <w:pPr>
              <w:pStyle w:val="TableContents"/>
              <w:bidi w:val="0"/>
              <w:spacing w:before="0" w:after="283"/>
              <w:jc w:val="left"/>
              <w:rPr>
                <w:sz w:val="4"/>
                <w:szCs w:val="4"/>
              </w:rPr>
            </w:pPr>
            <w:r>
              <w:rPr>
                <w:sz w:val="4"/>
                <w:szCs w:val="4"/>
              </w:rPr>
            </w:r>
          </w:p>
        </w:tc>
        <w:tc>
          <w:tcPr>
            <w:tcW w:w="167"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948" w:type="dxa"/>
            <w:tcBorders/>
            <w:shd w:fill="CCEEFF" w:val="clear"/>
            <w:vAlign w:val="center"/>
          </w:tcPr>
          <w:p>
            <w:pPr>
              <w:pStyle w:val="TableContents"/>
              <w:bidi w:val="0"/>
              <w:spacing w:before="0" w:after="283"/>
              <w:jc w:val="left"/>
              <w:rPr>
                <w:sz w:val="4"/>
                <w:szCs w:val="4"/>
              </w:rPr>
            </w:pPr>
            <w:r>
              <w:rPr>
                <w:sz w:val="4"/>
                <w:szCs w:val="4"/>
              </w:rPr>
            </w:r>
          </w:p>
        </w:tc>
        <w:tc>
          <w:tcPr>
            <w:tcW w:w="83" w:type="dxa"/>
            <w:tcBorders/>
            <w:shd w:fill="CCEEFF" w:val="clear"/>
            <w:vAlign w:val="center"/>
          </w:tcPr>
          <w:p>
            <w:pPr>
              <w:pStyle w:val="TableContents"/>
              <w:bidi w:val="0"/>
              <w:spacing w:before="0" w:after="283"/>
              <w:jc w:val="left"/>
              <w:rPr>
                <w:sz w:val="4"/>
                <w:szCs w:val="4"/>
              </w:rPr>
            </w:pPr>
            <w:r>
              <w:rPr>
                <w:sz w:val="4"/>
                <w:szCs w:val="4"/>
              </w:rPr>
            </w:r>
          </w:p>
        </w:tc>
        <w:tc>
          <w:tcPr>
            <w:tcW w:w="167"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530" w:type="dxa"/>
            <w:tcBorders/>
            <w:shd w:fill="CCEEFF" w:val="clear"/>
            <w:vAlign w:val="center"/>
          </w:tcPr>
          <w:p>
            <w:pPr>
              <w:pStyle w:val="TableContents"/>
              <w:bidi w:val="0"/>
              <w:spacing w:before="0" w:after="283"/>
              <w:jc w:val="left"/>
              <w:rPr>
                <w:sz w:val="4"/>
                <w:szCs w:val="4"/>
              </w:rPr>
            </w:pPr>
            <w:r>
              <w:rPr>
                <w:sz w:val="4"/>
                <w:szCs w:val="4"/>
              </w:rPr>
            </w:r>
          </w:p>
        </w:tc>
        <w:tc>
          <w:tcPr>
            <w:tcW w:w="83" w:type="dxa"/>
            <w:tcBorders/>
            <w:shd w:fill="CCEEFF" w:val="clear"/>
            <w:vAlign w:val="center"/>
          </w:tcPr>
          <w:p>
            <w:pPr>
              <w:pStyle w:val="TableContents"/>
              <w:bidi w:val="0"/>
              <w:spacing w:before="0" w:after="283"/>
              <w:jc w:val="left"/>
              <w:rPr>
                <w:sz w:val="4"/>
                <w:szCs w:val="4"/>
              </w:rPr>
            </w:pPr>
            <w:r>
              <w:rPr>
                <w:sz w:val="4"/>
                <w:szCs w:val="4"/>
              </w:rPr>
            </w:r>
          </w:p>
        </w:tc>
        <w:tc>
          <w:tcPr>
            <w:tcW w:w="167"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948"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948" w:type="dxa"/>
            <w:tcBorders/>
            <w:vAlign w:val="center"/>
          </w:tcPr>
          <w:p>
            <w:pPr>
              <w:pStyle w:val="TableContents"/>
              <w:bidi w:val="0"/>
              <w:spacing w:before="0" w:after="283"/>
              <w:jc w:val="right"/>
              <w:rPr/>
            </w:pPr>
            <w:r>
              <w:rPr/>
              <w:t>39,905</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948" w:type="dxa"/>
            <w:tcBorders/>
            <w:vAlign w:val="center"/>
          </w:tcPr>
          <w:p>
            <w:pPr>
              <w:pStyle w:val="TableContents"/>
              <w:bidi w:val="0"/>
              <w:spacing w:before="0" w:after="283"/>
              <w:jc w:val="right"/>
              <w:rPr/>
            </w:pPr>
            <w:r>
              <w:rPr/>
              <w:t>— </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530" w:type="dxa"/>
            <w:tcBorders/>
            <w:vAlign w:val="center"/>
          </w:tcPr>
          <w:p>
            <w:pPr>
              <w:pStyle w:val="TableContents"/>
              <w:bidi w:val="0"/>
              <w:spacing w:before="0" w:after="283"/>
              <w:jc w:val="right"/>
              <w:rPr/>
            </w:pPr>
            <w:r>
              <w:rPr/>
              <w:t>— </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948" w:type="dxa"/>
            <w:tcBorders/>
            <w:vAlign w:val="center"/>
          </w:tcPr>
          <w:p>
            <w:pPr>
              <w:pStyle w:val="TableContents"/>
              <w:bidi w:val="0"/>
              <w:spacing w:before="0" w:after="283"/>
              <w:jc w:val="right"/>
              <w:rPr/>
            </w:pPr>
            <w:r>
              <w:rPr/>
              <w:t>39,905</w:t>
            </w:r>
          </w:p>
        </w:tc>
        <w:tc>
          <w:tcPr>
            <w:tcW w:w="7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U.S. Treasuries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40,081</w:t>
            </w:r>
          </w:p>
        </w:tc>
        <w:tc>
          <w:tcPr>
            <w:tcW w:w="83"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40,081</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948" w:type="dxa"/>
            <w:tcBorders/>
            <w:vAlign w:val="center"/>
          </w:tcPr>
          <w:p>
            <w:pPr>
              <w:pStyle w:val="TableContents"/>
              <w:bidi w:val="0"/>
              <w:spacing w:before="0" w:after="0"/>
              <w:jc w:val="left"/>
              <w:rPr>
                <w:bdr w:val="single" w:sz="2" w:space="1" w:color="000000"/>
              </w:rPr>
            </w:pPr>
            <w:r>
              <w:rPr>
                <w:bdr w:val="single" w:sz="2" w:space="1" w:color="000000"/>
              </w:rPr>
              <w:t> </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948" w:type="dxa"/>
            <w:tcBorders/>
            <w:vAlign w:val="center"/>
          </w:tcPr>
          <w:p>
            <w:pPr>
              <w:pStyle w:val="TableContents"/>
              <w:bidi w:val="0"/>
              <w:spacing w:before="0" w:after="0"/>
              <w:jc w:val="left"/>
              <w:rPr>
                <w:bdr w:val="single" w:sz="2" w:space="1" w:color="000000"/>
              </w:rPr>
            </w:pPr>
            <w:r>
              <w:rPr>
                <w:bdr w:val="single" w:sz="2" w:space="1" w:color="000000"/>
              </w:rPr>
              <w:t> </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530" w:type="dxa"/>
            <w:tcBorders/>
            <w:vAlign w:val="center"/>
          </w:tcPr>
          <w:p>
            <w:pPr>
              <w:pStyle w:val="TableContents"/>
              <w:bidi w:val="0"/>
              <w:spacing w:before="0" w:after="0"/>
              <w:jc w:val="left"/>
              <w:rPr>
                <w:bdr w:val="single" w:sz="2" w:space="1" w:color="000000"/>
              </w:rPr>
            </w:pPr>
            <w:r>
              <w:rPr>
                <w:bdr w:val="single" w:sz="2" w:space="1" w:color="000000"/>
              </w:rPr>
              <w:t> </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948"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948" w:type="dxa"/>
            <w:tcBorders/>
            <w:vAlign w:val="center"/>
          </w:tcPr>
          <w:p>
            <w:pPr>
              <w:pStyle w:val="TableContents"/>
              <w:bidi w:val="0"/>
              <w:spacing w:before="0" w:after="283"/>
              <w:jc w:val="right"/>
              <w:rPr/>
            </w:pPr>
            <w:r>
              <w:rPr/>
              <w:t>39,905</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948" w:type="dxa"/>
            <w:tcBorders/>
            <w:vAlign w:val="center"/>
          </w:tcPr>
          <w:p>
            <w:pPr>
              <w:pStyle w:val="TableContents"/>
              <w:bidi w:val="0"/>
              <w:spacing w:before="0" w:after="283"/>
              <w:jc w:val="right"/>
              <w:rPr/>
            </w:pPr>
            <w:r>
              <w:rPr/>
              <w:t>40,081</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530" w:type="dxa"/>
            <w:tcBorders/>
            <w:vAlign w:val="center"/>
          </w:tcPr>
          <w:p>
            <w:pPr>
              <w:pStyle w:val="TableContents"/>
              <w:bidi w:val="0"/>
              <w:spacing w:before="0" w:after="283"/>
              <w:jc w:val="right"/>
              <w:rPr/>
            </w:pPr>
            <w:r>
              <w:rPr/>
              <w:t>— </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948" w:type="dxa"/>
            <w:tcBorders/>
            <w:vAlign w:val="center"/>
          </w:tcPr>
          <w:p>
            <w:pPr>
              <w:pStyle w:val="TableContents"/>
              <w:bidi w:val="0"/>
              <w:spacing w:before="0" w:after="283"/>
              <w:jc w:val="right"/>
              <w:rPr/>
            </w:pPr>
            <w:r>
              <w:rPr/>
              <w:t>79,986</w:t>
            </w:r>
          </w:p>
        </w:tc>
        <w:tc>
          <w:tcPr>
            <w:tcW w:w="7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948" w:type="dxa"/>
            <w:tcBorders/>
            <w:vAlign w:val="center"/>
          </w:tcPr>
          <w:p>
            <w:pPr>
              <w:pStyle w:val="TableContents"/>
              <w:bidi w:val="0"/>
              <w:spacing w:before="0" w:after="0"/>
              <w:jc w:val="left"/>
              <w:rPr>
                <w:bdr w:val="single" w:sz="2" w:space="1" w:color="000000"/>
              </w:rPr>
            </w:pPr>
            <w:r>
              <w:rPr>
                <w:bdr w:val="single" w:sz="2" w:space="1" w:color="000000"/>
              </w:rPr>
              <w:t> </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948" w:type="dxa"/>
            <w:tcBorders/>
            <w:vAlign w:val="center"/>
          </w:tcPr>
          <w:p>
            <w:pPr>
              <w:pStyle w:val="TableContents"/>
              <w:bidi w:val="0"/>
              <w:spacing w:before="0" w:after="0"/>
              <w:jc w:val="left"/>
              <w:rPr>
                <w:bdr w:val="single" w:sz="2" w:space="1" w:color="000000"/>
              </w:rPr>
            </w:pPr>
            <w:r>
              <w:rPr>
                <w:bdr w:val="single" w:sz="2" w:space="1" w:color="000000"/>
              </w:rPr>
              <w:t> </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530" w:type="dxa"/>
            <w:tcBorders/>
            <w:vAlign w:val="center"/>
          </w:tcPr>
          <w:p>
            <w:pPr>
              <w:pStyle w:val="TableContents"/>
              <w:bidi w:val="0"/>
              <w:spacing w:before="0" w:after="0"/>
              <w:jc w:val="left"/>
              <w:rPr>
                <w:bdr w:val="single" w:sz="2" w:space="1" w:color="000000"/>
              </w:rPr>
            </w:pPr>
            <w:r>
              <w:rPr>
                <w:bdr w:val="single" w:sz="2" w:space="1" w:color="000000"/>
              </w:rPr>
              <w:t> </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948"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948" w:type="dxa"/>
            <w:tcBorders/>
            <w:shd w:fill="CCEEFF" w:val="clear"/>
            <w:vAlign w:val="center"/>
          </w:tcPr>
          <w:p>
            <w:pPr>
              <w:pStyle w:val="TableContents"/>
              <w:bidi w:val="0"/>
              <w:spacing w:before="0" w:after="283"/>
              <w:jc w:val="left"/>
              <w:rPr>
                <w:sz w:val="4"/>
                <w:szCs w:val="4"/>
              </w:rPr>
            </w:pPr>
            <w:r>
              <w:rPr>
                <w:sz w:val="4"/>
                <w:szCs w:val="4"/>
              </w:rPr>
            </w:r>
          </w:p>
        </w:tc>
        <w:tc>
          <w:tcPr>
            <w:tcW w:w="83" w:type="dxa"/>
            <w:tcBorders/>
            <w:shd w:fill="CCEEFF" w:val="clear"/>
            <w:vAlign w:val="center"/>
          </w:tcPr>
          <w:p>
            <w:pPr>
              <w:pStyle w:val="TableContents"/>
              <w:bidi w:val="0"/>
              <w:spacing w:before="0" w:after="283"/>
              <w:jc w:val="left"/>
              <w:rPr>
                <w:sz w:val="4"/>
                <w:szCs w:val="4"/>
              </w:rPr>
            </w:pPr>
            <w:r>
              <w:rPr>
                <w:sz w:val="4"/>
                <w:szCs w:val="4"/>
              </w:rPr>
            </w:r>
          </w:p>
        </w:tc>
        <w:tc>
          <w:tcPr>
            <w:tcW w:w="167"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948" w:type="dxa"/>
            <w:tcBorders/>
            <w:shd w:fill="CCEEFF" w:val="clear"/>
            <w:vAlign w:val="center"/>
          </w:tcPr>
          <w:p>
            <w:pPr>
              <w:pStyle w:val="TableContents"/>
              <w:bidi w:val="0"/>
              <w:spacing w:before="0" w:after="283"/>
              <w:jc w:val="left"/>
              <w:rPr>
                <w:sz w:val="4"/>
                <w:szCs w:val="4"/>
              </w:rPr>
            </w:pPr>
            <w:r>
              <w:rPr>
                <w:sz w:val="4"/>
                <w:szCs w:val="4"/>
              </w:rPr>
            </w:r>
          </w:p>
        </w:tc>
        <w:tc>
          <w:tcPr>
            <w:tcW w:w="83" w:type="dxa"/>
            <w:tcBorders/>
            <w:shd w:fill="CCEEFF" w:val="clear"/>
            <w:vAlign w:val="center"/>
          </w:tcPr>
          <w:p>
            <w:pPr>
              <w:pStyle w:val="TableContents"/>
              <w:bidi w:val="0"/>
              <w:spacing w:before="0" w:after="283"/>
              <w:jc w:val="left"/>
              <w:rPr>
                <w:sz w:val="4"/>
                <w:szCs w:val="4"/>
              </w:rPr>
            </w:pPr>
            <w:r>
              <w:rPr>
                <w:sz w:val="4"/>
                <w:szCs w:val="4"/>
              </w:rPr>
            </w:r>
          </w:p>
        </w:tc>
        <w:tc>
          <w:tcPr>
            <w:tcW w:w="167"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530" w:type="dxa"/>
            <w:tcBorders/>
            <w:shd w:fill="CCEEFF" w:val="clear"/>
            <w:vAlign w:val="center"/>
          </w:tcPr>
          <w:p>
            <w:pPr>
              <w:pStyle w:val="TableContents"/>
              <w:bidi w:val="0"/>
              <w:spacing w:before="0" w:after="283"/>
              <w:jc w:val="left"/>
              <w:rPr>
                <w:sz w:val="4"/>
                <w:szCs w:val="4"/>
              </w:rPr>
            </w:pPr>
            <w:r>
              <w:rPr>
                <w:sz w:val="4"/>
                <w:szCs w:val="4"/>
              </w:rPr>
            </w:r>
          </w:p>
        </w:tc>
        <w:tc>
          <w:tcPr>
            <w:tcW w:w="83" w:type="dxa"/>
            <w:tcBorders/>
            <w:shd w:fill="CCEEFF" w:val="clear"/>
            <w:vAlign w:val="center"/>
          </w:tcPr>
          <w:p>
            <w:pPr>
              <w:pStyle w:val="TableContents"/>
              <w:bidi w:val="0"/>
              <w:spacing w:before="0" w:after="283"/>
              <w:jc w:val="left"/>
              <w:rPr>
                <w:sz w:val="4"/>
                <w:szCs w:val="4"/>
              </w:rPr>
            </w:pPr>
            <w:r>
              <w:rPr>
                <w:sz w:val="4"/>
                <w:szCs w:val="4"/>
              </w:rPr>
            </w:r>
          </w:p>
        </w:tc>
        <w:tc>
          <w:tcPr>
            <w:tcW w:w="167"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948"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Preferred stock warrant liability</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948" w:type="dxa"/>
            <w:tcBorders/>
            <w:vAlign w:val="center"/>
          </w:tcPr>
          <w:p>
            <w:pPr>
              <w:pStyle w:val="TableContents"/>
              <w:bidi w:val="0"/>
              <w:spacing w:before="0" w:after="283"/>
              <w:jc w:val="right"/>
              <w:rPr/>
            </w:pPr>
            <w:r>
              <w:rPr/>
              <w:t>— </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948" w:type="dxa"/>
            <w:tcBorders/>
            <w:vAlign w:val="center"/>
          </w:tcPr>
          <w:p>
            <w:pPr>
              <w:pStyle w:val="TableContents"/>
              <w:bidi w:val="0"/>
              <w:spacing w:before="0" w:after="283"/>
              <w:jc w:val="right"/>
              <w:rPr/>
            </w:pPr>
            <w:r>
              <w:rPr/>
              <w:t>— </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530" w:type="dxa"/>
            <w:tcBorders/>
            <w:vAlign w:val="center"/>
          </w:tcPr>
          <w:p>
            <w:pPr>
              <w:pStyle w:val="TableContents"/>
              <w:bidi w:val="0"/>
              <w:spacing w:before="0" w:after="283"/>
              <w:jc w:val="right"/>
              <w:rPr/>
            </w:pPr>
            <w:r>
              <w:rPr/>
              <w:t>3</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948"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948"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948"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530" w:type="dxa"/>
            <w:tcBorders/>
            <w:shd w:fill="CCEEFF" w:val="clear"/>
            <w:vAlign w:val="center"/>
          </w:tcPr>
          <w:p>
            <w:pPr>
              <w:pStyle w:val="TableContents"/>
              <w:bidi w:val="0"/>
              <w:spacing w:before="0" w:after="283"/>
              <w:jc w:val="right"/>
              <w:rPr/>
            </w:pPr>
            <w:r>
              <w:rPr/>
              <w:t>3</w:t>
            </w:r>
          </w:p>
        </w:tc>
        <w:tc>
          <w:tcPr>
            <w:tcW w:w="83"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948" w:type="dxa"/>
            <w:tcBorders/>
            <w:shd w:fill="CCEEFF" w:val="clear"/>
            <w:vAlign w:val="center"/>
          </w:tcPr>
          <w:p>
            <w:pPr>
              <w:pStyle w:val="TableContents"/>
              <w:bidi w:val="0"/>
              <w:spacing w:before="0" w:after="283"/>
              <w:jc w:val="right"/>
              <w:rPr/>
            </w:pPr>
            <w:r>
              <w:rPr/>
              <w:t>3</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948" w:type="dxa"/>
            <w:tcBorders/>
            <w:vAlign w:val="center"/>
          </w:tcPr>
          <w:p>
            <w:pPr>
              <w:pStyle w:val="TableContents"/>
              <w:bidi w:val="0"/>
              <w:spacing w:before="0" w:after="0"/>
              <w:jc w:val="left"/>
              <w:rPr>
                <w:bdr w:val="single" w:sz="2" w:space="1" w:color="000000"/>
              </w:rPr>
            </w:pPr>
            <w:r>
              <w:rPr>
                <w:bdr w:val="single" w:sz="2" w:space="1" w:color="000000"/>
              </w:rPr>
              <w:t> </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948" w:type="dxa"/>
            <w:tcBorders/>
            <w:vAlign w:val="center"/>
          </w:tcPr>
          <w:p>
            <w:pPr>
              <w:pStyle w:val="TableContents"/>
              <w:bidi w:val="0"/>
              <w:spacing w:before="0" w:after="0"/>
              <w:jc w:val="left"/>
              <w:rPr>
                <w:bdr w:val="single" w:sz="2" w:space="1" w:color="000000"/>
              </w:rPr>
            </w:pPr>
            <w:r>
              <w:rPr>
                <w:bdr w:val="single" w:sz="2" w:space="1" w:color="000000"/>
              </w:rPr>
              <w:t> </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530" w:type="dxa"/>
            <w:tcBorders/>
            <w:vAlign w:val="center"/>
          </w:tcPr>
          <w:p>
            <w:pPr>
              <w:pStyle w:val="TableContents"/>
              <w:bidi w:val="0"/>
              <w:spacing w:before="0" w:after="0"/>
              <w:jc w:val="left"/>
              <w:rPr>
                <w:bdr w:val="single" w:sz="2" w:space="1" w:color="000000"/>
              </w:rPr>
            </w:pPr>
            <w:r>
              <w:rPr>
                <w:bdr w:val="single" w:sz="2" w:space="1" w:color="000000"/>
              </w:rPr>
              <w:t> </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948"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7763" w:type="dxa"/>
        <w:jc w:val="left"/>
        <w:tblInd w:w="0" w:type="dxa"/>
        <w:tblLayout w:type="fixed"/>
        <w:tblCellMar>
          <w:top w:w="0" w:type="dxa"/>
          <w:left w:w="0" w:type="dxa"/>
          <w:bottom w:w="0" w:type="dxa"/>
          <w:right w:w="0" w:type="dxa"/>
        </w:tblCellMar>
      </w:tblPr>
      <w:tblGrid>
        <w:gridCol w:w="2585"/>
        <w:gridCol w:w="120"/>
        <w:gridCol w:w="182"/>
        <w:gridCol w:w="887"/>
        <w:gridCol w:w="78"/>
        <w:gridCol w:w="156"/>
        <w:gridCol w:w="182"/>
        <w:gridCol w:w="1044"/>
        <w:gridCol w:w="78"/>
        <w:gridCol w:w="156"/>
        <w:gridCol w:w="264"/>
        <w:gridCol w:w="496"/>
        <w:gridCol w:w="78"/>
        <w:gridCol w:w="156"/>
        <w:gridCol w:w="182"/>
        <w:gridCol w:w="1044"/>
        <w:gridCol w:w="75"/>
      </w:tblGrid>
      <w:tr>
        <w:trPr/>
        <w:tc>
          <w:tcPr>
            <w:tcW w:w="25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983" w:type="dxa"/>
            <w:gridSpan w:val="14"/>
            <w:tcBorders>
              <w:bottom w:val="single" w:sz="8" w:space="0" w:color="000000"/>
            </w:tcBorders>
            <w:tcMar>
              <w:bottom w:w="28" w:type="dxa"/>
            </w:tcMar>
            <w:vAlign w:val="center"/>
          </w:tcPr>
          <w:p>
            <w:pPr>
              <w:pStyle w:val="TableContents"/>
              <w:bidi w:val="0"/>
              <w:spacing w:before="0" w:after="0"/>
              <w:jc w:val="center"/>
              <w:rPr>
                <w:b/>
              </w:rPr>
            </w:pPr>
            <w:r>
              <w:rPr>
                <w:b/>
              </w:rPr>
              <w:t>Fair Value Measurements at December 31, 2024</w:t>
            </w:r>
          </w:p>
        </w:tc>
        <w:tc>
          <w:tcPr>
            <w:tcW w:w="7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0"/>
              <w:jc w:val="center"/>
              <w:rPr>
                <w:b/>
              </w:rPr>
            </w:pPr>
            <w:r>
              <w:rPr>
                <w:b/>
              </w:rPr>
              <w:t>Level 1</w:t>
            </w:r>
          </w:p>
        </w:tc>
        <w:tc>
          <w:tcPr>
            <w:tcW w:w="78"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226" w:type="dxa"/>
            <w:gridSpan w:val="2"/>
            <w:tcBorders>
              <w:bottom w:val="single" w:sz="8" w:space="0" w:color="000000"/>
            </w:tcBorders>
            <w:tcMar>
              <w:bottom w:w="28" w:type="dxa"/>
            </w:tcMar>
            <w:vAlign w:val="center"/>
          </w:tcPr>
          <w:p>
            <w:pPr>
              <w:pStyle w:val="TableContents"/>
              <w:bidi w:val="0"/>
              <w:spacing w:before="0" w:after="0"/>
              <w:jc w:val="center"/>
              <w:rPr>
                <w:b/>
              </w:rPr>
            </w:pPr>
            <w:r>
              <w:rPr>
                <w:b/>
              </w:rPr>
              <w:t>Level 2</w:t>
            </w:r>
          </w:p>
        </w:tc>
        <w:tc>
          <w:tcPr>
            <w:tcW w:w="78"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760" w:type="dxa"/>
            <w:gridSpan w:val="2"/>
            <w:tcBorders>
              <w:bottom w:val="single" w:sz="8" w:space="0" w:color="000000"/>
            </w:tcBorders>
            <w:tcMar>
              <w:bottom w:w="28" w:type="dxa"/>
            </w:tcMar>
            <w:vAlign w:val="center"/>
          </w:tcPr>
          <w:p>
            <w:pPr>
              <w:pStyle w:val="TableContents"/>
              <w:bidi w:val="0"/>
              <w:spacing w:before="0" w:after="0"/>
              <w:jc w:val="center"/>
              <w:rPr>
                <w:b/>
              </w:rPr>
            </w:pPr>
            <w:r>
              <w:rPr>
                <w:b/>
              </w:rPr>
              <w:t>Level 3</w:t>
            </w:r>
          </w:p>
        </w:tc>
        <w:tc>
          <w:tcPr>
            <w:tcW w:w="78"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226" w:type="dxa"/>
            <w:gridSpan w:val="2"/>
            <w:tcBorders>
              <w:bottom w:val="single" w:sz="8" w:space="0" w:color="000000"/>
            </w:tcBorders>
            <w:tcMar>
              <w:bottom w:w="28" w:type="dxa"/>
            </w:tcMar>
            <w:vAlign w:val="center"/>
          </w:tcPr>
          <w:p>
            <w:pPr>
              <w:pStyle w:val="TableContents"/>
              <w:bidi w:val="0"/>
              <w:spacing w:before="0" w:after="0"/>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887" w:type="dxa"/>
            <w:tcBorders/>
            <w:shd w:fill="CCEEFF" w:val="clear"/>
            <w:vAlign w:val="center"/>
          </w:tcPr>
          <w:p>
            <w:pPr>
              <w:pStyle w:val="TableContents"/>
              <w:bidi w:val="0"/>
              <w:spacing w:before="0" w:after="283"/>
              <w:jc w:val="left"/>
              <w:rPr>
                <w:sz w:val="4"/>
                <w:szCs w:val="4"/>
              </w:rPr>
            </w:pPr>
            <w:r>
              <w:rPr>
                <w:sz w:val="4"/>
                <w:szCs w:val="4"/>
              </w:rPr>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15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1044" w:type="dxa"/>
            <w:tcBorders/>
            <w:shd w:fill="CCEEFF" w:val="clear"/>
            <w:vAlign w:val="center"/>
          </w:tcPr>
          <w:p>
            <w:pPr>
              <w:pStyle w:val="TableContents"/>
              <w:bidi w:val="0"/>
              <w:spacing w:before="0" w:after="283"/>
              <w:jc w:val="left"/>
              <w:rPr>
                <w:sz w:val="4"/>
                <w:szCs w:val="4"/>
              </w:rPr>
            </w:pPr>
            <w:r>
              <w:rPr>
                <w:sz w:val="4"/>
                <w:szCs w:val="4"/>
              </w:rPr>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156"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6" w:type="dxa"/>
            <w:tcBorders/>
            <w:shd w:fill="CCEEFF" w:val="clear"/>
            <w:vAlign w:val="center"/>
          </w:tcPr>
          <w:p>
            <w:pPr>
              <w:pStyle w:val="TableContents"/>
              <w:bidi w:val="0"/>
              <w:spacing w:before="0" w:after="283"/>
              <w:jc w:val="left"/>
              <w:rPr>
                <w:sz w:val="4"/>
                <w:szCs w:val="4"/>
              </w:rPr>
            </w:pPr>
            <w:r>
              <w:rPr>
                <w:sz w:val="4"/>
                <w:szCs w:val="4"/>
              </w:rPr>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15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104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w:t>
            </w:r>
          </w:p>
        </w:tc>
        <w:tc>
          <w:tcPr>
            <w:tcW w:w="887" w:type="dxa"/>
            <w:tcBorders/>
            <w:vAlign w:val="center"/>
          </w:tcPr>
          <w:p>
            <w:pPr>
              <w:pStyle w:val="TableContents"/>
              <w:bidi w:val="0"/>
              <w:spacing w:before="0" w:after="283"/>
              <w:jc w:val="right"/>
              <w:rPr/>
            </w:pPr>
            <w:r>
              <w:rPr/>
              <w:t>49,733</w:t>
            </w:r>
          </w:p>
        </w:tc>
        <w:tc>
          <w:tcPr>
            <w:tcW w:w="78"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w:t>
            </w:r>
          </w:p>
        </w:tc>
        <w:tc>
          <w:tcPr>
            <w:tcW w:w="1044" w:type="dxa"/>
            <w:tcBorders/>
            <w:vAlign w:val="center"/>
          </w:tcPr>
          <w:p>
            <w:pPr>
              <w:pStyle w:val="TableContents"/>
              <w:bidi w:val="0"/>
              <w:spacing w:before="0" w:after="283"/>
              <w:jc w:val="right"/>
              <w:rPr/>
            </w:pPr>
            <w:r>
              <w:rPr/>
              <w:t>— </w:t>
            </w:r>
          </w:p>
        </w:tc>
        <w:tc>
          <w:tcPr>
            <w:tcW w:w="78"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6" w:type="dxa"/>
            <w:tcBorders/>
            <w:vAlign w:val="center"/>
          </w:tcPr>
          <w:p>
            <w:pPr>
              <w:pStyle w:val="TableContents"/>
              <w:bidi w:val="0"/>
              <w:spacing w:before="0" w:after="283"/>
              <w:jc w:val="right"/>
              <w:rPr/>
            </w:pPr>
            <w:r>
              <w:rPr/>
              <w:t>— </w:t>
            </w:r>
          </w:p>
        </w:tc>
        <w:tc>
          <w:tcPr>
            <w:tcW w:w="78"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w:t>
            </w:r>
          </w:p>
        </w:tc>
        <w:tc>
          <w:tcPr>
            <w:tcW w:w="1044" w:type="dxa"/>
            <w:tcBorders/>
            <w:vAlign w:val="center"/>
          </w:tcPr>
          <w:p>
            <w:pPr>
              <w:pStyle w:val="TableContents"/>
              <w:bidi w:val="0"/>
              <w:spacing w:before="0" w:after="283"/>
              <w:jc w:val="right"/>
              <w:rPr/>
            </w:pPr>
            <w:r>
              <w:rPr/>
              <w:t>49,733</w:t>
            </w:r>
          </w:p>
        </w:tc>
        <w:tc>
          <w:tcPr>
            <w:tcW w:w="7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U.S. Treasuries</w:t>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118,509</w:t>
            </w:r>
          </w:p>
        </w:tc>
        <w:tc>
          <w:tcPr>
            <w:tcW w:w="78"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118,509</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0"/>
              <w:jc w:val="left"/>
              <w:rPr>
                <w:bdr w:val="single" w:sz="2" w:space="1" w:color="000000"/>
              </w:rPr>
            </w:pPr>
            <w:r>
              <w:rPr>
                <w:bdr w:val="single" w:sz="2" w:space="1" w:color="000000"/>
              </w:rPr>
              <w:t> </w:t>
            </w:r>
          </w:p>
        </w:tc>
        <w:tc>
          <w:tcPr>
            <w:tcW w:w="887" w:type="dxa"/>
            <w:tcBorders/>
            <w:vAlign w:val="center"/>
          </w:tcPr>
          <w:p>
            <w:pPr>
              <w:pStyle w:val="TableContents"/>
              <w:bidi w:val="0"/>
              <w:spacing w:before="0" w:after="0"/>
              <w:jc w:val="left"/>
              <w:rPr>
                <w:bdr w:val="single" w:sz="2" w:space="1" w:color="000000"/>
              </w:rPr>
            </w:pPr>
            <w:r>
              <w:rPr>
                <w:bdr w:val="single" w:sz="2" w:space="1" w:color="000000"/>
              </w:rPr>
              <w:t> </w:t>
            </w:r>
          </w:p>
        </w:tc>
        <w:tc>
          <w:tcPr>
            <w:tcW w:w="78"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0"/>
              <w:jc w:val="left"/>
              <w:rPr>
                <w:bdr w:val="single" w:sz="2" w:space="1" w:color="000000"/>
              </w:rPr>
            </w:pPr>
            <w:r>
              <w:rPr>
                <w:bdr w:val="single" w:sz="2" w:space="1" w:color="000000"/>
              </w:rPr>
              <w:t> </w:t>
            </w:r>
          </w:p>
        </w:tc>
        <w:tc>
          <w:tcPr>
            <w:tcW w:w="1044" w:type="dxa"/>
            <w:tcBorders/>
            <w:vAlign w:val="center"/>
          </w:tcPr>
          <w:p>
            <w:pPr>
              <w:pStyle w:val="TableContents"/>
              <w:bidi w:val="0"/>
              <w:spacing w:before="0" w:after="0"/>
              <w:jc w:val="left"/>
              <w:rPr>
                <w:bdr w:val="single" w:sz="2" w:space="1" w:color="000000"/>
              </w:rPr>
            </w:pPr>
            <w:r>
              <w:rPr>
                <w:bdr w:val="single" w:sz="2" w:space="1" w:color="000000"/>
              </w:rPr>
              <w:t> </w:t>
            </w:r>
          </w:p>
        </w:tc>
        <w:tc>
          <w:tcPr>
            <w:tcW w:w="78"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496" w:type="dxa"/>
            <w:tcBorders/>
            <w:vAlign w:val="center"/>
          </w:tcPr>
          <w:p>
            <w:pPr>
              <w:pStyle w:val="TableContents"/>
              <w:bidi w:val="0"/>
              <w:spacing w:before="0" w:after="0"/>
              <w:jc w:val="left"/>
              <w:rPr>
                <w:bdr w:val="single" w:sz="2" w:space="1" w:color="000000"/>
              </w:rPr>
            </w:pPr>
            <w:r>
              <w:rPr>
                <w:bdr w:val="single" w:sz="2" w:space="1" w:color="000000"/>
              </w:rPr>
              <w:t> </w:t>
            </w:r>
          </w:p>
        </w:tc>
        <w:tc>
          <w:tcPr>
            <w:tcW w:w="78"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0"/>
              <w:jc w:val="left"/>
              <w:rPr>
                <w:bdr w:val="single" w:sz="2" w:space="1" w:color="000000"/>
              </w:rPr>
            </w:pPr>
            <w:r>
              <w:rPr>
                <w:bdr w:val="single" w:sz="2" w:space="1" w:color="000000"/>
              </w:rPr>
              <w:t> </w:t>
            </w:r>
          </w:p>
        </w:tc>
        <w:tc>
          <w:tcPr>
            <w:tcW w:w="104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w:t>
            </w:r>
          </w:p>
        </w:tc>
        <w:tc>
          <w:tcPr>
            <w:tcW w:w="887" w:type="dxa"/>
            <w:tcBorders/>
            <w:vAlign w:val="center"/>
          </w:tcPr>
          <w:p>
            <w:pPr>
              <w:pStyle w:val="TableContents"/>
              <w:bidi w:val="0"/>
              <w:spacing w:before="0" w:after="283"/>
              <w:jc w:val="right"/>
              <w:rPr/>
            </w:pPr>
            <w:r>
              <w:rPr/>
              <w:t>49,733</w:t>
            </w:r>
          </w:p>
        </w:tc>
        <w:tc>
          <w:tcPr>
            <w:tcW w:w="78"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w:t>
            </w:r>
          </w:p>
        </w:tc>
        <w:tc>
          <w:tcPr>
            <w:tcW w:w="1044" w:type="dxa"/>
            <w:tcBorders/>
            <w:vAlign w:val="center"/>
          </w:tcPr>
          <w:p>
            <w:pPr>
              <w:pStyle w:val="TableContents"/>
              <w:bidi w:val="0"/>
              <w:spacing w:before="0" w:after="283"/>
              <w:jc w:val="right"/>
              <w:rPr/>
            </w:pPr>
            <w:r>
              <w:rPr/>
              <w:t>118,509</w:t>
            </w:r>
          </w:p>
        </w:tc>
        <w:tc>
          <w:tcPr>
            <w:tcW w:w="78"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6" w:type="dxa"/>
            <w:tcBorders/>
            <w:vAlign w:val="center"/>
          </w:tcPr>
          <w:p>
            <w:pPr>
              <w:pStyle w:val="TableContents"/>
              <w:bidi w:val="0"/>
              <w:spacing w:before="0" w:after="283"/>
              <w:jc w:val="right"/>
              <w:rPr/>
            </w:pPr>
            <w:r>
              <w:rPr/>
              <w:t>— </w:t>
            </w:r>
          </w:p>
        </w:tc>
        <w:tc>
          <w:tcPr>
            <w:tcW w:w="78"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w:t>
            </w:r>
          </w:p>
        </w:tc>
        <w:tc>
          <w:tcPr>
            <w:tcW w:w="1044" w:type="dxa"/>
            <w:tcBorders/>
            <w:vAlign w:val="center"/>
          </w:tcPr>
          <w:p>
            <w:pPr>
              <w:pStyle w:val="TableContents"/>
              <w:bidi w:val="0"/>
              <w:spacing w:before="0" w:after="283"/>
              <w:jc w:val="right"/>
              <w:rPr/>
            </w:pPr>
            <w:r>
              <w:rPr/>
              <w:t>168,242</w:t>
            </w:r>
          </w:p>
        </w:tc>
        <w:tc>
          <w:tcPr>
            <w:tcW w:w="7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0"/>
              <w:jc w:val="left"/>
              <w:rPr>
                <w:bdr w:val="single" w:sz="2" w:space="1" w:color="000000"/>
              </w:rPr>
            </w:pPr>
            <w:r>
              <w:rPr>
                <w:bdr w:val="single" w:sz="2" w:space="1" w:color="000000"/>
              </w:rPr>
              <w:t> </w:t>
            </w:r>
          </w:p>
        </w:tc>
        <w:tc>
          <w:tcPr>
            <w:tcW w:w="887" w:type="dxa"/>
            <w:tcBorders/>
            <w:vAlign w:val="center"/>
          </w:tcPr>
          <w:p>
            <w:pPr>
              <w:pStyle w:val="TableContents"/>
              <w:bidi w:val="0"/>
              <w:spacing w:before="0" w:after="0"/>
              <w:jc w:val="left"/>
              <w:rPr>
                <w:bdr w:val="single" w:sz="2" w:space="1" w:color="000000"/>
              </w:rPr>
            </w:pPr>
            <w:r>
              <w:rPr>
                <w:bdr w:val="single" w:sz="2" w:space="1" w:color="000000"/>
              </w:rPr>
              <w:t> </w:t>
            </w:r>
          </w:p>
        </w:tc>
        <w:tc>
          <w:tcPr>
            <w:tcW w:w="78"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0"/>
              <w:jc w:val="left"/>
              <w:rPr>
                <w:bdr w:val="single" w:sz="2" w:space="1" w:color="000000"/>
              </w:rPr>
            </w:pPr>
            <w:r>
              <w:rPr>
                <w:bdr w:val="single" w:sz="2" w:space="1" w:color="000000"/>
              </w:rPr>
              <w:t> </w:t>
            </w:r>
          </w:p>
        </w:tc>
        <w:tc>
          <w:tcPr>
            <w:tcW w:w="1044" w:type="dxa"/>
            <w:tcBorders/>
            <w:vAlign w:val="center"/>
          </w:tcPr>
          <w:p>
            <w:pPr>
              <w:pStyle w:val="TableContents"/>
              <w:bidi w:val="0"/>
              <w:spacing w:before="0" w:after="0"/>
              <w:jc w:val="left"/>
              <w:rPr>
                <w:bdr w:val="single" w:sz="2" w:space="1" w:color="000000"/>
              </w:rPr>
            </w:pPr>
            <w:r>
              <w:rPr>
                <w:bdr w:val="single" w:sz="2" w:space="1" w:color="000000"/>
              </w:rPr>
              <w:t> </w:t>
            </w:r>
          </w:p>
        </w:tc>
        <w:tc>
          <w:tcPr>
            <w:tcW w:w="78"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496" w:type="dxa"/>
            <w:tcBorders/>
            <w:vAlign w:val="center"/>
          </w:tcPr>
          <w:p>
            <w:pPr>
              <w:pStyle w:val="TableContents"/>
              <w:bidi w:val="0"/>
              <w:spacing w:before="0" w:after="0"/>
              <w:jc w:val="left"/>
              <w:rPr>
                <w:bdr w:val="single" w:sz="2" w:space="1" w:color="000000"/>
              </w:rPr>
            </w:pPr>
            <w:r>
              <w:rPr>
                <w:bdr w:val="single" w:sz="2" w:space="1" w:color="000000"/>
              </w:rPr>
              <w:t> </w:t>
            </w:r>
          </w:p>
        </w:tc>
        <w:tc>
          <w:tcPr>
            <w:tcW w:w="78"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0"/>
              <w:jc w:val="left"/>
              <w:rPr>
                <w:bdr w:val="single" w:sz="2" w:space="1" w:color="000000"/>
              </w:rPr>
            </w:pPr>
            <w:r>
              <w:rPr>
                <w:bdr w:val="single" w:sz="2" w:space="1" w:color="000000"/>
              </w:rPr>
              <w:t> </w:t>
            </w:r>
          </w:p>
        </w:tc>
        <w:tc>
          <w:tcPr>
            <w:tcW w:w="104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887" w:type="dxa"/>
            <w:tcBorders/>
            <w:shd w:fill="CCEEFF" w:val="clear"/>
            <w:vAlign w:val="center"/>
          </w:tcPr>
          <w:p>
            <w:pPr>
              <w:pStyle w:val="TableContents"/>
              <w:bidi w:val="0"/>
              <w:spacing w:before="0" w:after="283"/>
              <w:jc w:val="left"/>
              <w:rPr>
                <w:sz w:val="4"/>
                <w:szCs w:val="4"/>
              </w:rPr>
            </w:pPr>
            <w:r>
              <w:rPr>
                <w:sz w:val="4"/>
                <w:szCs w:val="4"/>
              </w:rPr>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15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1044" w:type="dxa"/>
            <w:tcBorders/>
            <w:shd w:fill="CCEEFF" w:val="clear"/>
            <w:vAlign w:val="center"/>
          </w:tcPr>
          <w:p>
            <w:pPr>
              <w:pStyle w:val="TableContents"/>
              <w:bidi w:val="0"/>
              <w:spacing w:before="0" w:after="283"/>
              <w:jc w:val="left"/>
              <w:rPr>
                <w:sz w:val="4"/>
                <w:szCs w:val="4"/>
              </w:rPr>
            </w:pPr>
            <w:r>
              <w:rPr>
                <w:sz w:val="4"/>
                <w:szCs w:val="4"/>
              </w:rPr>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156"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6" w:type="dxa"/>
            <w:tcBorders/>
            <w:shd w:fill="CCEEFF" w:val="clear"/>
            <w:vAlign w:val="center"/>
          </w:tcPr>
          <w:p>
            <w:pPr>
              <w:pStyle w:val="TableContents"/>
              <w:bidi w:val="0"/>
              <w:spacing w:before="0" w:after="283"/>
              <w:jc w:val="left"/>
              <w:rPr>
                <w:sz w:val="4"/>
                <w:szCs w:val="4"/>
              </w:rPr>
            </w:pPr>
            <w:r>
              <w:rPr>
                <w:sz w:val="4"/>
                <w:szCs w:val="4"/>
              </w:rPr>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15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104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Preferred stock warrant liability</w:t>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w:t>
            </w:r>
          </w:p>
        </w:tc>
        <w:tc>
          <w:tcPr>
            <w:tcW w:w="887" w:type="dxa"/>
            <w:tcBorders/>
            <w:vAlign w:val="center"/>
          </w:tcPr>
          <w:p>
            <w:pPr>
              <w:pStyle w:val="TableContents"/>
              <w:bidi w:val="0"/>
              <w:spacing w:before="0" w:after="283"/>
              <w:jc w:val="right"/>
              <w:rPr/>
            </w:pPr>
            <w:r>
              <w:rPr/>
              <w:t>— </w:t>
            </w:r>
          </w:p>
        </w:tc>
        <w:tc>
          <w:tcPr>
            <w:tcW w:w="78"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w:t>
            </w:r>
          </w:p>
        </w:tc>
        <w:tc>
          <w:tcPr>
            <w:tcW w:w="1044" w:type="dxa"/>
            <w:tcBorders/>
            <w:vAlign w:val="center"/>
          </w:tcPr>
          <w:p>
            <w:pPr>
              <w:pStyle w:val="TableContents"/>
              <w:bidi w:val="0"/>
              <w:spacing w:before="0" w:after="283"/>
              <w:jc w:val="right"/>
              <w:rPr/>
            </w:pPr>
            <w:r>
              <w:rPr/>
              <w:t>— </w:t>
            </w:r>
          </w:p>
        </w:tc>
        <w:tc>
          <w:tcPr>
            <w:tcW w:w="78"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6" w:type="dxa"/>
            <w:tcBorders/>
            <w:vAlign w:val="center"/>
          </w:tcPr>
          <w:p>
            <w:pPr>
              <w:pStyle w:val="TableContents"/>
              <w:bidi w:val="0"/>
              <w:spacing w:before="0" w:after="283"/>
              <w:jc w:val="right"/>
              <w:rPr/>
            </w:pPr>
            <w:r>
              <w:rPr/>
              <w:t>6</w:t>
            </w:r>
          </w:p>
        </w:tc>
        <w:tc>
          <w:tcPr>
            <w:tcW w:w="78"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w:t>
            </w:r>
          </w:p>
        </w:tc>
        <w:tc>
          <w:tcPr>
            <w:tcW w:w="1044" w:type="dxa"/>
            <w:tcBorders/>
            <w:vAlign w:val="center"/>
          </w:tcPr>
          <w:p>
            <w:pPr>
              <w:pStyle w:val="TableContents"/>
              <w:bidi w:val="0"/>
              <w:spacing w:before="0" w:after="283"/>
              <w:jc w:val="right"/>
              <w:rPr/>
            </w:pPr>
            <w:r>
              <w:rPr/>
              <w:t>6</w:t>
            </w:r>
          </w:p>
        </w:tc>
        <w:tc>
          <w:tcPr>
            <w:tcW w:w="7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1044"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pPr>
            <w:r>
              <w:rPr/>
              <w:t>6</w:t>
            </w:r>
          </w:p>
        </w:tc>
        <w:tc>
          <w:tcPr>
            <w:tcW w:w="78"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1044" w:type="dxa"/>
            <w:tcBorders/>
            <w:shd w:fill="CCEEFF" w:val="clear"/>
            <w:vAlign w:val="center"/>
          </w:tcPr>
          <w:p>
            <w:pPr>
              <w:pStyle w:val="TableContents"/>
              <w:bidi w:val="0"/>
              <w:spacing w:before="0" w:after="283"/>
              <w:jc w:val="right"/>
              <w:rPr/>
            </w:pPr>
            <w:r>
              <w:rPr/>
              <w:t>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Warrants to Purchase Redeemable Convertible Preferred Stock Subject to Conditional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PacificWestern Bank (“PWB”) term loan entered into May 2018, the Company granted PWB a warrant to purchase 22,124 shares of Series </w:t>
      </w:r>
    </w:p>
    <w:p>
      <w:pPr>
        <w:pStyle w:val="TextBody"/>
        <w:bidi w:val="0"/>
        <w:spacing w:before="120" w:after="0"/>
        <w:jc w:val="left"/>
        <w:rPr>
          <w:rFonts w:ascii="Times New Roman" w:hAnsi="Times New Roman"/>
          <w:sz w:val="20"/>
        </w:rPr>
      </w:pPr>
      <w:r>
        <w:rPr>
          <w:rFonts w:ascii="Times New Roman" w:hAnsi="Times New Roman"/>
          <w:sz w:val="20"/>
        </w:rPr>
        <w:t>A-1</w:t>
      </w:r>
    </w:p>
    <w:p>
      <w:pPr>
        <w:pStyle w:val="TextBody"/>
        <w:bidi w:val="0"/>
        <w:spacing w:before="120" w:after="0"/>
        <w:jc w:val="left"/>
        <w:rPr>
          <w:rFonts w:ascii="Times New Roman" w:hAnsi="Times New Roman"/>
          <w:sz w:val="20"/>
        </w:rPr>
      </w:pPr>
      <w:r>
        <w:rPr>
          <w:rFonts w:ascii="Times New Roman" w:hAnsi="Times New Roman"/>
          <w:sz w:val="20"/>
        </w:rPr>
        <w:t xml:space="preserve">preferred stock at an exercise price of $1.1291 per share. The warrant, which was deemed to be classified as a liability, expires on May 25, 2028. The term loan with PWB was fully paid in January 2019 and has since expired. As of December 31, 2025, the warrant has not been exercised.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the preferred stock warrant liability is based on significant inputs not observable in the market, which represent a Level 3 measurement within the fair value hierarchy. The Company’s valuation of the preferred stock warrant utilized the Black-Scholes option-pricing model, which incorporates a number of assumptions and estimates. Changes in the fair value of the preferred stock warrant are recognized as other income (expense) in the consolidated statements of operations and comprehensive loss and were not material for the years ended December 31, 2025 and 2024.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and 2024, the estimated fair value of the Series </w:t>
      </w:r>
    </w:p>
    <w:p>
      <w:pPr>
        <w:pStyle w:val="TextBody"/>
        <w:bidi w:val="0"/>
        <w:spacing w:before="240" w:after="0"/>
        <w:jc w:val="left"/>
        <w:rPr>
          <w:rFonts w:ascii="Times New Roman" w:hAnsi="Times New Roman"/>
          <w:sz w:val="20"/>
        </w:rPr>
      </w:pPr>
      <w:r>
        <w:rPr>
          <w:rFonts w:ascii="Times New Roman" w:hAnsi="Times New Roman"/>
          <w:sz w:val="20"/>
        </w:rPr>
        <w:t>A-1</w:t>
      </w:r>
    </w:p>
    <w:p>
      <w:pPr>
        <w:pStyle w:val="TextBody"/>
        <w:bidi w:val="0"/>
        <w:spacing w:before="240" w:after="0"/>
        <w:jc w:val="left"/>
        <w:rPr>
          <w:rFonts w:ascii="Times New Roman" w:hAnsi="Times New Roman"/>
          <w:sz w:val="20"/>
        </w:rPr>
      </w:pPr>
      <w:r>
        <w:rPr>
          <w:rFonts w:ascii="Times New Roman" w:hAnsi="Times New Roman"/>
          <w:sz w:val="20"/>
        </w:rPr>
        <w:t xml:space="preserve">warrant was $0.13 and $0.28 per share, respectively. The fair value of each warrant share is estimated on the date of grant and at each reporting period using the Black-Scholes option pricing model, which requires inputs based on certain subjective assumptions including fair value of the underlying preferred stock, estimated volatility, expected term, risk-free interest rate, and expected dividend yield. </w:t>
      </w:r>
    </w:p>
    <w:p>
      <w:pPr>
        <w:pStyle w:val="TextBody"/>
        <w:bidi w:val="0"/>
        <w:spacing w:before="240" w:after="0"/>
        <w:jc w:val="left"/>
        <w:rPr>
          <w:rFonts w:ascii="Times New Roman" w:hAnsi="Times New Roman"/>
          <w:sz w:val="20"/>
        </w:rPr>
      </w:pPr>
      <w:r>
        <w:rPr>
          <w:rFonts w:ascii="Times New Roman" w:hAnsi="Times New Roman"/>
          <w:sz w:val="20"/>
        </w:rPr>
        <w:t xml:space="preserve">The Company assesses its financial liabilities measured at fair value on a recurring basis and transfers its financial liabilities between the relevant fair value hierarchies at the end of each reporting period, as needed. The following table represents a roll-forward of the fair value of the Level 3 preferred stock warrant liability for each of the periods indicated (in thousands): </w:t>
      </w:r>
    </w:p>
    <w:p>
      <w:pPr>
        <w:pStyle w:val="TextBody"/>
        <w:bidi w:val="0"/>
        <w:spacing w:before="0" w:after="0"/>
        <w:jc w:val="left"/>
        <w:rPr/>
      </w:pPr>
      <w:r>
        <w:rPr/>
        <w:t> </w:t>
      </w:r>
    </w:p>
    <w:tbl>
      <w:tblPr>
        <w:tblW w:w="4798" w:type="dxa"/>
        <w:jc w:val="left"/>
        <w:tblInd w:w="0" w:type="dxa"/>
        <w:tblLayout w:type="fixed"/>
        <w:tblCellMar>
          <w:top w:w="0" w:type="dxa"/>
          <w:left w:w="0" w:type="dxa"/>
          <w:bottom w:w="0" w:type="dxa"/>
          <w:right w:w="0" w:type="dxa"/>
        </w:tblCellMar>
      </w:tblPr>
      <w:tblGrid>
        <w:gridCol w:w="2510"/>
        <w:gridCol w:w="120"/>
        <w:gridCol w:w="271"/>
        <w:gridCol w:w="416"/>
        <w:gridCol w:w="300"/>
        <w:gridCol w:w="232"/>
        <w:gridCol w:w="271"/>
        <w:gridCol w:w="508"/>
        <w:gridCol w:w="170"/>
      </w:tblGrid>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98" w:type="dxa"/>
            <w:gridSpan w:val="6"/>
            <w:tcBorders>
              <w:bottom w:val="single" w:sz="8" w:space="0" w:color="000000"/>
            </w:tcBorders>
            <w:tcMar>
              <w:bottom w:w="28" w:type="dxa"/>
            </w:tcMar>
            <w:vAlign w:val="center"/>
          </w:tcPr>
          <w:p>
            <w:pPr>
              <w:pStyle w:val="TableContents"/>
              <w:bidi w:val="0"/>
              <w:spacing w:before="0" w:after="0"/>
              <w:jc w:val="center"/>
              <w:rPr>
                <w:b/>
              </w:rPr>
            </w:pPr>
            <w:r>
              <w:rPr>
                <w:b/>
              </w:rPr>
              <w:t>As of December 31,</w:t>
            </w:r>
          </w:p>
        </w:tc>
        <w:tc>
          <w:tcPr>
            <w:tcW w:w="17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7"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2025</w:t>
            </w:r>
          </w:p>
        </w:tc>
        <w:tc>
          <w:tcPr>
            <w:tcW w:w="30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779"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Fair value, beginning of year</w:t>
            </w:r>
          </w:p>
        </w:tc>
        <w:tc>
          <w:tcPr>
            <w:tcW w:w="12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w:t>
            </w:r>
          </w:p>
        </w:tc>
        <w:tc>
          <w:tcPr>
            <w:tcW w:w="416" w:type="dxa"/>
            <w:tcBorders/>
            <w:shd w:fill="CCEEFF" w:val="clear"/>
            <w:vAlign w:val="center"/>
          </w:tcPr>
          <w:p>
            <w:pPr>
              <w:pStyle w:val="TableContents"/>
              <w:bidi w:val="0"/>
              <w:spacing w:before="0" w:after="283"/>
              <w:jc w:val="right"/>
              <w:rPr/>
            </w:pPr>
            <w:r>
              <w:rPr/>
              <w:t>6</w:t>
            </w:r>
          </w:p>
        </w:tc>
        <w:tc>
          <w:tcPr>
            <w:tcW w:w="30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w:t>
            </w:r>
          </w:p>
        </w:tc>
        <w:tc>
          <w:tcPr>
            <w:tcW w:w="508" w:type="dxa"/>
            <w:tcBorders/>
            <w:shd w:fill="CCEEFF" w:val="clear"/>
            <w:vAlign w:val="center"/>
          </w:tcPr>
          <w:p>
            <w:pPr>
              <w:pStyle w:val="TableContents"/>
              <w:bidi w:val="0"/>
              <w:spacing w:before="0" w:after="283"/>
              <w:jc w:val="right"/>
              <w:rPr/>
            </w:pPr>
            <w:r>
              <w:rPr/>
              <w:t>14</w:t>
            </w:r>
          </w:p>
        </w:tc>
        <w:tc>
          <w:tcPr>
            <w:tcW w:w="17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estimated fair value</w:t>
            </w:r>
          </w:p>
        </w:tc>
        <w:tc>
          <w:tcPr>
            <w:tcW w:w="12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416" w:type="dxa"/>
            <w:tcBorders/>
            <w:vAlign w:val="center"/>
          </w:tcPr>
          <w:p>
            <w:pPr>
              <w:pStyle w:val="TableContents"/>
              <w:bidi w:val="0"/>
              <w:spacing w:before="0" w:after="283"/>
              <w:jc w:val="right"/>
              <w:rPr/>
            </w:pPr>
            <w:r>
              <w:rPr/>
              <w:t>(3</w:t>
            </w:r>
          </w:p>
        </w:tc>
        <w:tc>
          <w:tcPr>
            <w:tcW w:w="30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right"/>
              <w:rPr/>
            </w:pPr>
            <w:r>
              <w:rPr/>
              <w:t>(8</w:t>
            </w:r>
          </w:p>
        </w:tc>
        <w:tc>
          <w:tcPr>
            <w:tcW w:w="17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0"/>
              <w:jc w:val="left"/>
              <w:rPr>
                <w:bdr w:val="single" w:sz="2" w:space="1" w:color="000000"/>
              </w:rPr>
            </w:pPr>
            <w:r>
              <w:rPr>
                <w:bdr w:val="single" w:sz="2" w:space="1" w:color="000000"/>
              </w:rPr>
              <w:t> </w:t>
            </w:r>
          </w:p>
        </w:tc>
        <w:tc>
          <w:tcPr>
            <w:tcW w:w="416" w:type="dxa"/>
            <w:tcBorders/>
            <w:vAlign w:val="center"/>
          </w:tcPr>
          <w:p>
            <w:pPr>
              <w:pStyle w:val="TableContents"/>
              <w:bidi w:val="0"/>
              <w:spacing w:before="0" w:after="0"/>
              <w:jc w:val="left"/>
              <w:rPr>
                <w:bdr w:val="single" w:sz="2" w:space="1" w:color="000000"/>
              </w:rPr>
            </w:pPr>
            <w:r>
              <w:rPr>
                <w:bdr w:val="single" w:sz="2" w:space="1" w:color="000000"/>
              </w:rPr>
              <w:t> </w:t>
            </w:r>
          </w:p>
        </w:tc>
        <w:tc>
          <w:tcPr>
            <w:tcW w:w="30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0"/>
              <w:jc w:val="left"/>
              <w:rPr>
                <w:bdr w:val="single" w:sz="2" w:space="1" w:color="000000"/>
              </w:rPr>
            </w:pPr>
            <w:r>
              <w:rPr>
                <w:bdr w:val="single" w:sz="2" w:space="1" w:color="000000"/>
              </w:rPr>
              <w:t> </w:t>
            </w:r>
          </w:p>
        </w:tc>
        <w:tc>
          <w:tcPr>
            <w:tcW w:w="508"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Fair value, end of year</w:t>
            </w:r>
          </w:p>
        </w:tc>
        <w:tc>
          <w:tcPr>
            <w:tcW w:w="12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w:t>
            </w:r>
          </w:p>
        </w:tc>
        <w:tc>
          <w:tcPr>
            <w:tcW w:w="416" w:type="dxa"/>
            <w:tcBorders/>
            <w:shd w:fill="CCEEFF" w:val="clear"/>
            <w:vAlign w:val="center"/>
          </w:tcPr>
          <w:p>
            <w:pPr>
              <w:pStyle w:val="TableContents"/>
              <w:bidi w:val="0"/>
              <w:spacing w:before="0" w:after="283"/>
              <w:jc w:val="right"/>
              <w:rPr/>
            </w:pPr>
            <w:r>
              <w:rPr/>
              <w:t>3</w:t>
            </w:r>
          </w:p>
        </w:tc>
        <w:tc>
          <w:tcPr>
            <w:tcW w:w="30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w:t>
            </w:r>
          </w:p>
        </w:tc>
        <w:tc>
          <w:tcPr>
            <w:tcW w:w="508" w:type="dxa"/>
            <w:tcBorders/>
            <w:shd w:fill="CCEEFF" w:val="clear"/>
            <w:vAlign w:val="center"/>
          </w:tcPr>
          <w:p>
            <w:pPr>
              <w:pStyle w:val="TableContents"/>
              <w:bidi w:val="0"/>
              <w:spacing w:before="0" w:after="283"/>
              <w:jc w:val="right"/>
              <w:rPr/>
            </w:pPr>
            <w:r>
              <w:rPr/>
              <w:t>6</w:t>
            </w:r>
          </w:p>
        </w:tc>
        <w:tc>
          <w:tcPr>
            <w:tcW w:w="17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0"/>
              <w:jc w:val="left"/>
              <w:rPr>
                <w:bdr w:val="single" w:sz="2" w:space="1" w:color="000000"/>
              </w:rPr>
            </w:pPr>
            <w:r>
              <w:rPr>
                <w:bdr w:val="single" w:sz="2" w:space="1" w:color="000000"/>
              </w:rPr>
              <w:t> </w:t>
            </w:r>
          </w:p>
        </w:tc>
        <w:tc>
          <w:tcPr>
            <w:tcW w:w="416" w:type="dxa"/>
            <w:tcBorders/>
            <w:vAlign w:val="center"/>
          </w:tcPr>
          <w:p>
            <w:pPr>
              <w:pStyle w:val="TableContents"/>
              <w:bidi w:val="0"/>
              <w:spacing w:before="0" w:after="0"/>
              <w:jc w:val="left"/>
              <w:rPr>
                <w:bdr w:val="single" w:sz="2" w:space="1" w:color="000000"/>
              </w:rPr>
            </w:pPr>
            <w:r>
              <w:rPr>
                <w:bdr w:val="single" w:sz="2" w:space="1" w:color="000000"/>
              </w:rPr>
              <w:t> </w:t>
            </w:r>
          </w:p>
        </w:tc>
        <w:tc>
          <w:tcPr>
            <w:tcW w:w="30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0"/>
              <w:jc w:val="left"/>
              <w:rPr>
                <w:bdr w:val="single" w:sz="2" w:space="1" w:color="000000"/>
              </w:rPr>
            </w:pPr>
            <w:r>
              <w:rPr>
                <w:bdr w:val="single" w:sz="2" w:space="1" w:color="000000"/>
              </w:rPr>
              <w:t> </w:t>
            </w:r>
          </w:p>
        </w:tc>
        <w:tc>
          <w:tcPr>
            <w:tcW w:w="508"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2025 and 2024 there were no transfers between Level 1, Level 2 and Level 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Cash and Cash Equivalents and Marketable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tables summarizes the Company’s cash, cash equivalents and marketable securities as of December 31, 2025 and 2024 (in thousands):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59"/>
        <w:gridCol w:w="120"/>
        <w:gridCol w:w="187"/>
        <w:gridCol w:w="913"/>
        <w:gridCol w:w="73"/>
        <w:gridCol w:w="146"/>
        <w:gridCol w:w="395"/>
        <w:gridCol w:w="735"/>
        <w:gridCol w:w="73"/>
        <w:gridCol w:w="146"/>
        <w:gridCol w:w="395"/>
        <w:gridCol w:w="735"/>
        <w:gridCol w:w="73"/>
        <w:gridCol w:w="146"/>
        <w:gridCol w:w="238"/>
        <w:gridCol w:w="471"/>
        <w:gridCol w:w="73"/>
        <w:gridCol w:w="146"/>
        <w:gridCol w:w="170"/>
        <w:gridCol w:w="831"/>
        <w:gridCol w:w="80"/>
      </w:tblGrid>
      <w:tr>
        <w:trPr/>
        <w:tc>
          <w:tcPr>
            <w:tcW w:w="40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r>
      <w:tr>
        <w:trPr/>
        <w:tc>
          <w:tcPr>
            <w:tcW w:w="405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946" w:type="dxa"/>
            <w:gridSpan w:val="18"/>
            <w:tcBorders>
              <w:bottom w:val="single" w:sz="8" w:space="0" w:color="000000"/>
            </w:tcBorders>
            <w:tcMar>
              <w:bottom w:w="28" w:type="dxa"/>
            </w:tcMar>
            <w:vAlign w:val="center"/>
          </w:tcPr>
          <w:p>
            <w:pPr>
              <w:pStyle w:val="TableContents"/>
              <w:bidi w:val="0"/>
              <w:spacing w:before="0" w:after="0"/>
              <w:jc w:val="center"/>
              <w:rPr>
                <w:b/>
              </w:rPr>
            </w:pPr>
            <w:r>
              <w:rPr>
                <w:b/>
              </w:rPr>
              <w:t>Fair Value Measurements at December 31, 2025</w:t>
            </w:r>
          </w:p>
        </w:tc>
        <w:tc>
          <w:tcPr>
            <w:tcW w:w="80" w:type="dxa"/>
            <w:tcBorders/>
            <w:vAlign w:val="center"/>
          </w:tcPr>
          <w:p>
            <w:pPr>
              <w:pStyle w:val="TableContents"/>
              <w:bidi w:val="0"/>
              <w:spacing w:before="0" w:after="283"/>
              <w:jc w:val="left"/>
              <w:rPr/>
            </w:pPr>
            <w:r>
              <w:rPr/>
              <w:t> </w:t>
            </w:r>
          </w:p>
        </w:tc>
      </w:tr>
      <w:tr>
        <w:trPr/>
        <w:tc>
          <w:tcPr>
            <w:tcW w:w="405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0"/>
              <w:jc w:val="center"/>
              <w:rPr>
                <w:b/>
              </w:rPr>
            </w:pPr>
            <w:r>
              <w:rPr>
                <w:b/>
              </w:rPr>
              <w:t>Amortized</w:t>
              <w:br/>
              <w:t>Cost</w:t>
            </w:r>
          </w:p>
        </w:tc>
        <w:tc>
          <w:tcPr>
            <w:tcW w:w="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0"/>
              <w:jc w:val="center"/>
              <w:rPr>
                <w:b/>
              </w:rPr>
            </w:pPr>
            <w:r>
              <w:rPr>
                <w:b/>
              </w:rPr>
              <w:t>Gross</w:t>
              <w:br/>
              <w:t>Unrealized</w:t>
              <w:br/>
              <w:t>Gains</w:t>
            </w:r>
          </w:p>
        </w:tc>
        <w:tc>
          <w:tcPr>
            <w:tcW w:w="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0"/>
              <w:jc w:val="center"/>
              <w:rPr>
                <w:b/>
              </w:rPr>
            </w:pPr>
            <w:r>
              <w:rPr>
                <w:b/>
              </w:rPr>
              <w:t>Gross</w:t>
              <w:br/>
              <w:t>Unrealized</w:t>
              <w:br/>
              <w:t>Losses</w:t>
            </w:r>
          </w:p>
        </w:tc>
        <w:tc>
          <w:tcPr>
            <w:tcW w:w="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9" w:type="dxa"/>
            <w:gridSpan w:val="2"/>
            <w:tcBorders>
              <w:bottom w:val="single" w:sz="8" w:space="0" w:color="000000"/>
            </w:tcBorders>
            <w:tcMar>
              <w:bottom w:w="28" w:type="dxa"/>
            </w:tcMar>
            <w:vAlign w:val="center"/>
          </w:tcPr>
          <w:p>
            <w:pPr>
              <w:pStyle w:val="TableContents"/>
              <w:bidi w:val="0"/>
              <w:spacing w:before="0" w:after="0"/>
              <w:jc w:val="center"/>
              <w:rPr>
                <w:b/>
              </w:rPr>
            </w:pPr>
            <w:r>
              <w:rPr>
                <w:b/>
              </w:rPr>
              <w:t>Credit</w:t>
              <w:br/>
              <w:t>Losses</w:t>
            </w:r>
          </w:p>
        </w:tc>
        <w:tc>
          <w:tcPr>
            <w:tcW w:w="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01" w:type="dxa"/>
            <w:gridSpan w:val="2"/>
            <w:tcBorders>
              <w:bottom w:val="single" w:sz="8" w:space="0" w:color="000000"/>
            </w:tcBorders>
            <w:tcMar>
              <w:bottom w:w="28" w:type="dxa"/>
            </w:tcMar>
            <w:vAlign w:val="center"/>
          </w:tcPr>
          <w:p>
            <w:pPr>
              <w:pStyle w:val="TableContents"/>
              <w:bidi w:val="0"/>
              <w:spacing w:before="0" w:after="0"/>
              <w:jc w:val="center"/>
              <w:rPr>
                <w:b/>
              </w:rPr>
            </w:pPr>
            <w:r>
              <w:rPr>
                <w:b/>
              </w:rPr>
              <w:t>Total</w:t>
            </w:r>
          </w:p>
        </w:tc>
        <w:tc>
          <w:tcPr>
            <w:tcW w:w="80" w:type="dxa"/>
            <w:tcBorders/>
            <w:vAlign w:val="center"/>
          </w:tcPr>
          <w:p>
            <w:pPr>
              <w:pStyle w:val="TableContents"/>
              <w:bidi w:val="0"/>
              <w:spacing w:before="0" w:after="283"/>
              <w:jc w:val="left"/>
              <w:rPr/>
            </w:pPr>
            <w:r>
              <w:rPr/>
              <w:t> </w:t>
            </w:r>
          </w:p>
        </w:tc>
      </w:tr>
      <w:tr>
        <w:trPr/>
        <w:tc>
          <w:tcPr>
            <w:tcW w:w="405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500</w:t>
            </w:r>
          </w:p>
        </w:tc>
        <w:tc>
          <w:tcPr>
            <w:tcW w:w="7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w:t>
            </w:r>
          </w:p>
        </w:tc>
        <w:tc>
          <w:tcPr>
            <w:tcW w:w="735" w:type="dxa"/>
            <w:tcBorders/>
            <w:shd w:fill="CCEEFF" w:val="clear"/>
            <w:vAlign w:val="center"/>
          </w:tcPr>
          <w:p>
            <w:pPr>
              <w:pStyle w:val="TableContents"/>
              <w:bidi w:val="0"/>
              <w:spacing w:before="0" w:after="283"/>
              <w:jc w:val="right"/>
              <w:rPr/>
            </w:pPr>
            <w:r>
              <w:rPr/>
              <w:t>— </w:t>
            </w:r>
          </w:p>
        </w:tc>
        <w:tc>
          <w:tcPr>
            <w:tcW w:w="7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w:t>
            </w:r>
          </w:p>
        </w:tc>
        <w:tc>
          <w:tcPr>
            <w:tcW w:w="735" w:type="dxa"/>
            <w:tcBorders/>
            <w:shd w:fill="CCEEFF" w:val="clear"/>
            <w:vAlign w:val="center"/>
          </w:tcPr>
          <w:p>
            <w:pPr>
              <w:pStyle w:val="TableContents"/>
              <w:bidi w:val="0"/>
              <w:spacing w:before="0" w:after="283"/>
              <w:jc w:val="right"/>
              <w:rPr/>
            </w:pPr>
            <w:r>
              <w:rPr/>
              <w:t>— </w:t>
            </w:r>
          </w:p>
        </w:tc>
        <w:tc>
          <w:tcPr>
            <w:tcW w:w="7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471" w:type="dxa"/>
            <w:tcBorders/>
            <w:shd w:fill="CCEEFF" w:val="clear"/>
            <w:vAlign w:val="center"/>
          </w:tcPr>
          <w:p>
            <w:pPr>
              <w:pStyle w:val="TableContents"/>
              <w:bidi w:val="0"/>
              <w:spacing w:before="0" w:after="283"/>
              <w:jc w:val="right"/>
              <w:rPr/>
            </w:pPr>
            <w:r>
              <w:rPr/>
              <w:t>— </w:t>
            </w:r>
          </w:p>
        </w:tc>
        <w:tc>
          <w:tcPr>
            <w:tcW w:w="7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1" w:type="dxa"/>
            <w:tcBorders/>
            <w:shd w:fill="CCEEFF" w:val="clear"/>
            <w:vAlign w:val="center"/>
          </w:tcPr>
          <w:p>
            <w:pPr>
              <w:pStyle w:val="TableContents"/>
              <w:bidi w:val="0"/>
              <w:spacing w:before="0" w:after="283"/>
              <w:jc w:val="right"/>
              <w:rPr/>
            </w:pPr>
            <w:r>
              <w:rPr/>
              <w:t>500</w:t>
            </w:r>
          </w:p>
        </w:tc>
        <w:tc>
          <w:tcPr>
            <w:tcW w:w="80" w:type="dxa"/>
            <w:tcBorders/>
            <w:shd w:fill="CCEEFF" w:val="clear"/>
            <w:vAlign w:val="center"/>
          </w:tcPr>
          <w:p>
            <w:pPr>
              <w:pStyle w:val="TableContents"/>
              <w:bidi w:val="0"/>
              <w:spacing w:before="0" w:after="283"/>
              <w:jc w:val="left"/>
              <w:rPr/>
            </w:pPr>
            <w:r>
              <w:rPr/>
              <w:t> </w:t>
            </w:r>
          </w:p>
        </w:tc>
      </w:tr>
      <w:tr>
        <w:trPr/>
        <w:tc>
          <w:tcPr>
            <w:tcW w:w="40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pPr>
            <w:r>
              <w:rPr/>
              <w:t>39,905</w:t>
            </w:r>
          </w:p>
        </w:tc>
        <w:tc>
          <w:tcPr>
            <w:tcW w:w="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right"/>
              <w:rPr/>
            </w:pPr>
            <w:r>
              <w:rPr/>
              <w:t>— </w:t>
            </w:r>
          </w:p>
        </w:tc>
        <w:tc>
          <w:tcPr>
            <w:tcW w:w="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right"/>
              <w:rPr/>
            </w:pPr>
            <w:r>
              <w:rPr/>
              <w:t>— </w:t>
            </w:r>
          </w:p>
        </w:tc>
        <w:tc>
          <w:tcPr>
            <w:tcW w:w="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right"/>
              <w:rPr/>
            </w:pPr>
            <w:r>
              <w:rPr/>
              <w:t>— </w:t>
            </w:r>
          </w:p>
        </w:tc>
        <w:tc>
          <w:tcPr>
            <w:tcW w:w="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right"/>
              <w:rPr/>
            </w:pPr>
            <w:r>
              <w:rPr/>
              <w:t>39,905</w:t>
            </w:r>
          </w:p>
        </w:tc>
        <w:tc>
          <w:tcPr>
            <w:tcW w:w="80" w:type="dxa"/>
            <w:tcBorders/>
            <w:vAlign w:val="center"/>
          </w:tcPr>
          <w:p>
            <w:pPr>
              <w:pStyle w:val="TableContents"/>
              <w:bidi w:val="0"/>
              <w:spacing w:before="0" w:after="283"/>
              <w:jc w:val="left"/>
              <w:rPr/>
            </w:pPr>
            <w:r>
              <w:rPr/>
              <w:t> </w:t>
            </w:r>
          </w:p>
        </w:tc>
      </w:tr>
      <w:tr>
        <w:trPr/>
        <w:tc>
          <w:tcPr>
            <w:tcW w:w="405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U.S. Treasuries</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40,058</w:t>
            </w:r>
          </w:p>
        </w:tc>
        <w:tc>
          <w:tcPr>
            <w:tcW w:w="7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23</w:t>
            </w:r>
          </w:p>
        </w:tc>
        <w:tc>
          <w:tcPr>
            <w:tcW w:w="7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— </w:t>
            </w:r>
          </w:p>
        </w:tc>
        <w:tc>
          <w:tcPr>
            <w:tcW w:w="7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right"/>
              <w:rPr/>
            </w:pPr>
            <w:r>
              <w:rPr/>
              <w:t>— </w:t>
            </w:r>
          </w:p>
        </w:tc>
        <w:tc>
          <w:tcPr>
            <w:tcW w:w="7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40,081</w:t>
            </w:r>
          </w:p>
        </w:tc>
        <w:tc>
          <w:tcPr>
            <w:tcW w:w="80" w:type="dxa"/>
            <w:tcBorders/>
            <w:shd w:fill="CCEEFF" w:val="clear"/>
            <w:vAlign w:val="center"/>
          </w:tcPr>
          <w:p>
            <w:pPr>
              <w:pStyle w:val="TableContents"/>
              <w:bidi w:val="0"/>
              <w:spacing w:before="0" w:after="283"/>
              <w:jc w:val="left"/>
              <w:rPr/>
            </w:pPr>
            <w:r>
              <w:rPr/>
              <w:t> </w:t>
            </w:r>
          </w:p>
        </w:tc>
      </w:tr>
      <w:tr>
        <w:trPr/>
        <w:tc>
          <w:tcPr>
            <w:tcW w:w="40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single" w:sz="2" w:space="1" w:color="000000"/>
              </w:rPr>
            </w:pPr>
            <w:r>
              <w:rPr>
                <w:bdr w:val="single" w:sz="2" w:space="1" w:color="000000"/>
              </w:rPr>
              <w:t> </w:t>
            </w:r>
          </w:p>
        </w:tc>
        <w:tc>
          <w:tcPr>
            <w:tcW w:w="913" w:type="dxa"/>
            <w:tcBorders/>
            <w:vAlign w:val="center"/>
          </w:tcPr>
          <w:p>
            <w:pPr>
              <w:pStyle w:val="TableContents"/>
              <w:bidi w:val="0"/>
              <w:spacing w:before="0" w:after="0"/>
              <w:jc w:val="left"/>
              <w:rPr>
                <w:bdr w:val="single" w:sz="2" w:space="1" w:color="000000"/>
              </w:rPr>
            </w:pPr>
            <w:r>
              <w:rPr>
                <w:bdr w:val="single" w:sz="2" w:space="1" w:color="000000"/>
              </w:rPr>
              <w:t> </w:t>
            </w:r>
          </w:p>
        </w:tc>
        <w:tc>
          <w:tcPr>
            <w:tcW w:w="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jc w:val="left"/>
              <w:rPr>
                <w:bdr w:val="single" w:sz="2" w:space="1" w:color="000000"/>
              </w:rPr>
            </w:pPr>
            <w:r>
              <w:rPr>
                <w:bdr w:val="single" w:sz="2" w:space="1" w:color="000000"/>
              </w:rPr>
              <w:t> </w:t>
            </w:r>
          </w:p>
        </w:tc>
        <w:tc>
          <w:tcPr>
            <w:tcW w:w="735" w:type="dxa"/>
            <w:tcBorders/>
            <w:vAlign w:val="center"/>
          </w:tcPr>
          <w:p>
            <w:pPr>
              <w:pStyle w:val="TableContents"/>
              <w:bidi w:val="0"/>
              <w:spacing w:before="0" w:after="0"/>
              <w:jc w:val="left"/>
              <w:rPr>
                <w:bdr w:val="single" w:sz="2" w:space="1" w:color="000000"/>
              </w:rPr>
            </w:pPr>
            <w:r>
              <w:rPr>
                <w:bdr w:val="single" w:sz="2" w:space="1" w:color="000000"/>
              </w:rPr>
              <w:t> </w:t>
            </w:r>
          </w:p>
        </w:tc>
        <w:tc>
          <w:tcPr>
            <w:tcW w:w="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jc w:val="left"/>
              <w:rPr>
                <w:bdr w:val="single" w:sz="2" w:space="1" w:color="000000"/>
              </w:rPr>
            </w:pPr>
            <w:r>
              <w:rPr>
                <w:bdr w:val="single" w:sz="2" w:space="1" w:color="000000"/>
              </w:rPr>
              <w:t> </w:t>
            </w:r>
          </w:p>
        </w:tc>
        <w:tc>
          <w:tcPr>
            <w:tcW w:w="735" w:type="dxa"/>
            <w:tcBorders/>
            <w:vAlign w:val="center"/>
          </w:tcPr>
          <w:p>
            <w:pPr>
              <w:pStyle w:val="TableContents"/>
              <w:bidi w:val="0"/>
              <w:spacing w:before="0" w:after="0"/>
              <w:jc w:val="left"/>
              <w:rPr>
                <w:bdr w:val="single" w:sz="2" w:space="1" w:color="000000"/>
              </w:rPr>
            </w:pPr>
            <w:r>
              <w:rPr>
                <w:bdr w:val="single" w:sz="2" w:space="1" w:color="000000"/>
              </w:rPr>
              <w:t> </w:t>
            </w:r>
          </w:p>
        </w:tc>
        <w:tc>
          <w:tcPr>
            <w:tcW w:w="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0"/>
              <w:jc w:val="left"/>
              <w:rPr>
                <w:bdr w:val="single" w:sz="2" w:space="1" w:color="000000"/>
              </w:rPr>
            </w:pPr>
            <w:r>
              <w:rPr>
                <w:bdr w:val="single" w:sz="2" w:space="1" w:color="000000"/>
              </w:rPr>
              <w:t> </w:t>
            </w:r>
          </w:p>
        </w:tc>
        <w:tc>
          <w:tcPr>
            <w:tcW w:w="471" w:type="dxa"/>
            <w:tcBorders/>
            <w:vAlign w:val="center"/>
          </w:tcPr>
          <w:p>
            <w:pPr>
              <w:pStyle w:val="TableContents"/>
              <w:bidi w:val="0"/>
              <w:spacing w:before="0" w:after="0"/>
              <w:jc w:val="left"/>
              <w:rPr>
                <w:bdr w:val="single" w:sz="2" w:space="1" w:color="000000"/>
              </w:rPr>
            </w:pPr>
            <w:r>
              <w:rPr>
                <w:bdr w:val="single" w:sz="2" w:space="1" w:color="000000"/>
              </w:rPr>
              <w:t> </w:t>
            </w:r>
          </w:p>
        </w:tc>
        <w:tc>
          <w:tcPr>
            <w:tcW w:w="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left"/>
              <w:rPr>
                <w:bdr w:val="single" w:sz="2" w:space="1" w:color="000000"/>
              </w:rPr>
            </w:pPr>
            <w:r>
              <w:rPr>
                <w:bdr w:val="single" w:sz="2" w:space="1" w:color="000000"/>
              </w:rPr>
              <w:t> </w:t>
            </w:r>
          </w:p>
        </w:tc>
        <w:tc>
          <w:tcPr>
            <w:tcW w:w="831" w:type="dxa"/>
            <w:tcBorders/>
            <w:vAlign w:val="center"/>
          </w:tcPr>
          <w:p>
            <w:pPr>
              <w:pStyle w:val="TableContents"/>
              <w:bidi w:val="0"/>
              <w:spacing w:before="0" w:after="0"/>
              <w:jc w:val="left"/>
              <w:rPr>
                <w:bdr w:val="single" w:sz="2" w:space="1" w:color="000000"/>
              </w:rPr>
            </w:pPr>
            <w:r>
              <w:rPr>
                <w:bdr w:val="single" w:sz="2" w:space="1" w:color="000000"/>
              </w:rPr>
              <w:t> </w:t>
            </w:r>
          </w:p>
        </w:tc>
        <w:tc>
          <w:tcPr>
            <w:tcW w:w="80" w:type="dxa"/>
            <w:tcBorders/>
            <w:vAlign w:val="center"/>
          </w:tcPr>
          <w:p>
            <w:pPr>
              <w:pStyle w:val="TableContents"/>
              <w:bidi w:val="0"/>
              <w:spacing w:before="0" w:after="283"/>
              <w:jc w:val="left"/>
              <w:rPr/>
            </w:pPr>
            <w:r>
              <w:rPr/>
              <w:t> </w:t>
            </w:r>
          </w:p>
        </w:tc>
      </w:tr>
      <w:tr>
        <w:trPr/>
        <w:tc>
          <w:tcPr>
            <w:tcW w:w="40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cash, cash equivalents, and marketable securities</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913" w:type="dxa"/>
            <w:tcBorders/>
            <w:vAlign w:val="center"/>
          </w:tcPr>
          <w:p>
            <w:pPr>
              <w:pStyle w:val="TableContents"/>
              <w:bidi w:val="0"/>
              <w:spacing w:before="0" w:after="283"/>
              <w:jc w:val="right"/>
              <w:rPr/>
            </w:pPr>
            <w:r>
              <w:rPr/>
              <w:t>80,463</w:t>
            </w:r>
          </w:p>
        </w:tc>
        <w:tc>
          <w:tcPr>
            <w:tcW w:w="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w:t>
            </w:r>
          </w:p>
        </w:tc>
        <w:tc>
          <w:tcPr>
            <w:tcW w:w="735" w:type="dxa"/>
            <w:tcBorders/>
            <w:vAlign w:val="center"/>
          </w:tcPr>
          <w:p>
            <w:pPr>
              <w:pStyle w:val="TableContents"/>
              <w:bidi w:val="0"/>
              <w:spacing w:before="0" w:after="283"/>
              <w:jc w:val="right"/>
              <w:rPr/>
            </w:pPr>
            <w:r>
              <w:rPr/>
              <w:t>23</w:t>
            </w:r>
          </w:p>
        </w:tc>
        <w:tc>
          <w:tcPr>
            <w:tcW w:w="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w:t>
            </w:r>
          </w:p>
        </w:tc>
        <w:tc>
          <w:tcPr>
            <w:tcW w:w="735" w:type="dxa"/>
            <w:tcBorders/>
            <w:vAlign w:val="center"/>
          </w:tcPr>
          <w:p>
            <w:pPr>
              <w:pStyle w:val="TableContents"/>
              <w:bidi w:val="0"/>
              <w:spacing w:before="0" w:after="283"/>
              <w:jc w:val="right"/>
              <w:rPr/>
            </w:pPr>
            <w:r>
              <w:rPr/>
              <w:t>— </w:t>
            </w:r>
          </w:p>
        </w:tc>
        <w:tc>
          <w:tcPr>
            <w:tcW w:w="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w:t>
            </w:r>
          </w:p>
        </w:tc>
        <w:tc>
          <w:tcPr>
            <w:tcW w:w="471" w:type="dxa"/>
            <w:tcBorders/>
            <w:vAlign w:val="center"/>
          </w:tcPr>
          <w:p>
            <w:pPr>
              <w:pStyle w:val="TableContents"/>
              <w:bidi w:val="0"/>
              <w:spacing w:before="0" w:after="283"/>
              <w:jc w:val="right"/>
              <w:rPr/>
            </w:pPr>
            <w:r>
              <w:rPr/>
              <w:t>— </w:t>
            </w:r>
          </w:p>
        </w:tc>
        <w:tc>
          <w:tcPr>
            <w:tcW w:w="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1" w:type="dxa"/>
            <w:tcBorders/>
            <w:vAlign w:val="center"/>
          </w:tcPr>
          <w:p>
            <w:pPr>
              <w:pStyle w:val="TableContents"/>
              <w:bidi w:val="0"/>
              <w:spacing w:before="0" w:after="283"/>
              <w:jc w:val="right"/>
              <w:rPr/>
            </w:pPr>
            <w:r>
              <w:rPr/>
              <w:t>80,486</w:t>
            </w:r>
          </w:p>
        </w:tc>
        <w:tc>
          <w:tcPr>
            <w:tcW w:w="80" w:type="dxa"/>
            <w:tcBorders/>
            <w:vAlign w:val="center"/>
          </w:tcPr>
          <w:p>
            <w:pPr>
              <w:pStyle w:val="TableContents"/>
              <w:bidi w:val="0"/>
              <w:spacing w:before="0" w:after="283"/>
              <w:jc w:val="left"/>
              <w:rPr/>
            </w:pPr>
            <w:r>
              <w:rPr/>
              <w:t> </w:t>
            </w:r>
          </w:p>
        </w:tc>
      </w:tr>
      <w:tr>
        <w:trPr/>
        <w:tc>
          <w:tcPr>
            <w:tcW w:w="40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single" w:sz="2" w:space="1" w:color="000000"/>
              </w:rPr>
            </w:pPr>
            <w:r>
              <w:rPr>
                <w:bdr w:val="single" w:sz="2" w:space="1" w:color="000000"/>
              </w:rPr>
              <w:t> </w:t>
            </w:r>
          </w:p>
        </w:tc>
        <w:tc>
          <w:tcPr>
            <w:tcW w:w="913" w:type="dxa"/>
            <w:tcBorders/>
            <w:vAlign w:val="center"/>
          </w:tcPr>
          <w:p>
            <w:pPr>
              <w:pStyle w:val="TableContents"/>
              <w:bidi w:val="0"/>
              <w:spacing w:before="0" w:after="0"/>
              <w:jc w:val="left"/>
              <w:rPr>
                <w:bdr w:val="single" w:sz="2" w:space="1" w:color="000000"/>
              </w:rPr>
            </w:pPr>
            <w:r>
              <w:rPr>
                <w:bdr w:val="single" w:sz="2" w:space="1" w:color="000000"/>
              </w:rPr>
              <w:t> </w:t>
            </w:r>
          </w:p>
        </w:tc>
        <w:tc>
          <w:tcPr>
            <w:tcW w:w="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jc w:val="left"/>
              <w:rPr>
                <w:bdr w:val="single" w:sz="2" w:space="1" w:color="000000"/>
              </w:rPr>
            </w:pPr>
            <w:r>
              <w:rPr>
                <w:bdr w:val="single" w:sz="2" w:space="1" w:color="000000"/>
              </w:rPr>
              <w:t> </w:t>
            </w:r>
          </w:p>
        </w:tc>
        <w:tc>
          <w:tcPr>
            <w:tcW w:w="735" w:type="dxa"/>
            <w:tcBorders/>
            <w:vAlign w:val="center"/>
          </w:tcPr>
          <w:p>
            <w:pPr>
              <w:pStyle w:val="TableContents"/>
              <w:bidi w:val="0"/>
              <w:spacing w:before="0" w:after="0"/>
              <w:jc w:val="left"/>
              <w:rPr>
                <w:bdr w:val="single" w:sz="2" w:space="1" w:color="000000"/>
              </w:rPr>
            </w:pPr>
            <w:r>
              <w:rPr>
                <w:bdr w:val="single" w:sz="2" w:space="1" w:color="000000"/>
              </w:rPr>
              <w:t> </w:t>
            </w:r>
          </w:p>
        </w:tc>
        <w:tc>
          <w:tcPr>
            <w:tcW w:w="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jc w:val="left"/>
              <w:rPr>
                <w:bdr w:val="single" w:sz="2" w:space="1" w:color="000000"/>
              </w:rPr>
            </w:pPr>
            <w:r>
              <w:rPr>
                <w:bdr w:val="single" w:sz="2" w:space="1" w:color="000000"/>
              </w:rPr>
              <w:t> </w:t>
            </w:r>
          </w:p>
        </w:tc>
        <w:tc>
          <w:tcPr>
            <w:tcW w:w="735" w:type="dxa"/>
            <w:tcBorders/>
            <w:vAlign w:val="center"/>
          </w:tcPr>
          <w:p>
            <w:pPr>
              <w:pStyle w:val="TableContents"/>
              <w:bidi w:val="0"/>
              <w:spacing w:before="0" w:after="0"/>
              <w:jc w:val="left"/>
              <w:rPr>
                <w:bdr w:val="single" w:sz="2" w:space="1" w:color="000000"/>
              </w:rPr>
            </w:pPr>
            <w:r>
              <w:rPr>
                <w:bdr w:val="single" w:sz="2" w:space="1" w:color="000000"/>
              </w:rPr>
              <w:t> </w:t>
            </w:r>
          </w:p>
        </w:tc>
        <w:tc>
          <w:tcPr>
            <w:tcW w:w="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0"/>
              <w:jc w:val="left"/>
              <w:rPr>
                <w:bdr w:val="single" w:sz="2" w:space="1" w:color="000000"/>
              </w:rPr>
            </w:pPr>
            <w:r>
              <w:rPr>
                <w:bdr w:val="single" w:sz="2" w:space="1" w:color="000000"/>
              </w:rPr>
              <w:t> </w:t>
            </w:r>
          </w:p>
        </w:tc>
        <w:tc>
          <w:tcPr>
            <w:tcW w:w="471" w:type="dxa"/>
            <w:tcBorders/>
            <w:vAlign w:val="center"/>
          </w:tcPr>
          <w:p>
            <w:pPr>
              <w:pStyle w:val="TableContents"/>
              <w:bidi w:val="0"/>
              <w:spacing w:before="0" w:after="0"/>
              <w:jc w:val="left"/>
              <w:rPr>
                <w:bdr w:val="single" w:sz="2" w:space="1" w:color="000000"/>
              </w:rPr>
            </w:pPr>
            <w:r>
              <w:rPr>
                <w:bdr w:val="single" w:sz="2" w:space="1" w:color="000000"/>
              </w:rPr>
              <w:t> </w:t>
            </w:r>
          </w:p>
        </w:tc>
        <w:tc>
          <w:tcPr>
            <w:tcW w:w="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left"/>
              <w:rPr>
                <w:bdr w:val="single" w:sz="2" w:space="1" w:color="000000"/>
              </w:rPr>
            </w:pPr>
            <w:r>
              <w:rPr>
                <w:bdr w:val="single" w:sz="2" w:space="1" w:color="000000"/>
              </w:rPr>
              <w:t> </w:t>
            </w:r>
          </w:p>
        </w:tc>
        <w:tc>
          <w:tcPr>
            <w:tcW w:w="831" w:type="dxa"/>
            <w:tcBorders/>
            <w:vAlign w:val="center"/>
          </w:tcPr>
          <w:p>
            <w:pPr>
              <w:pStyle w:val="TableContents"/>
              <w:bidi w:val="0"/>
              <w:spacing w:before="0" w:after="0"/>
              <w:jc w:val="left"/>
              <w:rPr>
                <w:bdr w:val="single" w:sz="2" w:space="1" w:color="000000"/>
              </w:rPr>
            </w:pPr>
            <w:r>
              <w:rPr>
                <w:bdr w:val="single" w:sz="2" w:space="1" w:color="000000"/>
              </w:rPr>
              <w:t> </w:t>
            </w:r>
          </w:p>
        </w:tc>
        <w:tc>
          <w:tcPr>
            <w:tcW w:w="80" w:type="dxa"/>
            <w:tcBorders/>
            <w:vAlign w:val="center"/>
          </w:tcPr>
          <w:p>
            <w:pPr>
              <w:pStyle w:val="TableContents"/>
              <w:bidi w:val="0"/>
              <w:spacing w:before="0" w:after="283"/>
              <w:jc w:val="left"/>
              <w:rPr/>
            </w:pPr>
            <w:r>
              <w:rPr/>
              <w:t> </w:t>
            </w:r>
          </w:p>
        </w:tc>
      </w:tr>
      <w:tr>
        <w:trPr/>
        <w:tc>
          <w:tcPr>
            <w:tcW w:w="405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 reported:</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before="0" w:after="283"/>
              <w:jc w:val="left"/>
              <w:rPr>
                <w:sz w:val="4"/>
                <w:szCs w:val="4"/>
              </w:rPr>
            </w:pPr>
            <w:r>
              <w:rPr>
                <w:sz w:val="4"/>
                <w:szCs w:val="4"/>
              </w:rPr>
            </w:r>
          </w:p>
        </w:tc>
        <w:tc>
          <w:tcPr>
            <w:tcW w:w="73" w:type="dxa"/>
            <w:tcBorders/>
            <w:shd w:fill="CCEEFF" w:val="clear"/>
            <w:vAlign w:val="center"/>
          </w:tcPr>
          <w:p>
            <w:pPr>
              <w:pStyle w:val="TableContents"/>
              <w:bidi w:val="0"/>
              <w:spacing w:before="0" w:after="283"/>
              <w:jc w:val="left"/>
              <w:rPr>
                <w:sz w:val="4"/>
                <w:szCs w:val="4"/>
              </w:rPr>
            </w:pPr>
            <w:r>
              <w:rPr>
                <w:sz w:val="4"/>
                <w:szCs w:val="4"/>
              </w:rPr>
            </w:r>
          </w:p>
        </w:tc>
        <w:tc>
          <w:tcPr>
            <w:tcW w:w="146"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sz w:val="4"/>
                <w:szCs w:val="4"/>
              </w:rPr>
            </w:pPr>
            <w:r>
              <w:rPr>
                <w:sz w:val="4"/>
                <w:szCs w:val="4"/>
              </w:rPr>
            </w:r>
          </w:p>
        </w:tc>
        <w:tc>
          <w:tcPr>
            <w:tcW w:w="735" w:type="dxa"/>
            <w:tcBorders/>
            <w:shd w:fill="CCEEFF" w:val="clear"/>
            <w:vAlign w:val="center"/>
          </w:tcPr>
          <w:p>
            <w:pPr>
              <w:pStyle w:val="TableContents"/>
              <w:bidi w:val="0"/>
              <w:spacing w:before="0" w:after="283"/>
              <w:jc w:val="left"/>
              <w:rPr>
                <w:sz w:val="4"/>
                <w:szCs w:val="4"/>
              </w:rPr>
            </w:pPr>
            <w:r>
              <w:rPr>
                <w:sz w:val="4"/>
                <w:szCs w:val="4"/>
              </w:rPr>
            </w:r>
          </w:p>
        </w:tc>
        <w:tc>
          <w:tcPr>
            <w:tcW w:w="73" w:type="dxa"/>
            <w:tcBorders/>
            <w:shd w:fill="CCEEFF" w:val="clear"/>
            <w:vAlign w:val="center"/>
          </w:tcPr>
          <w:p>
            <w:pPr>
              <w:pStyle w:val="TableContents"/>
              <w:bidi w:val="0"/>
              <w:spacing w:before="0" w:after="283"/>
              <w:jc w:val="left"/>
              <w:rPr>
                <w:sz w:val="4"/>
                <w:szCs w:val="4"/>
              </w:rPr>
            </w:pPr>
            <w:r>
              <w:rPr>
                <w:sz w:val="4"/>
                <w:szCs w:val="4"/>
              </w:rPr>
            </w:r>
          </w:p>
        </w:tc>
        <w:tc>
          <w:tcPr>
            <w:tcW w:w="146"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sz w:val="4"/>
                <w:szCs w:val="4"/>
              </w:rPr>
            </w:pPr>
            <w:r>
              <w:rPr>
                <w:sz w:val="4"/>
                <w:szCs w:val="4"/>
              </w:rPr>
            </w:r>
          </w:p>
        </w:tc>
        <w:tc>
          <w:tcPr>
            <w:tcW w:w="735" w:type="dxa"/>
            <w:tcBorders/>
            <w:shd w:fill="CCEEFF" w:val="clear"/>
            <w:vAlign w:val="center"/>
          </w:tcPr>
          <w:p>
            <w:pPr>
              <w:pStyle w:val="TableContents"/>
              <w:bidi w:val="0"/>
              <w:spacing w:before="0" w:after="283"/>
              <w:jc w:val="left"/>
              <w:rPr>
                <w:sz w:val="4"/>
                <w:szCs w:val="4"/>
              </w:rPr>
            </w:pPr>
            <w:r>
              <w:rPr>
                <w:sz w:val="4"/>
                <w:szCs w:val="4"/>
              </w:rPr>
            </w:r>
          </w:p>
        </w:tc>
        <w:tc>
          <w:tcPr>
            <w:tcW w:w="73" w:type="dxa"/>
            <w:tcBorders/>
            <w:shd w:fill="CCEEFF" w:val="clear"/>
            <w:vAlign w:val="center"/>
          </w:tcPr>
          <w:p>
            <w:pPr>
              <w:pStyle w:val="TableContents"/>
              <w:bidi w:val="0"/>
              <w:spacing w:before="0" w:after="283"/>
              <w:jc w:val="left"/>
              <w:rPr>
                <w:sz w:val="4"/>
                <w:szCs w:val="4"/>
              </w:rPr>
            </w:pPr>
            <w:r>
              <w:rPr>
                <w:sz w:val="4"/>
                <w:szCs w:val="4"/>
              </w:rPr>
            </w:r>
          </w:p>
        </w:tc>
        <w:tc>
          <w:tcPr>
            <w:tcW w:w="146"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sz w:val="4"/>
                <w:szCs w:val="4"/>
              </w:rPr>
            </w:pPr>
            <w:r>
              <w:rPr>
                <w:sz w:val="4"/>
                <w:szCs w:val="4"/>
              </w:rPr>
            </w:r>
          </w:p>
        </w:tc>
        <w:tc>
          <w:tcPr>
            <w:tcW w:w="471" w:type="dxa"/>
            <w:tcBorders/>
            <w:shd w:fill="CCEEFF" w:val="clear"/>
            <w:vAlign w:val="center"/>
          </w:tcPr>
          <w:p>
            <w:pPr>
              <w:pStyle w:val="TableContents"/>
              <w:bidi w:val="0"/>
              <w:spacing w:before="0" w:after="283"/>
              <w:jc w:val="left"/>
              <w:rPr>
                <w:sz w:val="4"/>
                <w:szCs w:val="4"/>
              </w:rPr>
            </w:pPr>
            <w:r>
              <w:rPr>
                <w:sz w:val="4"/>
                <w:szCs w:val="4"/>
              </w:rPr>
            </w:r>
          </w:p>
        </w:tc>
        <w:tc>
          <w:tcPr>
            <w:tcW w:w="73" w:type="dxa"/>
            <w:tcBorders/>
            <w:shd w:fill="CCEEFF" w:val="clear"/>
            <w:vAlign w:val="center"/>
          </w:tcPr>
          <w:p>
            <w:pPr>
              <w:pStyle w:val="TableContents"/>
              <w:bidi w:val="0"/>
              <w:spacing w:before="0" w:after="283"/>
              <w:jc w:val="left"/>
              <w:rPr>
                <w:sz w:val="4"/>
                <w:szCs w:val="4"/>
              </w:rPr>
            </w:pPr>
            <w:r>
              <w:rPr>
                <w:sz w:val="4"/>
                <w:szCs w:val="4"/>
              </w:rPr>
            </w:r>
          </w:p>
        </w:tc>
        <w:tc>
          <w:tcPr>
            <w:tcW w:w="146"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31"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sz w:val="4"/>
                <w:szCs w:val="4"/>
              </w:rPr>
            </w:pPr>
            <w:r>
              <w:rPr>
                <w:sz w:val="4"/>
                <w:szCs w:val="4"/>
              </w:rPr>
            </w:r>
          </w:p>
        </w:tc>
      </w:tr>
      <w:tr>
        <w:trPr/>
        <w:tc>
          <w:tcPr>
            <w:tcW w:w="40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913" w:type="dxa"/>
            <w:tcBorders/>
            <w:vAlign w:val="center"/>
          </w:tcPr>
          <w:p>
            <w:pPr>
              <w:pStyle w:val="TableContents"/>
              <w:bidi w:val="0"/>
              <w:spacing w:before="0" w:after="283"/>
              <w:jc w:val="right"/>
              <w:rPr/>
            </w:pPr>
            <w:r>
              <w:rPr/>
              <w:t>40,405</w:t>
            </w:r>
          </w:p>
        </w:tc>
        <w:tc>
          <w:tcPr>
            <w:tcW w:w="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w:t>
            </w:r>
          </w:p>
        </w:tc>
        <w:tc>
          <w:tcPr>
            <w:tcW w:w="735" w:type="dxa"/>
            <w:tcBorders/>
            <w:vAlign w:val="center"/>
          </w:tcPr>
          <w:p>
            <w:pPr>
              <w:pStyle w:val="TableContents"/>
              <w:bidi w:val="0"/>
              <w:spacing w:before="0" w:after="283"/>
              <w:jc w:val="right"/>
              <w:rPr/>
            </w:pPr>
            <w:r>
              <w:rPr/>
              <w:t>— </w:t>
            </w:r>
          </w:p>
        </w:tc>
        <w:tc>
          <w:tcPr>
            <w:tcW w:w="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w:t>
            </w:r>
          </w:p>
        </w:tc>
        <w:tc>
          <w:tcPr>
            <w:tcW w:w="735" w:type="dxa"/>
            <w:tcBorders/>
            <w:vAlign w:val="center"/>
          </w:tcPr>
          <w:p>
            <w:pPr>
              <w:pStyle w:val="TableContents"/>
              <w:bidi w:val="0"/>
              <w:spacing w:before="0" w:after="283"/>
              <w:jc w:val="right"/>
              <w:rPr/>
            </w:pPr>
            <w:r>
              <w:rPr/>
              <w:t>— </w:t>
            </w:r>
          </w:p>
        </w:tc>
        <w:tc>
          <w:tcPr>
            <w:tcW w:w="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w:t>
            </w:r>
          </w:p>
        </w:tc>
        <w:tc>
          <w:tcPr>
            <w:tcW w:w="471" w:type="dxa"/>
            <w:tcBorders/>
            <w:vAlign w:val="center"/>
          </w:tcPr>
          <w:p>
            <w:pPr>
              <w:pStyle w:val="TableContents"/>
              <w:bidi w:val="0"/>
              <w:spacing w:before="0" w:after="283"/>
              <w:jc w:val="right"/>
              <w:rPr/>
            </w:pPr>
            <w:r>
              <w:rPr/>
              <w:t>— </w:t>
            </w:r>
          </w:p>
        </w:tc>
        <w:tc>
          <w:tcPr>
            <w:tcW w:w="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1" w:type="dxa"/>
            <w:tcBorders/>
            <w:vAlign w:val="center"/>
          </w:tcPr>
          <w:p>
            <w:pPr>
              <w:pStyle w:val="TableContents"/>
              <w:bidi w:val="0"/>
              <w:spacing w:before="0" w:after="283"/>
              <w:jc w:val="right"/>
              <w:rPr/>
            </w:pPr>
            <w:r>
              <w:rPr/>
              <w:t>40,405</w:t>
            </w:r>
          </w:p>
        </w:tc>
        <w:tc>
          <w:tcPr>
            <w:tcW w:w="80" w:type="dxa"/>
            <w:tcBorders/>
            <w:vAlign w:val="center"/>
          </w:tcPr>
          <w:p>
            <w:pPr>
              <w:pStyle w:val="TableContents"/>
              <w:bidi w:val="0"/>
              <w:spacing w:before="0" w:after="283"/>
              <w:jc w:val="left"/>
              <w:rPr/>
            </w:pPr>
            <w:r>
              <w:rPr/>
              <w:t> </w:t>
            </w:r>
          </w:p>
        </w:tc>
      </w:tr>
      <w:tr>
        <w:trPr/>
        <w:tc>
          <w:tcPr>
            <w:tcW w:w="405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40,058</w:t>
            </w:r>
          </w:p>
        </w:tc>
        <w:tc>
          <w:tcPr>
            <w:tcW w:w="7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23</w:t>
            </w:r>
          </w:p>
        </w:tc>
        <w:tc>
          <w:tcPr>
            <w:tcW w:w="7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— </w:t>
            </w:r>
          </w:p>
        </w:tc>
        <w:tc>
          <w:tcPr>
            <w:tcW w:w="7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right"/>
              <w:rPr/>
            </w:pPr>
            <w:r>
              <w:rPr/>
              <w:t>— </w:t>
            </w:r>
          </w:p>
        </w:tc>
        <w:tc>
          <w:tcPr>
            <w:tcW w:w="7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40,081</w:t>
            </w:r>
          </w:p>
        </w:tc>
        <w:tc>
          <w:tcPr>
            <w:tcW w:w="80" w:type="dxa"/>
            <w:tcBorders/>
            <w:shd w:fill="CCEEFF" w:val="clear"/>
            <w:vAlign w:val="center"/>
          </w:tcPr>
          <w:p>
            <w:pPr>
              <w:pStyle w:val="TableContents"/>
              <w:bidi w:val="0"/>
              <w:spacing w:before="0" w:after="283"/>
              <w:jc w:val="left"/>
              <w:rPr/>
            </w:pPr>
            <w:r>
              <w:rPr/>
              <w:t> </w:t>
            </w:r>
          </w:p>
        </w:tc>
      </w:tr>
      <w:tr>
        <w:trPr/>
        <w:tc>
          <w:tcPr>
            <w:tcW w:w="40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single" w:sz="2" w:space="1" w:color="000000"/>
              </w:rPr>
            </w:pPr>
            <w:r>
              <w:rPr>
                <w:bdr w:val="single" w:sz="2" w:space="1" w:color="000000"/>
              </w:rPr>
              <w:t> </w:t>
            </w:r>
          </w:p>
        </w:tc>
        <w:tc>
          <w:tcPr>
            <w:tcW w:w="913" w:type="dxa"/>
            <w:tcBorders/>
            <w:vAlign w:val="center"/>
          </w:tcPr>
          <w:p>
            <w:pPr>
              <w:pStyle w:val="TableContents"/>
              <w:bidi w:val="0"/>
              <w:spacing w:before="0" w:after="0"/>
              <w:jc w:val="left"/>
              <w:rPr>
                <w:bdr w:val="single" w:sz="2" w:space="1" w:color="000000"/>
              </w:rPr>
            </w:pPr>
            <w:r>
              <w:rPr>
                <w:bdr w:val="single" w:sz="2" w:space="1" w:color="000000"/>
              </w:rPr>
              <w:t> </w:t>
            </w:r>
          </w:p>
        </w:tc>
        <w:tc>
          <w:tcPr>
            <w:tcW w:w="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jc w:val="left"/>
              <w:rPr>
                <w:bdr w:val="single" w:sz="2" w:space="1" w:color="000000"/>
              </w:rPr>
            </w:pPr>
            <w:r>
              <w:rPr>
                <w:bdr w:val="single" w:sz="2" w:space="1" w:color="000000"/>
              </w:rPr>
              <w:t> </w:t>
            </w:r>
          </w:p>
        </w:tc>
        <w:tc>
          <w:tcPr>
            <w:tcW w:w="735" w:type="dxa"/>
            <w:tcBorders/>
            <w:vAlign w:val="center"/>
          </w:tcPr>
          <w:p>
            <w:pPr>
              <w:pStyle w:val="TableContents"/>
              <w:bidi w:val="0"/>
              <w:spacing w:before="0" w:after="0"/>
              <w:jc w:val="left"/>
              <w:rPr>
                <w:bdr w:val="single" w:sz="2" w:space="1" w:color="000000"/>
              </w:rPr>
            </w:pPr>
            <w:r>
              <w:rPr>
                <w:bdr w:val="single" w:sz="2" w:space="1" w:color="000000"/>
              </w:rPr>
              <w:t> </w:t>
            </w:r>
          </w:p>
        </w:tc>
        <w:tc>
          <w:tcPr>
            <w:tcW w:w="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jc w:val="left"/>
              <w:rPr>
                <w:bdr w:val="single" w:sz="2" w:space="1" w:color="000000"/>
              </w:rPr>
            </w:pPr>
            <w:r>
              <w:rPr>
                <w:bdr w:val="single" w:sz="2" w:space="1" w:color="000000"/>
              </w:rPr>
              <w:t> </w:t>
            </w:r>
          </w:p>
        </w:tc>
        <w:tc>
          <w:tcPr>
            <w:tcW w:w="735" w:type="dxa"/>
            <w:tcBorders/>
            <w:vAlign w:val="center"/>
          </w:tcPr>
          <w:p>
            <w:pPr>
              <w:pStyle w:val="TableContents"/>
              <w:bidi w:val="0"/>
              <w:spacing w:before="0" w:after="0"/>
              <w:jc w:val="left"/>
              <w:rPr>
                <w:bdr w:val="single" w:sz="2" w:space="1" w:color="000000"/>
              </w:rPr>
            </w:pPr>
            <w:r>
              <w:rPr>
                <w:bdr w:val="single" w:sz="2" w:space="1" w:color="000000"/>
              </w:rPr>
              <w:t> </w:t>
            </w:r>
          </w:p>
        </w:tc>
        <w:tc>
          <w:tcPr>
            <w:tcW w:w="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0"/>
              <w:jc w:val="left"/>
              <w:rPr>
                <w:bdr w:val="single" w:sz="2" w:space="1" w:color="000000"/>
              </w:rPr>
            </w:pPr>
            <w:r>
              <w:rPr>
                <w:bdr w:val="single" w:sz="2" w:space="1" w:color="000000"/>
              </w:rPr>
              <w:t> </w:t>
            </w:r>
          </w:p>
        </w:tc>
        <w:tc>
          <w:tcPr>
            <w:tcW w:w="471" w:type="dxa"/>
            <w:tcBorders/>
            <w:vAlign w:val="center"/>
          </w:tcPr>
          <w:p>
            <w:pPr>
              <w:pStyle w:val="TableContents"/>
              <w:bidi w:val="0"/>
              <w:spacing w:before="0" w:after="0"/>
              <w:jc w:val="left"/>
              <w:rPr>
                <w:bdr w:val="single" w:sz="2" w:space="1" w:color="000000"/>
              </w:rPr>
            </w:pPr>
            <w:r>
              <w:rPr>
                <w:bdr w:val="single" w:sz="2" w:space="1" w:color="000000"/>
              </w:rPr>
              <w:t> </w:t>
            </w:r>
          </w:p>
        </w:tc>
        <w:tc>
          <w:tcPr>
            <w:tcW w:w="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left"/>
              <w:rPr>
                <w:bdr w:val="single" w:sz="2" w:space="1" w:color="000000"/>
              </w:rPr>
            </w:pPr>
            <w:r>
              <w:rPr>
                <w:bdr w:val="single" w:sz="2" w:space="1" w:color="000000"/>
              </w:rPr>
              <w:t> </w:t>
            </w:r>
          </w:p>
        </w:tc>
        <w:tc>
          <w:tcPr>
            <w:tcW w:w="831" w:type="dxa"/>
            <w:tcBorders/>
            <w:vAlign w:val="center"/>
          </w:tcPr>
          <w:p>
            <w:pPr>
              <w:pStyle w:val="TableContents"/>
              <w:bidi w:val="0"/>
              <w:spacing w:before="0" w:after="0"/>
              <w:jc w:val="left"/>
              <w:rPr>
                <w:bdr w:val="single" w:sz="2" w:space="1" w:color="000000"/>
              </w:rPr>
            </w:pPr>
            <w:r>
              <w:rPr>
                <w:bdr w:val="single" w:sz="2" w:space="1" w:color="000000"/>
              </w:rPr>
              <w:t> </w:t>
            </w:r>
          </w:p>
        </w:tc>
        <w:tc>
          <w:tcPr>
            <w:tcW w:w="80" w:type="dxa"/>
            <w:tcBorders/>
            <w:vAlign w:val="center"/>
          </w:tcPr>
          <w:p>
            <w:pPr>
              <w:pStyle w:val="TableContents"/>
              <w:bidi w:val="0"/>
              <w:spacing w:before="0" w:after="283"/>
              <w:jc w:val="left"/>
              <w:rPr/>
            </w:pPr>
            <w:r>
              <w:rPr/>
              <w:t> </w:t>
            </w:r>
          </w:p>
        </w:tc>
      </w:tr>
      <w:tr>
        <w:trPr/>
        <w:tc>
          <w:tcPr>
            <w:tcW w:w="40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913" w:type="dxa"/>
            <w:tcBorders/>
            <w:vAlign w:val="center"/>
          </w:tcPr>
          <w:p>
            <w:pPr>
              <w:pStyle w:val="TableContents"/>
              <w:bidi w:val="0"/>
              <w:spacing w:before="0" w:after="283"/>
              <w:jc w:val="right"/>
              <w:rPr/>
            </w:pPr>
            <w:r>
              <w:rPr/>
              <w:t>80,463</w:t>
            </w:r>
          </w:p>
        </w:tc>
        <w:tc>
          <w:tcPr>
            <w:tcW w:w="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w:t>
            </w:r>
          </w:p>
        </w:tc>
        <w:tc>
          <w:tcPr>
            <w:tcW w:w="735" w:type="dxa"/>
            <w:tcBorders/>
            <w:vAlign w:val="center"/>
          </w:tcPr>
          <w:p>
            <w:pPr>
              <w:pStyle w:val="TableContents"/>
              <w:bidi w:val="0"/>
              <w:spacing w:before="0" w:after="283"/>
              <w:jc w:val="right"/>
              <w:rPr/>
            </w:pPr>
            <w:r>
              <w:rPr/>
              <w:t>23</w:t>
            </w:r>
          </w:p>
        </w:tc>
        <w:tc>
          <w:tcPr>
            <w:tcW w:w="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w:t>
            </w:r>
          </w:p>
        </w:tc>
        <w:tc>
          <w:tcPr>
            <w:tcW w:w="735" w:type="dxa"/>
            <w:tcBorders/>
            <w:vAlign w:val="center"/>
          </w:tcPr>
          <w:p>
            <w:pPr>
              <w:pStyle w:val="TableContents"/>
              <w:bidi w:val="0"/>
              <w:spacing w:before="0" w:after="283"/>
              <w:jc w:val="right"/>
              <w:rPr/>
            </w:pPr>
            <w:r>
              <w:rPr/>
              <w:t>— </w:t>
            </w:r>
          </w:p>
        </w:tc>
        <w:tc>
          <w:tcPr>
            <w:tcW w:w="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w:t>
            </w:r>
          </w:p>
        </w:tc>
        <w:tc>
          <w:tcPr>
            <w:tcW w:w="471" w:type="dxa"/>
            <w:tcBorders/>
            <w:vAlign w:val="center"/>
          </w:tcPr>
          <w:p>
            <w:pPr>
              <w:pStyle w:val="TableContents"/>
              <w:bidi w:val="0"/>
              <w:spacing w:before="0" w:after="283"/>
              <w:jc w:val="right"/>
              <w:rPr/>
            </w:pPr>
            <w:r>
              <w:rPr/>
              <w:t>— </w:t>
            </w:r>
          </w:p>
        </w:tc>
        <w:tc>
          <w:tcPr>
            <w:tcW w:w="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1" w:type="dxa"/>
            <w:tcBorders/>
            <w:vAlign w:val="center"/>
          </w:tcPr>
          <w:p>
            <w:pPr>
              <w:pStyle w:val="TableContents"/>
              <w:bidi w:val="0"/>
              <w:spacing w:before="0" w:after="283"/>
              <w:jc w:val="right"/>
              <w:rPr/>
            </w:pPr>
            <w:r>
              <w:rPr/>
              <w:t>80,486</w:t>
            </w:r>
          </w:p>
        </w:tc>
        <w:tc>
          <w:tcPr>
            <w:tcW w:w="80" w:type="dxa"/>
            <w:tcBorders/>
            <w:vAlign w:val="center"/>
          </w:tcPr>
          <w:p>
            <w:pPr>
              <w:pStyle w:val="TableContents"/>
              <w:bidi w:val="0"/>
              <w:spacing w:before="0" w:after="283"/>
              <w:jc w:val="left"/>
              <w:rPr/>
            </w:pPr>
            <w:r>
              <w:rPr/>
              <w:t> </w:t>
            </w:r>
          </w:p>
        </w:tc>
      </w:tr>
      <w:tr>
        <w:trPr/>
        <w:tc>
          <w:tcPr>
            <w:tcW w:w="40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single" w:sz="2" w:space="1" w:color="000000"/>
              </w:rPr>
            </w:pPr>
            <w:r>
              <w:rPr>
                <w:bdr w:val="single" w:sz="2" w:space="1" w:color="000000"/>
              </w:rPr>
              <w:t> </w:t>
            </w:r>
          </w:p>
        </w:tc>
        <w:tc>
          <w:tcPr>
            <w:tcW w:w="913" w:type="dxa"/>
            <w:tcBorders/>
            <w:vAlign w:val="center"/>
          </w:tcPr>
          <w:p>
            <w:pPr>
              <w:pStyle w:val="TableContents"/>
              <w:bidi w:val="0"/>
              <w:spacing w:before="0" w:after="0"/>
              <w:jc w:val="left"/>
              <w:rPr>
                <w:bdr w:val="single" w:sz="2" w:space="1" w:color="000000"/>
              </w:rPr>
            </w:pPr>
            <w:r>
              <w:rPr>
                <w:bdr w:val="single" w:sz="2" w:space="1" w:color="000000"/>
              </w:rPr>
              <w:t> </w:t>
            </w:r>
          </w:p>
        </w:tc>
        <w:tc>
          <w:tcPr>
            <w:tcW w:w="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jc w:val="left"/>
              <w:rPr>
                <w:bdr w:val="single" w:sz="2" w:space="1" w:color="000000"/>
              </w:rPr>
            </w:pPr>
            <w:r>
              <w:rPr>
                <w:bdr w:val="single" w:sz="2" w:space="1" w:color="000000"/>
              </w:rPr>
              <w:t> </w:t>
            </w:r>
          </w:p>
        </w:tc>
        <w:tc>
          <w:tcPr>
            <w:tcW w:w="735" w:type="dxa"/>
            <w:tcBorders/>
            <w:vAlign w:val="center"/>
          </w:tcPr>
          <w:p>
            <w:pPr>
              <w:pStyle w:val="TableContents"/>
              <w:bidi w:val="0"/>
              <w:spacing w:before="0" w:after="0"/>
              <w:jc w:val="left"/>
              <w:rPr>
                <w:bdr w:val="single" w:sz="2" w:space="1" w:color="000000"/>
              </w:rPr>
            </w:pPr>
            <w:r>
              <w:rPr>
                <w:bdr w:val="single" w:sz="2" w:space="1" w:color="000000"/>
              </w:rPr>
              <w:t> </w:t>
            </w:r>
          </w:p>
        </w:tc>
        <w:tc>
          <w:tcPr>
            <w:tcW w:w="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jc w:val="left"/>
              <w:rPr>
                <w:bdr w:val="single" w:sz="2" w:space="1" w:color="000000"/>
              </w:rPr>
            </w:pPr>
            <w:r>
              <w:rPr>
                <w:bdr w:val="single" w:sz="2" w:space="1" w:color="000000"/>
              </w:rPr>
              <w:t> </w:t>
            </w:r>
          </w:p>
        </w:tc>
        <w:tc>
          <w:tcPr>
            <w:tcW w:w="735" w:type="dxa"/>
            <w:tcBorders/>
            <w:vAlign w:val="center"/>
          </w:tcPr>
          <w:p>
            <w:pPr>
              <w:pStyle w:val="TableContents"/>
              <w:bidi w:val="0"/>
              <w:spacing w:before="0" w:after="0"/>
              <w:jc w:val="left"/>
              <w:rPr>
                <w:bdr w:val="single" w:sz="2" w:space="1" w:color="000000"/>
              </w:rPr>
            </w:pPr>
            <w:r>
              <w:rPr>
                <w:bdr w:val="single" w:sz="2" w:space="1" w:color="000000"/>
              </w:rPr>
              <w:t> </w:t>
            </w:r>
          </w:p>
        </w:tc>
        <w:tc>
          <w:tcPr>
            <w:tcW w:w="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0"/>
              <w:jc w:val="left"/>
              <w:rPr>
                <w:bdr w:val="single" w:sz="2" w:space="1" w:color="000000"/>
              </w:rPr>
            </w:pPr>
            <w:r>
              <w:rPr>
                <w:bdr w:val="single" w:sz="2" w:space="1" w:color="000000"/>
              </w:rPr>
              <w:t> </w:t>
            </w:r>
          </w:p>
        </w:tc>
        <w:tc>
          <w:tcPr>
            <w:tcW w:w="471" w:type="dxa"/>
            <w:tcBorders/>
            <w:vAlign w:val="center"/>
          </w:tcPr>
          <w:p>
            <w:pPr>
              <w:pStyle w:val="TableContents"/>
              <w:bidi w:val="0"/>
              <w:spacing w:before="0" w:after="0"/>
              <w:jc w:val="left"/>
              <w:rPr>
                <w:bdr w:val="single" w:sz="2" w:space="1" w:color="000000"/>
              </w:rPr>
            </w:pPr>
            <w:r>
              <w:rPr>
                <w:bdr w:val="single" w:sz="2" w:space="1" w:color="000000"/>
              </w:rPr>
              <w:t> </w:t>
            </w:r>
          </w:p>
        </w:tc>
        <w:tc>
          <w:tcPr>
            <w:tcW w:w="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left"/>
              <w:rPr>
                <w:bdr w:val="single" w:sz="2" w:space="1" w:color="000000"/>
              </w:rPr>
            </w:pPr>
            <w:r>
              <w:rPr>
                <w:bdr w:val="single" w:sz="2" w:space="1" w:color="000000"/>
              </w:rPr>
              <w:t> </w:t>
            </w:r>
          </w:p>
        </w:tc>
        <w:tc>
          <w:tcPr>
            <w:tcW w:w="831" w:type="dxa"/>
            <w:tcBorders/>
            <w:vAlign w:val="center"/>
          </w:tcPr>
          <w:p>
            <w:pPr>
              <w:pStyle w:val="TableContents"/>
              <w:bidi w:val="0"/>
              <w:spacing w:before="0" w:after="0"/>
              <w:jc w:val="left"/>
              <w:rPr>
                <w:bdr w:val="single" w:sz="2" w:space="1" w:color="000000"/>
              </w:rPr>
            </w:pPr>
            <w:r>
              <w:rPr>
                <w:bdr w:val="single" w:sz="2" w:space="1" w:color="000000"/>
              </w:rPr>
              <w:t> </w:t>
            </w:r>
          </w:p>
        </w:tc>
        <w:tc>
          <w:tcPr>
            <w:tcW w:w="8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24"/>
        <w:gridCol w:w="120"/>
        <w:gridCol w:w="163"/>
        <w:gridCol w:w="937"/>
        <w:gridCol w:w="68"/>
        <w:gridCol w:w="137"/>
        <w:gridCol w:w="395"/>
        <w:gridCol w:w="735"/>
        <w:gridCol w:w="68"/>
        <w:gridCol w:w="137"/>
        <w:gridCol w:w="333"/>
        <w:gridCol w:w="797"/>
        <w:gridCol w:w="177"/>
        <w:gridCol w:w="68"/>
        <w:gridCol w:w="238"/>
        <w:gridCol w:w="443"/>
        <w:gridCol w:w="68"/>
        <w:gridCol w:w="137"/>
        <w:gridCol w:w="160"/>
        <w:gridCol w:w="918"/>
        <w:gridCol w:w="82"/>
      </w:tblGrid>
      <w:tr>
        <w:trPr/>
        <w:tc>
          <w:tcPr>
            <w:tcW w:w="402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r>
      <w:tr>
        <w:trPr/>
        <w:tc>
          <w:tcPr>
            <w:tcW w:w="402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979" w:type="dxa"/>
            <w:gridSpan w:val="18"/>
            <w:tcBorders>
              <w:bottom w:val="single" w:sz="8" w:space="0" w:color="000000"/>
            </w:tcBorders>
            <w:tcMar>
              <w:bottom w:w="28" w:type="dxa"/>
            </w:tcMar>
            <w:vAlign w:val="center"/>
          </w:tcPr>
          <w:p>
            <w:pPr>
              <w:pStyle w:val="TableContents"/>
              <w:bidi w:val="0"/>
              <w:spacing w:before="0" w:after="0"/>
              <w:jc w:val="center"/>
              <w:rPr>
                <w:b/>
              </w:rPr>
            </w:pPr>
            <w:r>
              <w:rPr>
                <w:b/>
              </w:rPr>
              <w:t>Fair Value Measurements at December 31, 2024</w:t>
            </w:r>
          </w:p>
        </w:tc>
        <w:tc>
          <w:tcPr>
            <w:tcW w:w="82" w:type="dxa"/>
            <w:tcBorders/>
            <w:vAlign w:val="center"/>
          </w:tcPr>
          <w:p>
            <w:pPr>
              <w:pStyle w:val="TableContents"/>
              <w:bidi w:val="0"/>
              <w:spacing w:before="0" w:after="283"/>
              <w:jc w:val="left"/>
              <w:rPr/>
            </w:pPr>
            <w:r>
              <w:rPr/>
              <w:t> </w:t>
            </w:r>
          </w:p>
        </w:tc>
      </w:tr>
      <w:tr>
        <w:trPr/>
        <w:tc>
          <w:tcPr>
            <w:tcW w:w="402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0"/>
              <w:jc w:val="center"/>
              <w:rPr>
                <w:b/>
              </w:rPr>
            </w:pPr>
            <w:r>
              <w:rPr>
                <w:b/>
              </w:rPr>
              <w:t>Amortized</w:t>
              <w:br/>
              <w:t>Cost</w:t>
            </w:r>
          </w:p>
        </w:tc>
        <w:tc>
          <w:tcPr>
            <w:tcW w:w="68"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0"/>
              <w:jc w:val="center"/>
              <w:rPr>
                <w:b/>
              </w:rPr>
            </w:pPr>
            <w:r>
              <w:rPr>
                <w:b/>
              </w:rPr>
              <w:t>Gross</w:t>
              <w:br/>
              <w:t>Unrealized</w:t>
              <w:br/>
              <w:t>Gains</w:t>
            </w:r>
          </w:p>
        </w:tc>
        <w:tc>
          <w:tcPr>
            <w:tcW w:w="68"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0"/>
              <w:jc w:val="center"/>
              <w:rPr>
                <w:b/>
              </w:rPr>
            </w:pPr>
            <w:r>
              <w:rPr>
                <w:b/>
              </w:rPr>
              <w:t>Gross</w:t>
              <w:br/>
              <w:t>Unrealized</w:t>
              <w:br/>
              <w:t>Losses</w:t>
            </w:r>
          </w:p>
        </w:tc>
        <w:tc>
          <w:tcPr>
            <w:tcW w:w="177"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1" w:type="dxa"/>
            <w:gridSpan w:val="2"/>
            <w:tcBorders>
              <w:bottom w:val="single" w:sz="8" w:space="0" w:color="000000"/>
            </w:tcBorders>
            <w:tcMar>
              <w:bottom w:w="28" w:type="dxa"/>
            </w:tcMar>
            <w:vAlign w:val="center"/>
          </w:tcPr>
          <w:p>
            <w:pPr>
              <w:pStyle w:val="TableContents"/>
              <w:bidi w:val="0"/>
              <w:spacing w:before="0" w:after="0"/>
              <w:jc w:val="center"/>
              <w:rPr>
                <w:b/>
              </w:rPr>
            </w:pPr>
            <w:r>
              <w:rPr>
                <w:b/>
              </w:rPr>
              <w:t>Credit</w:t>
              <w:br/>
              <w:t>Losses</w:t>
            </w:r>
          </w:p>
        </w:tc>
        <w:tc>
          <w:tcPr>
            <w:tcW w:w="68"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78" w:type="dxa"/>
            <w:gridSpan w:val="2"/>
            <w:tcBorders>
              <w:bottom w:val="single" w:sz="8" w:space="0" w:color="000000"/>
            </w:tcBorders>
            <w:tcMar>
              <w:bottom w:w="28" w:type="dxa"/>
            </w:tcMar>
            <w:vAlign w:val="center"/>
          </w:tcPr>
          <w:p>
            <w:pPr>
              <w:pStyle w:val="TableContents"/>
              <w:bidi w:val="0"/>
              <w:spacing w:before="0" w:after="0"/>
              <w:jc w:val="center"/>
              <w:rPr>
                <w:b/>
              </w:rPr>
            </w:pPr>
            <w:r>
              <w:rPr>
                <w:b/>
              </w:rPr>
              <w:t>Total</w:t>
            </w:r>
          </w:p>
        </w:tc>
        <w:tc>
          <w:tcPr>
            <w:tcW w:w="82" w:type="dxa"/>
            <w:tcBorders/>
            <w:vAlign w:val="center"/>
          </w:tcPr>
          <w:p>
            <w:pPr>
              <w:pStyle w:val="TableContents"/>
              <w:bidi w:val="0"/>
              <w:spacing w:before="0" w:after="283"/>
              <w:jc w:val="left"/>
              <w:rPr/>
            </w:pPr>
            <w:r>
              <w:rPr/>
              <w:t> </w:t>
            </w:r>
          </w:p>
        </w:tc>
      </w:tr>
      <w:tr>
        <w:trPr/>
        <w:tc>
          <w:tcPr>
            <w:tcW w:w="402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28</w:t>
            </w:r>
          </w:p>
        </w:tc>
        <w:tc>
          <w:tcPr>
            <w:tcW w:w="68"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w:t>
            </w:r>
          </w:p>
        </w:tc>
        <w:tc>
          <w:tcPr>
            <w:tcW w:w="735"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p>
        </w:tc>
        <w:tc>
          <w:tcPr>
            <w:tcW w:w="797" w:type="dxa"/>
            <w:tcBorders/>
            <w:shd w:fill="CCEEFF" w:val="clear"/>
            <w:vAlign w:val="center"/>
          </w:tcPr>
          <w:p>
            <w:pPr>
              <w:pStyle w:val="TableContents"/>
              <w:bidi w:val="0"/>
              <w:spacing w:before="0" w:after="283"/>
              <w:jc w:val="right"/>
              <w:rPr/>
            </w:pPr>
            <w:r>
              <w:rPr/>
              <w:t>— </w:t>
            </w:r>
          </w:p>
        </w:tc>
        <w:tc>
          <w:tcPr>
            <w:tcW w:w="17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443"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918" w:type="dxa"/>
            <w:tcBorders/>
            <w:shd w:fill="CCEEFF" w:val="clear"/>
            <w:vAlign w:val="center"/>
          </w:tcPr>
          <w:p>
            <w:pPr>
              <w:pStyle w:val="TableContents"/>
              <w:bidi w:val="0"/>
              <w:spacing w:before="0" w:after="283"/>
              <w:jc w:val="right"/>
              <w:rPr/>
            </w:pPr>
            <w:r>
              <w:rPr/>
              <w:t>28</w:t>
            </w:r>
          </w:p>
        </w:tc>
        <w:tc>
          <w:tcPr>
            <w:tcW w:w="82" w:type="dxa"/>
            <w:tcBorders/>
            <w:shd w:fill="CCEEFF" w:val="clear"/>
            <w:vAlign w:val="center"/>
          </w:tcPr>
          <w:p>
            <w:pPr>
              <w:pStyle w:val="TableContents"/>
              <w:bidi w:val="0"/>
              <w:spacing w:before="0" w:after="283"/>
              <w:jc w:val="left"/>
              <w:rPr/>
            </w:pPr>
            <w:r>
              <w:rPr/>
              <w:t> </w:t>
            </w:r>
          </w:p>
        </w:tc>
      </w:tr>
      <w:tr>
        <w:trPr/>
        <w:tc>
          <w:tcPr>
            <w:tcW w:w="40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49,733</w:t>
            </w:r>
          </w:p>
        </w:tc>
        <w:tc>
          <w:tcPr>
            <w:tcW w:w="68"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right"/>
              <w:rPr/>
            </w:pPr>
            <w:r>
              <w:rPr/>
              <w:t>— </w:t>
            </w:r>
          </w:p>
        </w:tc>
        <w:tc>
          <w:tcPr>
            <w:tcW w:w="68"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right"/>
              <w:rPr/>
            </w:pPr>
            <w:r>
              <w:rPr/>
              <w:t>— </w:t>
            </w:r>
          </w:p>
        </w:tc>
        <w:tc>
          <w:tcPr>
            <w:tcW w:w="177"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right"/>
              <w:rPr/>
            </w:pPr>
            <w:r>
              <w:rPr/>
              <w:t>— </w:t>
            </w:r>
          </w:p>
        </w:tc>
        <w:tc>
          <w:tcPr>
            <w:tcW w:w="68"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pPr>
            <w:r>
              <w:rPr/>
              <w:t>49,733</w:t>
            </w:r>
          </w:p>
        </w:tc>
        <w:tc>
          <w:tcPr>
            <w:tcW w:w="82" w:type="dxa"/>
            <w:tcBorders/>
            <w:vAlign w:val="center"/>
          </w:tcPr>
          <w:p>
            <w:pPr>
              <w:pStyle w:val="TableContents"/>
              <w:bidi w:val="0"/>
              <w:spacing w:before="0" w:after="283"/>
              <w:jc w:val="left"/>
              <w:rPr/>
            </w:pPr>
            <w:r>
              <w:rPr/>
              <w:t> </w:t>
            </w:r>
          </w:p>
        </w:tc>
      </w:tr>
      <w:tr>
        <w:trPr/>
        <w:tc>
          <w:tcPr>
            <w:tcW w:w="402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U.S. Treasuries</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118,536</w:t>
            </w:r>
          </w:p>
        </w:tc>
        <w:tc>
          <w:tcPr>
            <w:tcW w:w="68"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30</w:t>
            </w:r>
          </w:p>
        </w:tc>
        <w:tc>
          <w:tcPr>
            <w:tcW w:w="68"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right"/>
              <w:rPr/>
            </w:pPr>
            <w:r>
              <w:rPr/>
              <w:t>(57</w:t>
            </w:r>
          </w:p>
        </w:tc>
        <w:tc>
          <w:tcPr>
            <w:tcW w:w="17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118,509</w:t>
            </w:r>
          </w:p>
        </w:tc>
        <w:tc>
          <w:tcPr>
            <w:tcW w:w="82" w:type="dxa"/>
            <w:tcBorders/>
            <w:shd w:fill="CCEEFF" w:val="clear"/>
            <w:vAlign w:val="center"/>
          </w:tcPr>
          <w:p>
            <w:pPr>
              <w:pStyle w:val="TableContents"/>
              <w:bidi w:val="0"/>
              <w:spacing w:before="0" w:after="283"/>
              <w:jc w:val="left"/>
              <w:rPr/>
            </w:pPr>
            <w:r>
              <w:rPr/>
              <w:t> </w:t>
            </w:r>
          </w:p>
        </w:tc>
      </w:tr>
      <w:tr>
        <w:trPr/>
        <w:tc>
          <w:tcPr>
            <w:tcW w:w="402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937" w:type="dxa"/>
            <w:tcBorders/>
            <w:vAlign w:val="center"/>
          </w:tcPr>
          <w:p>
            <w:pPr>
              <w:pStyle w:val="TableContents"/>
              <w:bidi w:val="0"/>
              <w:spacing w:before="0" w:after="0"/>
              <w:jc w:val="left"/>
              <w:rPr>
                <w:bdr w:val="single" w:sz="2" w:space="1" w:color="000000"/>
              </w:rPr>
            </w:pPr>
            <w:r>
              <w:rPr>
                <w:bdr w:val="single" w:sz="2" w:space="1" w:color="000000"/>
              </w:rPr>
              <w:t> </w:t>
            </w:r>
          </w:p>
        </w:tc>
        <w:tc>
          <w:tcPr>
            <w:tcW w:w="68"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jc w:val="left"/>
              <w:rPr>
                <w:bdr w:val="single" w:sz="2" w:space="1" w:color="000000"/>
              </w:rPr>
            </w:pPr>
            <w:r>
              <w:rPr>
                <w:bdr w:val="single" w:sz="2" w:space="1" w:color="000000"/>
              </w:rPr>
              <w:t> </w:t>
            </w:r>
          </w:p>
        </w:tc>
        <w:tc>
          <w:tcPr>
            <w:tcW w:w="735" w:type="dxa"/>
            <w:tcBorders/>
            <w:vAlign w:val="center"/>
          </w:tcPr>
          <w:p>
            <w:pPr>
              <w:pStyle w:val="TableContents"/>
              <w:bidi w:val="0"/>
              <w:spacing w:before="0" w:after="0"/>
              <w:jc w:val="left"/>
              <w:rPr>
                <w:bdr w:val="single" w:sz="2" w:space="1" w:color="000000"/>
              </w:rPr>
            </w:pPr>
            <w:r>
              <w:rPr>
                <w:bdr w:val="single" w:sz="2" w:space="1" w:color="000000"/>
              </w:rPr>
              <w:t> </w:t>
            </w:r>
          </w:p>
        </w:tc>
        <w:tc>
          <w:tcPr>
            <w:tcW w:w="68"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bdr w:val="single" w:sz="2" w:space="1" w:color="000000"/>
              </w:rPr>
            </w:pPr>
            <w:r>
              <w:rPr>
                <w:bdr w:val="single" w:sz="2" w:space="1" w:color="000000"/>
              </w:rPr>
              <w:t> </w:t>
            </w:r>
          </w:p>
        </w:tc>
        <w:tc>
          <w:tcPr>
            <w:tcW w:w="797" w:type="dxa"/>
            <w:tcBorders/>
            <w:vAlign w:val="center"/>
          </w:tcPr>
          <w:p>
            <w:pPr>
              <w:pStyle w:val="TableContents"/>
              <w:bidi w:val="0"/>
              <w:spacing w:before="0" w:after="0"/>
              <w:jc w:val="left"/>
              <w:rPr>
                <w:bdr w:val="single" w:sz="2" w:space="1" w:color="000000"/>
              </w:rPr>
            </w:pPr>
            <w:r>
              <w:rPr>
                <w:bdr w:val="single" w:sz="2" w:space="1" w:color="000000"/>
              </w:rPr>
              <w:t> </w:t>
            </w:r>
          </w:p>
        </w:tc>
        <w:tc>
          <w:tcPr>
            <w:tcW w:w="177"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0"/>
              <w:jc w:val="left"/>
              <w:rPr>
                <w:bdr w:val="single" w:sz="2" w:space="1" w:color="000000"/>
              </w:rPr>
            </w:pPr>
            <w:r>
              <w:rPr>
                <w:bdr w:val="single" w:sz="2" w:space="1" w:color="000000"/>
              </w:rPr>
              <w:t> </w:t>
            </w:r>
          </w:p>
        </w:tc>
        <w:tc>
          <w:tcPr>
            <w:tcW w:w="443" w:type="dxa"/>
            <w:tcBorders/>
            <w:vAlign w:val="center"/>
          </w:tcPr>
          <w:p>
            <w:pPr>
              <w:pStyle w:val="TableContents"/>
              <w:bidi w:val="0"/>
              <w:spacing w:before="0" w:after="0"/>
              <w:jc w:val="left"/>
              <w:rPr>
                <w:bdr w:val="single" w:sz="2" w:space="1" w:color="000000"/>
              </w:rPr>
            </w:pPr>
            <w:r>
              <w:rPr>
                <w:bdr w:val="single" w:sz="2" w:space="1" w:color="000000"/>
              </w:rPr>
              <w:t> </w:t>
            </w:r>
          </w:p>
        </w:tc>
        <w:tc>
          <w:tcPr>
            <w:tcW w:w="68"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single" w:sz="2" w:space="1" w:color="000000"/>
              </w:rPr>
            </w:pPr>
            <w:r>
              <w:rPr>
                <w:bdr w:val="single" w:sz="2" w:space="1" w:color="000000"/>
              </w:rPr>
              <w:t> </w:t>
            </w:r>
          </w:p>
        </w:tc>
        <w:tc>
          <w:tcPr>
            <w:tcW w:w="918" w:type="dxa"/>
            <w:tcBorders/>
            <w:vAlign w:val="center"/>
          </w:tcPr>
          <w:p>
            <w:pPr>
              <w:pStyle w:val="TableContents"/>
              <w:bidi w:val="0"/>
              <w:spacing w:before="0" w:after="0"/>
              <w:jc w:val="left"/>
              <w:rPr>
                <w:bdr w:val="single" w:sz="2" w:space="1" w:color="000000"/>
              </w:rPr>
            </w:pPr>
            <w:r>
              <w:rPr>
                <w:bdr w:val="single" w:sz="2" w:space="1" w:color="000000"/>
              </w:rPr>
              <w:t> </w:t>
            </w:r>
          </w:p>
        </w:tc>
        <w:tc>
          <w:tcPr>
            <w:tcW w:w="82" w:type="dxa"/>
            <w:tcBorders/>
            <w:vAlign w:val="center"/>
          </w:tcPr>
          <w:p>
            <w:pPr>
              <w:pStyle w:val="TableContents"/>
              <w:bidi w:val="0"/>
              <w:spacing w:before="0" w:after="283"/>
              <w:jc w:val="left"/>
              <w:rPr/>
            </w:pPr>
            <w:r>
              <w:rPr/>
              <w:t> </w:t>
            </w:r>
          </w:p>
        </w:tc>
      </w:tr>
      <w:tr>
        <w:trPr/>
        <w:tc>
          <w:tcPr>
            <w:tcW w:w="40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cash, cash equivalents, and marketable securities</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168,297</w:t>
            </w:r>
          </w:p>
        </w:tc>
        <w:tc>
          <w:tcPr>
            <w:tcW w:w="68"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w:t>
            </w:r>
          </w:p>
        </w:tc>
        <w:tc>
          <w:tcPr>
            <w:tcW w:w="735" w:type="dxa"/>
            <w:tcBorders/>
            <w:vAlign w:val="center"/>
          </w:tcPr>
          <w:p>
            <w:pPr>
              <w:pStyle w:val="TableContents"/>
              <w:bidi w:val="0"/>
              <w:spacing w:before="0" w:after="283"/>
              <w:jc w:val="right"/>
              <w:rPr/>
            </w:pPr>
            <w:r>
              <w:rPr/>
              <w:t>30</w:t>
            </w:r>
          </w:p>
        </w:tc>
        <w:tc>
          <w:tcPr>
            <w:tcW w:w="68"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w:t>
            </w:r>
          </w:p>
        </w:tc>
        <w:tc>
          <w:tcPr>
            <w:tcW w:w="797" w:type="dxa"/>
            <w:tcBorders/>
            <w:vAlign w:val="center"/>
          </w:tcPr>
          <w:p>
            <w:pPr>
              <w:pStyle w:val="TableContents"/>
              <w:bidi w:val="0"/>
              <w:spacing w:before="0" w:after="283"/>
              <w:jc w:val="right"/>
              <w:rPr/>
            </w:pPr>
            <w:r>
              <w:rPr/>
              <w:t>(57</w:t>
            </w:r>
          </w:p>
        </w:tc>
        <w:tc>
          <w:tcPr>
            <w:tcW w:w="177"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w:t>
            </w:r>
          </w:p>
        </w:tc>
        <w:tc>
          <w:tcPr>
            <w:tcW w:w="443" w:type="dxa"/>
            <w:tcBorders/>
            <w:vAlign w:val="center"/>
          </w:tcPr>
          <w:p>
            <w:pPr>
              <w:pStyle w:val="TableContents"/>
              <w:bidi w:val="0"/>
              <w:spacing w:before="0" w:after="283"/>
              <w:jc w:val="right"/>
              <w:rPr/>
            </w:pPr>
            <w:r>
              <w:rPr/>
              <w:t>— </w:t>
            </w:r>
          </w:p>
        </w:tc>
        <w:tc>
          <w:tcPr>
            <w:tcW w:w="68"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w:t>
            </w:r>
          </w:p>
        </w:tc>
        <w:tc>
          <w:tcPr>
            <w:tcW w:w="918" w:type="dxa"/>
            <w:tcBorders/>
            <w:vAlign w:val="center"/>
          </w:tcPr>
          <w:p>
            <w:pPr>
              <w:pStyle w:val="TableContents"/>
              <w:bidi w:val="0"/>
              <w:spacing w:before="0" w:after="283"/>
              <w:jc w:val="right"/>
              <w:rPr/>
            </w:pPr>
            <w:r>
              <w:rPr/>
              <w:t>168,270</w:t>
            </w:r>
          </w:p>
        </w:tc>
        <w:tc>
          <w:tcPr>
            <w:tcW w:w="82" w:type="dxa"/>
            <w:tcBorders/>
            <w:vAlign w:val="center"/>
          </w:tcPr>
          <w:p>
            <w:pPr>
              <w:pStyle w:val="TableContents"/>
              <w:bidi w:val="0"/>
              <w:spacing w:before="0" w:after="283"/>
              <w:jc w:val="left"/>
              <w:rPr/>
            </w:pPr>
            <w:r>
              <w:rPr/>
              <w:t> </w:t>
            </w:r>
          </w:p>
        </w:tc>
      </w:tr>
      <w:tr>
        <w:trPr/>
        <w:tc>
          <w:tcPr>
            <w:tcW w:w="402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937" w:type="dxa"/>
            <w:tcBorders/>
            <w:vAlign w:val="center"/>
          </w:tcPr>
          <w:p>
            <w:pPr>
              <w:pStyle w:val="TableContents"/>
              <w:bidi w:val="0"/>
              <w:spacing w:before="0" w:after="0"/>
              <w:jc w:val="left"/>
              <w:rPr>
                <w:bdr w:val="single" w:sz="2" w:space="1" w:color="000000"/>
              </w:rPr>
            </w:pPr>
            <w:r>
              <w:rPr>
                <w:bdr w:val="single" w:sz="2" w:space="1" w:color="000000"/>
              </w:rPr>
              <w:t> </w:t>
            </w:r>
          </w:p>
        </w:tc>
        <w:tc>
          <w:tcPr>
            <w:tcW w:w="68"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jc w:val="left"/>
              <w:rPr>
                <w:bdr w:val="single" w:sz="2" w:space="1" w:color="000000"/>
              </w:rPr>
            </w:pPr>
            <w:r>
              <w:rPr>
                <w:bdr w:val="single" w:sz="2" w:space="1" w:color="000000"/>
              </w:rPr>
              <w:t> </w:t>
            </w:r>
          </w:p>
        </w:tc>
        <w:tc>
          <w:tcPr>
            <w:tcW w:w="735" w:type="dxa"/>
            <w:tcBorders/>
            <w:vAlign w:val="center"/>
          </w:tcPr>
          <w:p>
            <w:pPr>
              <w:pStyle w:val="TableContents"/>
              <w:bidi w:val="0"/>
              <w:spacing w:before="0" w:after="0"/>
              <w:jc w:val="left"/>
              <w:rPr>
                <w:bdr w:val="single" w:sz="2" w:space="1" w:color="000000"/>
              </w:rPr>
            </w:pPr>
            <w:r>
              <w:rPr>
                <w:bdr w:val="single" w:sz="2" w:space="1" w:color="000000"/>
              </w:rPr>
              <w:t> </w:t>
            </w:r>
          </w:p>
        </w:tc>
        <w:tc>
          <w:tcPr>
            <w:tcW w:w="68"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bdr w:val="single" w:sz="2" w:space="1" w:color="000000"/>
              </w:rPr>
            </w:pPr>
            <w:r>
              <w:rPr>
                <w:bdr w:val="single" w:sz="2" w:space="1" w:color="000000"/>
              </w:rPr>
              <w:t> </w:t>
            </w:r>
          </w:p>
        </w:tc>
        <w:tc>
          <w:tcPr>
            <w:tcW w:w="797" w:type="dxa"/>
            <w:tcBorders/>
            <w:vAlign w:val="center"/>
          </w:tcPr>
          <w:p>
            <w:pPr>
              <w:pStyle w:val="TableContents"/>
              <w:bidi w:val="0"/>
              <w:spacing w:before="0" w:after="0"/>
              <w:jc w:val="left"/>
              <w:rPr>
                <w:bdr w:val="single" w:sz="2" w:space="1" w:color="000000"/>
              </w:rPr>
            </w:pPr>
            <w:r>
              <w:rPr>
                <w:bdr w:val="single" w:sz="2" w:space="1" w:color="000000"/>
              </w:rPr>
              <w:t> </w:t>
            </w:r>
          </w:p>
        </w:tc>
        <w:tc>
          <w:tcPr>
            <w:tcW w:w="177"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0"/>
              <w:jc w:val="left"/>
              <w:rPr>
                <w:bdr w:val="single" w:sz="2" w:space="1" w:color="000000"/>
              </w:rPr>
            </w:pPr>
            <w:r>
              <w:rPr>
                <w:bdr w:val="single" w:sz="2" w:space="1" w:color="000000"/>
              </w:rPr>
              <w:t> </w:t>
            </w:r>
          </w:p>
        </w:tc>
        <w:tc>
          <w:tcPr>
            <w:tcW w:w="443" w:type="dxa"/>
            <w:tcBorders/>
            <w:vAlign w:val="center"/>
          </w:tcPr>
          <w:p>
            <w:pPr>
              <w:pStyle w:val="TableContents"/>
              <w:bidi w:val="0"/>
              <w:spacing w:before="0" w:after="0"/>
              <w:jc w:val="left"/>
              <w:rPr>
                <w:bdr w:val="single" w:sz="2" w:space="1" w:color="000000"/>
              </w:rPr>
            </w:pPr>
            <w:r>
              <w:rPr>
                <w:bdr w:val="single" w:sz="2" w:space="1" w:color="000000"/>
              </w:rPr>
              <w:t> </w:t>
            </w:r>
          </w:p>
        </w:tc>
        <w:tc>
          <w:tcPr>
            <w:tcW w:w="68"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single" w:sz="2" w:space="1" w:color="000000"/>
              </w:rPr>
            </w:pPr>
            <w:r>
              <w:rPr>
                <w:bdr w:val="single" w:sz="2" w:space="1" w:color="000000"/>
              </w:rPr>
              <w:t> </w:t>
            </w:r>
          </w:p>
        </w:tc>
        <w:tc>
          <w:tcPr>
            <w:tcW w:w="918" w:type="dxa"/>
            <w:tcBorders/>
            <w:vAlign w:val="center"/>
          </w:tcPr>
          <w:p>
            <w:pPr>
              <w:pStyle w:val="TableContents"/>
              <w:bidi w:val="0"/>
              <w:spacing w:before="0" w:after="0"/>
              <w:jc w:val="left"/>
              <w:rPr>
                <w:bdr w:val="single" w:sz="2" w:space="1" w:color="000000"/>
              </w:rPr>
            </w:pPr>
            <w:r>
              <w:rPr>
                <w:bdr w:val="single" w:sz="2" w:space="1" w:color="000000"/>
              </w:rPr>
              <w:t> </w:t>
            </w:r>
          </w:p>
        </w:tc>
        <w:tc>
          <w:tcPr>
            <w:tcW w:w="82" w:type="dxa"/>
            <w:tcBorders/>
            <w:vAlign w:val="center"/>
          </w:tcPr>
          <w:p>
            <w:pPr>
              <w:pStyle w:val="TableContents"/>
              <w:bidi w:val="0"/>
              <w:spacing w:before="0" w:after="283"/>
              <w:jc w:val="left"/>
              <w:rPr/>
            </w:pPr>
            <w:r>
              <w:rPr/>
              <w:t> </w:t>
            </w:r>
          </w:p>
        </w:tc>
      </w:tr>
      <w:tr>
        <w:trPr/>
        <w:tc>
          <w:tcPr>
            <w:tcW w:w="402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 reported:</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937" w:type="dxa"/>
            <w:tcBorders/>
            <w:shd w:fill="CCEEFF" w:val="clear"/>
            <w:vAlign w:val="center"/>
          </w:tcPr>
          <w:p>
            <w:pPr>
              <w:pStyle w:val="TableContents"/>
              <w:bidi w:val="0"/>
              <w:spacing w:before="0" w:after="283"/>
              <w:jc w:val="left"/>
              <w:rPr>
                <w:sz w:val="4"/>
                <w:szCs w:val="4"/>
              </w:rPr>
            </w:pPr>
            <w:r>
              <w:rPr>
                <w:sz w:val="4"/>
                <w:szCs w:val="4"/>
              </w:rPr>
            </w:r>
          </w:p>
        </w:tc>
        <w:tc>
          <w:tcPr>
            <w:tcW w:w="68" w:type="dxa"/>
            <w:tcBorders/>
            <w:shd w:fill="CCEEFF" w:val="clear"/>
            <w:vAlign w:val="center"/>
          </w:tcPr>
          <w:p>
            <w:pPr>
              <w:pStyle w:val="TableContents"/>
              <w:bidi w:val="0"/>
              <w:spacing w:before="0" w:after="283"/>
              <w:jc w:val="left"/>
              <w:rPr>
                <w:sz w:val="4"/>
                <w:szCs w:val="4"/>
              </w:rPr>
            </w:pPr>
            <w:r>
              <w:rPr>
                <w:sz w:val="4"/>
                <w:szCs w:val="4"/>
              </w:rPr>
            </w:r>
          </w:p>
        </w:tc>
        <w:tc>
          <w:tcPr>
            <w:tcW w:w="137"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sz w:val="4"/>
                <w:szCs w:val="4"/>
              </w:rPr>
            </w:pPr>
            <w:r>
              <w:rPr>
                <w:sz w:val="4"/>
                <w:szCs w:val="4"/>
              </w:rPr>
            </w:r>
          </w:p>
        </w:tc>
        <w:tc>
          <w:tcPr>
            <w:tcW w:w="735" w:type="dxa"/>
            <w:tcBorders/>
            <w:shd w:fill="CCEEFF" w:val="clear"/>
            <w:vAlign w:val="center"/>
          </w:tcPr>
          <w:p>
            <w:pPr>
              <w:pStyle w:val="TableContents"/>
              <w:bidi w:val="0"/>
              <w:spacing w:before="0" w:after="283"/>
              <w:jc w:val="left"/>
              <w:rPr>
                <w:sz w:val="4"/>
                <w:szCs w:val="4"/>
              </w:rPr>
            </w:pPr>
            <w:r>
              <w:rPr>
                <w:sz w:val="4"/>
                <w:szCs w:val="4"/>
              </w:rPr>
            </w:r>
          </w:p>
        </w:tc>
        <w:tc>
          <w:tcPr>
            <w:tcW w:w="68" w:type="dxa"/>
            <w:tcBorders/>
            <w:shd w:fill="CCEEFF" w:val="clear"/>
            <w:vAlign w:val="center"/>
          </w:tcPr>
          <w:p>
            <w:pPr>
              <w:pStyle w:val="TableContents"/>
              <w:bidi w:val="0"/>
              <w:spacing w:before="0" w:after="283"/>
              <w:jc w:val="left"/>
              <w:rPr>
                <w:sz w:val="4"/>
                <w:szCs w:val="4"/>
              </w:rPr>
            </w:pPr>
            <w:r>
              <w:rPr>
                <w:sz w:val="4"/>
                <w:szCs w:val="4"/>
              </w:rPr>
            </w:r>
          </w:p>
        </w:tc>
        <w:tc>
          <w:tcPr>
            <w:tcW w:w="137"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sz w:val="4"/>
                <w:szCs w:val="4"/>
              </w:rPr>
            </w:pPr>
            <w:r>
              <w:rPr>
                <w:sz w:val="4"/>
                <w:szCs w:val="4"/>
              </w:rPr>
            </w:r>
          </w:p>
        </w:tc>
        <w:tc>
          <w:tcPr>
            <w:tcW w:w="797" w:type="dxa"/>
            <w:tcBorders/>
            <w:shd w:fill="CCEEFF" w:val="clear"/>
            <w:vAlign w:val="center"/>
          </w:tcPr>
          <w:p>
            <w:pPr>
              <w:pStyle w:val="TableContents"/>
              <w:bidi w:val="0"/>
              <w:spacing w:before="0" w:after="283"/>
              <w:jc w:val="left"/>
              <w:rPr>
                <w:sz w:val="4"/>
                <w:szCs w:val="4"/>
              </w:rPr>
            </w:pPr>
            <w:r>
              <w:rPr>
                <w:sz w:val="4"/>
                <w:szCs w:val="4"/>
              </w:rPr>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68"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sz w:val="4"/>
                <w:szCs w:val="4"/>
              </w:rPr>
            </w:pPr>
            <w:r>
              <w:rPr>
                <w:sz w:val="4"/>
                <w:szCs w:val="4"/>
              </w:rPr>
            </w:r>
          </w:p>
        </w:tc>
        <w:tc>
          <w:tcPr>
            <w:tcW w:w="443" w:type="dxa"/>
            <w:tcBorders/>
            <w:shd w:fill="CCEEFF" w:val="clear"/>
            <w:vAlign w:val="center"/>
          </w:tcPr>
          <w:p>
            <w:pPr>
              <w:pStyle w:val="TableContents"/>
              <w:bidi w:val="0"/>
              <w:spacing w:before="0" w:after="283"/>
              <w:jc w:val="left"/>
              <w:rPr>
                <w:sz w:val="4"/>
                <w:szCs w:val="4"/>
              </w:rPr>
            </w:pPr>
            <w:r>
              <w:rPr>
                <w:sz w:val="4"/>
                <w:szCs w:val="4"/>
              </w:rPr>
            </w:r>
          </w:p>
        </w:tc>
        <w:tc>
          <w:tcPr>
            <w:tcW w:w="68" w:type="dxa"/>
            <w:tcBorders/>
            <w:shd w:fill="CCEEFF" w:val="clear"/>
            <w:vAlign w:val="center"/>
          </w:tcPr>
          <w:p>
            <w:pPr>
              <w:pStyle w:val="TableContents"/>
              <w:bidi w:val="0"/>
              <w:spacing w:before="0" w:after="283"/>
              <w:jc w:val="left"/>
              <w:rPr>
                <w:sz w:val="4"/>
                <w:szCs w:val="4"/>
              </w:rPr>
            </w:pPr>
            <w:r>
              <w:rPr>
                <w:sz w:val="4"/>
                <w:szCs w:val="4"/>
              </w:rPr>
            </w:r>
          </w:p>
        </w:tc>
        <w:tc>
          <w:tcPr>
            <w:tcW w:w="13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sz w:val="4"/>
                <w:szCs w:val="4"/>
              </w:rPr>
            </w:pPr>
            <w:r>
              <w:rPr>
                <w:sz w:val="4"/>
                <w:szCs w:val="4"/>
              </w:rPr>
            </w:r>
          </w:p>
        </w:tc>
        <w:tc>
          <w:tcPr>
            <w:tcW w:w="918" w:type="dxa"/>
            <w:tcBorders/>
            <w:shd w:fill="CCEEFF" w:val="clear"/>
            <w:vAlign w:val="center"/>
          </w:tcPr>
          <w:p>
            <w:pPr>
              <w:pStyle w:val="TableContents"/>
              <w:bidi w:val="0"/>
              <w:spacing w:before="0" w:after="283"/>
              <w:jc w:val="left"/>
              <w:rPr>
                <w:sz w:val="4"/>
                <w:szCs w:val="4"/>
              </w:rPr>
            </w:pPr>
            <w:r>
              <w:rPr>
                <w:sz w:val="4"/>
                <w:szCs w:val="4"/>
              </w:rPr>
            </w:r>
          </w:p>
        </w:tc>
        <w:tc>
          <w:tcPr>
            <w:tcW w:w="82" w:type="dxa"/>
            <w:tcBorders/>
            <w:shd w:fill="CCEEFF" w:val="clear"/>
            <w:vAlign w:val="center"/>
          </w:tcPr>
          <w:p>
            <w:pPr>
              <w:pStyle w:val="TableContents"/>
              <w:bidi w:val="0"/>
              <w:spacing w:before="0" w:after="283"/>
              <w:jc w:val="left"/>
              <w:rPr>
                <w:sz w:val="4"/>
                <w:szCs w:val="4"/>
              </w:rPr>
            </w:pPr>
            <w:r>
              <w:rPr>
                <w:sz w:val="4"/>
                <w:szCs w:val="4"/>
              </w:rPr>
            </w:r>
          </w:p>
        </w:tc>
      </w:tr>
      <w:tr>
        <w:trPr/>
        <w:tc>
          <w:tcPr>
            <w:tcW w:w="40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49,761</w:t>
            </w:r>
          </w:p>
        </w:tc>
        <w:tc>
          <w:tcPr>
            <w:tcW w:w="68"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w:t>
            </w:r>
          </w:p>
        </w:tc>
        <w:tc>
          <w:tcPr>
            <w:tcW w:w="735" w:type="dxa"/>
            <w:tcBorders/>
            <w:vAlign w:val="center"/>
          </w:tcPr>
          <w:p>
            <w:pPr>
              <w:pStyle w:val="TableContents"/>
              <w:bidi w:val="0"/>
              <w:spacing w:before="0" w:after="283"/>
              <w:jc w:val="right"/>
              <w:rPr/>
            </w:pPr>
            <w:r>
              <w:rPr/>
              <w:t>— </w:t>
            </w:r>
          </w:p>
        </w:tc>
        <w:tc>
          <w:tcPr>
            <w:tcW w:w="68"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w:t>
            </w:r>
          </w:p>
        </w:tc>
        <w:tc>
          <w:tcPr>
            <w:tcW w:w="797" w:type="dxa"/>
            <w:tcBorders/>
            <w:vAlign w:val="center"/>
          </w:tcPr>
          <w:p>
            <w:pPr>
              <w:pStyle w:val="TableContents"/>
              <w:bidi w:val="0"/>
              <w:spacing w:before="0" w:after="283"/>
              <w:jc w:val="right"/>
              <w:rPr/>
            </w:pPr>
            <w:r>
              <w:rPr/>
              <w:t>— </w:t>
            </w:r>
          </w:p>
        </w:tc>
        <w:tc>
          <w:tcPr>
            <w:tcW w:w="177"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w:t>
            </w:r>
          </w:p>
        </w:tc>
        <w:tc>
          <w:tcPr>
            <w:tcW w:w="443" w:type="dxa"/>
            <w:tcBorders/>
            <w:vAlign w:val="center"/>
          </w:tcPr>
          <w:p>
            <w:pPr>
              <w:pStyle w:val="TableContents"/>
              <w:bidi w:val="0"/>
              <w:spacing w:before="0" w:after="283"/>
              <w:jc w:val="right"/>
              <w:rPr/>
            </w:pPr>
            <w:r>
              <w:rPr/>
              <w:t>— </w:t>
            </w:r>
          </w:p>
        </w:tc>
        <w:tc>
          <w:tcPr>
            <w:tcW w:w="68"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w:t>
            </w:r>
          </w:p>
        </w:tc>
        <w:tc>
          <w:tcPr>
            <w:tcW w:w="918" w:type="dxa"/>
            <w:tcBorders/>
            <w:vAlign w:val="center"/>
          </w:tcPr>
          <w:p>
            <w:pPr>
              <w:pStyle w:val="TableContents"/>
              <w:bidi w:val="0"/>
              <w:spacing w:before="0" w:after="283"/>
              <w:jc w:val="right"/>
              <w:rPr/>
            </w:pPr>
            <w:r>
              <w:rPr/>
              <w:t>49,761</w:t>
            </w:r>
          </w:p>
        </w:tc>
        <w:tc>
          <w:tcPr>
            <w:tcW w:w="82" w:type="dxa"/>
            <w:tcBorders/>
            <w:vAlign w:val="center"/>
          </w:tcPr>
          <w:p>
            <w:pPr>
              <w:pStyle w:val="TableContents"/>
              <w:bidi w:val="0"/>
              <w:spacing w:before="0" w:after="283"/>
              <w:jc w:val="left"/>
              <w:rPr/>
            </w:pPr>
            <w:r>
              <w:rPr/>
              <w:t> </w:t>
            </w:r>
          </w:p>
        </w:tc>
      </w:tr>
      <w:tr>
        <w:trPr/>
        <w:tc>
          <w:tcPr>
            <w:tcW w:w="402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118,536</w:t>
            </w:r>
          </w:p>
        </w:tc>
        <w:tc>
          <w:tcPr>
            <w:tcW w:w="68"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30</w:t>
            </w:r>
          </w:p>
        </w:tc>
        <w:tc>
          <w:tcPr>
            <w:tcW w:w="68"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right"/>
              <w:rPr/>
            </w:pPr>
            <w:r>
              <w:rPr/>
              <w:t>(57</w:t>
            </w:r>
          </w:p>
        </w:tc>
        <w:tc>
          <w:tcPr>
            <w:tcW w:w="17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118,509</w:t>
            </w:r>
          </w:p>
        </w:tc>
        <w:tc>
          <w:tcPr>
            <w:tcW w:w="82" w:type="dxa"/>
            <w:tcBorders/>
            <w:shd w:fill="CCEEFF" w:val="clear"/>
            <w:vAlign w:val="center"/>
          </w:tcPr>
          <w:p>
            <w:pPr>
              <w:pStyle w:val="TableContents"/>
              <w:bidi w:val="0"/>
              <w:spacing w:before="0" w:after="283"/>
              <w:jc w:val="left"/>
              <w:rPr/>
            </w:pPr>
            <w:r>
              <w:rPr/>
              <w:t> </w:t>
            </w:r>
          </w:p>
        </w:tc>
      </w:tr>
      <w:tr>
        <w:trPr/>
        <w:tc>
          <w:tcPr>
            <w:tcW w:w="402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937" w:type="dxa"/>
            <w:tcBorders/>
            <w:vAlign w:val="center"/>
          </w:tcPr>
          <w:p>
            <w:pPr>
              <w:pStyle w:val="TableContents"/>
              <w:bidi w:val="0"/>
              <w:spacing w:before="0" w:after="0"/>
              <w:jc w:val="left"/>
              <w:rPr>
                <w:bdr w:val="single" w:sz="2" w:space="1" w:color="000000"/>
              </w:rPr>
            </w:pPr>
            <w:r>
              <w:rPr>
                <w:bdr w:val="single" w:sz="2" w:space="1" w:color="000000"/>
              </w:rPr>
              <w:t> </w:t>
            </w:r>
          </w:p>
        </w:tc>
        <w:tc>
          <w:tcPr>
            <w:tcW w:w="68"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jc w:val="left"/>
              <w:rPr>
                <w:bdr w:val="single" w:sz="2" w:space="1" w:color="000000"/>
              </w:rPr>
            </w:pPr>
            <w:r>
              <w:rPr>
                <w:bdr w:val="single" w:sz="2" w:space="1" w:color="000000"/>
              </w:rPr>
              <w:t> </w:t>
            </w:r>
          </w:p>
        </w:tc>
        <w:tc>
          <w:tcPr>
            <w:tcW w:w="735" w:type="dxa"/>
            <w:tcBorders/>
            <w:vAlign w:val="center"/>
          </w:tcPr>
          <w:p>
            <w:pPr>
              <w:pStyle w:val="TableContents"/>
              <w:bidi w:val="0"/>
              <w:spacing w:before="0" w:after="0"/>
              <w:jc w:val="left"/>
              <w:rPr>
                <w:bdr w:val="single" w:sz="2" w:space="1" w:color="000000"/>
              </w:rPr>
            </w:pPr>
            <w:r>
              <w:rPr>
                <w:bdr w:val="single" w:sz="2" w:space="1" w:color="000000"/>
              </w:rPr>
              <w:t> </w:t>
            </w:r>
          </w:p>
        </w:tc>
        <w:tc>
          <w:tcPr>
            <w:tcW w:w="68"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bdr w:val="single" w:sz="2" w:space="1" w:color="000000"/>
              </w:rPr>
            </w:pPr>
            <w:r>
              <w:rPr>
                <w:bdr w:val="single" w:sz="2" w:space="1" w:color="000000"/>
              </w:rPr>
              <w:t> </w:t>
            </w:r>
          </w:p>
        </w:tc>
        <w:tc>
          <w:tcPr>
            <w:tcW w:w="797" w:type="dxa"/>
            <w:tcBorders/>
            <w:vAlign w:val="center"/>
          </w:tcPr>
          <w:p>
            <w:pPr>
              <w:pStyle w:val="TableContents"/>
              <w:bidi w:val="0"/>
              <w:spacing w:before="0" w:after="0"/>
              <w:jc w:val="left"/>
              <w:rPr>
                <w:bdr w:val="single" w:sz="2" w:space="1" w:color="000000"/>
              </w:rPr>
            </w:pPr>
            <w:r>
              <w:rPr>
                <w:bdr w:val="single" w:sz="2" w:space="1" w:color="000000"/>
              </w:rPr>
              <w:t> </w:t>
            </w:r>
          </w:p>
        </w:tc>
        <w:tc>
          <w:tcPr>
            <w:tcW w:w="177"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0"/>
              <w:jc w:val="left"/>
              <w:rPr>
                <w:bdr w:val="single" w:sz="2" w:space="1" w:color="000000"/>
              </w:rPr>
            </w:pPr>
            <w:r>
              <w:rPr>
                <w:bdr w:val="single" w:sz="2" w:space="1" w:color="000000"/>
              </w:rPr>
              <w:t> </w:t>
            </w:r>
          </w:p>
        </w:tc>
        <w:tc>
          <w:tcPr>
            <w:tcW w:w="443" w:type="dxa"/>
            <w:tcBorders/>
            <w:vAlign w:val="center"/>
          </w:tcPr>
          <w:p>
            <w:pPr>
              <w:pStyle w:val="TableContents"/>
              <w:bidi w:val="0"/>
              <w:spacing w:before="0" w:after="0"/>
              <w:jc w:val="left"/>
              <w:rPr>
                <w:bdr w:val="single" w:sz="2" w:space="1" w:color="000000"/>
              </w:rPr>
            </w:pPr>
            <w:r>
              <w:rPr>
                <w:bdr w:val="single" w:sz="2" w:space="1" w:color="000000"/>
              </w:rPr>
              <w:t> </w:t>
            </w:r>
          </w:p>
        </w:tc>
        <w:tc>
          <w:tcPr>
            <w:tcW w:w="68"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single" w:sz="2" w:space="1" w:color="000000"/>
              </w:rPr>
            </w:pPr>
            <w:r>
              <w:rPr>
                <w:bdr w:val="single" w:sz="2" w:space="1" w:color="000000"/>
              </w:rPr>
              <w:t> </w:t>
            </w:r>
          </w:p>
        </w:tc>
        <w:tc>
          <w:tcPr>
            <w:tcW w:w="918" w:type="dxa"/>
            <w:tcBorders/>
            <w:vAlign w:val="center"/>
          </w:tcPr>
          <w:p>
            <w:pPr>
              <w:pStyle w:val="TableContents"/>
              <w:bidi w:val="0"/>
              <w:spacing w:before="0" w:after="0"/>
              <w:jc w:val="left"/>
              <w:rPr>
                <w:bdr w:val="single" w:sz="2" w:space="1" w:color="000000"/>
              </w:rPr>
            </w:pPr>
            <w:r>
              <w:rPr>
                <w:bdr w:val="single" w:sz="2" w:space="1" w:color="000000"/>
              </w:rPr>
              <w:t> </w:t>
            </w:r>
          </w:p>
        </w:tc>
        <w:tc>
          <w:tcPr>
            <w:tcW w:w="82" w:type="dxa"/>
            <w:tcBorders/>
            <w:vAlign w:val="center"/>
          </w:tcPr>
          <w:p>
            <w:pPr>
              <w:pStyle w:val="TableContents"/>
              <w:bidi w:val="0"/>
              <w:spacing w:before="0" w:after="283"/>
              <w:jc w:val="left"/>
              <w:rPr/>
            </w:pPr>
            <w:r>
              <w:rPr/>
              <w:t> </w:t>
            </w:r>
          </w:p>
        </w:tc>
      </w:tr>
      <w:tr>
        <w:trPr/>
        <w:tc>
          <w:tcPr>
            <w:tcW w:w="402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168,297</w:t>
            </w:r>
          </w:p>
        </w:tc>
        <w:tc>
          <w:tcPr>
            <w:tcW w:w="68"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w:t>
            </w:r>
          </w:p>
        </w:tc>
        <w:tc>
          <w:tcPr>
            <w:tcW w:w="735" w:type="dxa"/>
            <w:tcBorders/>
            <w:vAlign w:val="center"/>
          </w:tcPr>
          <w:p>
            <w:pPr>
              <w:pStyle w:val="TableContents"/>
              <w:bidi w:val="0"/>
              <w:spacing w:before="0" w:after="283"/>
              <w:jc w:val="right"/>
              <w:rPr/>
            </w:pPr>
            <w:r>
              <w:rPr/>
              <w:t>30</w:t>
            </w:r>
          </w:p>
        </w:tc>
        <w:tc>
          <w:tcPr>
            <w:tcW w:w="68"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w:t>
            </w:r>
          </w:p>
        </w:tc>
        <w:tc>
          <w:tcPr>
            <w:tcW w:w="797" w:type="dxa"/>
            <w:tcBorders/>
            <w:vAlign w:val="center"/>
          </w:tcPr>
          <w:p>
            <w:pPr>
              <w:pStyle w:val="TableContents"/>
              <w:bidi w:val="0"/>
              <w:spacing w:before="0" w:after="283"/>
              <w:jc w:val="right"/>
              <w:rPr/>
            </w:pPr>
            <w:r>
              <w:rPr/>
              <w:t>(57</w:t>
            </w:r>
          </w:p>
        </w:tc>
        <w:tc>
          <w:tcPr>
            <w:tcW w:w="177"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w:t>
            </w:r>
          </w:p>
        </w:tc>
        <w:tc>
          <w:tcPr>
            <w:tcW w:w="443" w:type="dxa"/>
            <w:tcBorders/>
            <w:vAlign w:val="center"/>
          </w:tcPr>
          <w:p>
            <w:pPr>
              <w:pStyle w:val="TableContents"/>
              <w:bidi w:val="0"/>
              <w:spacing w:before="0" w:after="283"/>
              <w:jc w:val="right"/>
              <w:rPr/>
            </w:pPr>
            <w:r>
              <w:rPr/>
              <w:t>— </w:t>
            </w:r>
          </w:p>
        </w:tc>
        <w:tc>
          <w:tcPr>
            <w:tcW w:w="68"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w:t>
            </w:r>
          </w:p>
        </w:tc>
        <w:tc>
          <w:tcPr>
            <w:tcW w:w="918" w:type="dxa"/>
            <w:tcBorders/>
            <w:vAlign w:val="center"/>
          </w:tcPr>
          <w:p>
            <w:pPr>
              <w:pStyle w:val="TableContents"/>
              <w:bidi w:val="0"/>
              <w:spacing w:before="0" w:after="283"/>
              <w:jc w:val="right"/>
              <w:rPr/>
            </w:pPr>
            <w:r>
              <w:rPr/>
              <w:t>168,270</w:t>
            </w:r>
          </w:p>
        </w:tc>
        <w:tc>
          <w:tcPr>
            <w:tcW w:w="82" w:type="dxa"/>
            <w:tcBorders/>
            <w:vAlign w:val="center"/>
          </w:tcPr>
          <w:p>
            <w:pPr>
              <w:pStyle w:val="TableContents"/>
              <w:bidi w:val="0"/>
              <w:spacing w:before="0" w:after="283"/>
              <w:jc w:val="left"/>
              <w:rPr/>
            </w:pPr>
            <w:r>
              <w:rPr/>
              <w:t> </w:t>
            </w:r>
          </w:p>
        </w:tc>
      </w:tr>
      <w:tr>
        <w:trPr/>
        <w:tc>
          <w:tcPr>
            <w:tcW w:w="402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937" w:type="dxa"/>
            <w:tcBorders/>
            <w:vAlign w:val="center"/>
          </w:tcPr>
          <w:p>
            <w:pPr>
              <w:pStyle w:val="TableContents"/>
              <w:bidi w:val="0"/>
              <w:spacing w:before="0" w:after="0"/>
              <w:jc w:val="left"/>
              <w:rPr>
                <w:bdr w:val="single" w:sz="2" w:space="1" w:color="000000"/>
              </w:rPr>
            </w:pPr>
            <w:r>
              <w:rPr>
                <w:bdr w:val="single" w:sz="2" w:space="1" w:color="000000"/>
              </w:rPr>
              <w:t> </w:t>
            </w:r>
          </w:p>
        </w:tc>
        <w:tc>
          <w:tcPr>
            <w:tcW w:w="68"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jc w:val="left"/>
              <w:rPr>
                <w:bdr w:val="single" w:sz="2" w:space="1" w:color="000000"/>
              </w:rPr>
            </w:pPr>
            <w:r>
              <w:rPr>
                <w:bdr w:val="single" w:sz="2" w:space="1" w:color="000000"/>
              </w:rPr>
              <w:t> </w:t>
            </w:r>
          </w:p>
        </w:tc>
        <w:tc>
          <w:tcPr>
            <w:tcW w:w="735" w:type="dxa"/>
            <w:tcBorders/>
            <w:vAlign w:val="center"/>
          </w:tcPr>
          <w:p>
            <w:pPr>
              <w:pStyle w:val="TableContents"/>
              <w:bidi w:val="0"/>
              <w:spacing w:before="0" w:after="0"/>
              <w:jc w:val="left"/>
              <w:rPr>
                <w:bdr w:val="single" w:sz="2" w:space="1" w:color="000000"/>
              </w:rPr>
            </w:pPr>
            <w:r>
              <w:rPr>
                <w:bdr w:val="single" w:sz="2" w:space="1" w:color="000000"/>
              </w:rPr>
              <w:t> </w:t>
            </w:r>
          </w:p>
        </w:tc>
        <w:tc>
          <w:tcPr>
            <w:tcW w:w="68"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bdr w:val="single" w:sz="2" w:space="1" w:color="000000"/>
              </w:rPr>
            </w:pPr>
            <w:r>
              <w:rPr>
                <w:bdr w:val="single" w:sz="2" w:space="1" w:color="000000"/>
              </w:rPr>
              <w:t> </w:t>
            </w:r>
          </w:p>
        </w:tc>
        <w:tc>
          <w:tcPr>
            <w:tcW w:w="797" w:type="dxa"/>
            <w:tcBorders/>
            <w:vAlign w:val="center"/>
          </w:tcPr>
          <w:p>
            <w:pPr>
              <w:pStyle w:val="TableContents"/>
              <w:bidi w:val="0"/>
              <w:spacing w:before="0" w:after="0"/>
              <w:jc w:val="left"/>
              <w:rPr>
                <w:bdr w:val="single" w:sz="2" w:space="1" w:color="000000"/>
              </w:rPr>
            </w:pPr>
            <w:r>
              <w:rPr>
                <w:bdr w:val="single" w:sz="2" w:space="1" w:color="000000"/>
              </w:rPr>
              <w:t> </w:t>
            </w:r>
          </w:p>
        </w:tc>
        <w:tc>
          <w:tcPr>
            <w:tcW w:w="177"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0"/>
              <w:jc w:val="left"/>
              <w:rPr>
                <w:bdr w:val="single" w:sz="2" w:space="1" w:color="000000"/>
              </w:rPr>
            </w:pPr>
            <w:r>
              <w:rPr>
                <w:bdr w:val="single" w:sz="2" w:space="1" w:color="000000"/>
              </w:rPr>
              <w:t> </w:t>
            </w:r>
          </w:p>
        </w:tc>
        <w:tc>
          <w:tcPr>
            <w:tcW w:w="443" w:type="dxa"/>
            <w:tcBorders/>
            <w:vAlign w:val="center"/>
          </w:tcPr>
          <w:p>
            <w:pPr>
              <w:pStyle w:val="TableContents"/>
              <w:bidi w:val="0"/>
              <w:spacing w:before="0" w:after="0"/>
              <w:jc w:val="left"/>
              <w:rPr>
                <w:bdr w:val="single" w:sz="2" w:space="1" w:color="000000"/>
              </w:rPr>
            </w:pPr>
            <w:r>
              <w:rPr>
                <w:bdr w:val="single" w:sz="2" w:space="1" w:color="000000"/>
              </w:rPr>
              <w:t> </w:t>
            </w:r>
          </w:p>
        </w:tc>
        <w:tc>
          <w:tcPr>
            <w:tcW w:w="68"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single" w:sz="2" w:space="1" w:color="000000"/>
              </w:rPr>
            </w:pPr>
            <w:r>
              <w:rPr>
                <w:bdr w:val="single" w:sz="2" w:space="1" w:color="000000"/>
              </w:rPr>
              <w:t> </w:t>
            </w:r>
          </w:p>
        </w:tc>
        <w:tc>
          <w:tcPr>
            <w:tcW w:w="918" w:type="dxa"/>
            <w:tcBorders/>
            <w:vAlign w:val="center"/>
          </w:tcPr>
          <w:p>
            <w:pPr>
              <w:pStyle w:val="TableContents"/>
              <w:bidi w:val="0"/>
              <w:spacing w:before="0" w:after="0"/>
              <w:jc w:val="left"/>
              <w:rPr>
                <w:bdr w:val="single" w:sz="2" w:space="1" w:color="000000"/>
              </w:rPr>
            </w:pPr>
            <w:r>
              <w:rPr>
                <w:bdr w:val="single" w:sz="2" w:space="1" w:color="000000"/>
              </w:rPr>
              <w:t> </w:t>
            </w:r>
          </w:p>
        </w:tc>
        <w:tc>
          <w:tcPr>
            <w:tcW w:w="8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None of the Company’s </w:t>
      </w:r>
    </w:p>
    <w:p>
      <w:pPr>
        <w:pStyle w:val="TextBody"/>
        <w:bidi w:val="0"/>
        <w:spacing w:before="240" w:after="0"/>
        <w:jc w:val="left"/>
        <w:rPr>
          <w:rFonts w:ascii="Times New Roman" w:hAnsi="Times New Roman"/>
          <w:sz w:val="20"/>
        </w:rPr>
      </w:pPr>
      <w:r>
        <w:rPr>
          <w:rFonts w:ascii="Times New Roman" w:hAnsi="Times New Roman"/>
          <w:sz w:val="20"/>
        </w:rPr>
        <w:t>available-for-sale</w:t>
      </w:r>
    </w:p>
    <w:p>
      <w:pPr>
        <w:pStyle w:val="TextBody"/>
        <w:bidi w:val="0"/>
        <w:spacing w:before="240" w:after="0"/>
        <w:jc w:val="left"/>
        <w:rPr>
          <w:rFonts w:ascii="Times New Roman" w:hAnsi="Times New Roman"/>
          <w:sz w:val="20"/>
        </w:rPr>
      </w:pPr>
      <w:r>
        <w:rPr>
          <w:rFonts w:ascii="Times New Roman" w:hAnsi="Times New Roman"/>
          <w:sz w:val="20"/>
        </w:rPr>
        <w:t xml:space="preserve">marketable securities had remaining maturities longer than one year as of December 31, 2025 and 2024. </w:t>
      </w:r>
    </w:p>
    <w:p>
      <w:pPr>
        <w:pStyle w:val="TextBody"/>
        <w:bidi w:val="0"/>
        <w:spacing w:before="360" w:after="0"/>
        <w:jc w:val="left"/>
        <w:rPr>
          <w:rFonts w:ascii="Times New Roman" w:hAnsi="Times New Roman"/>
          <w:b/>
          <w:sz w:val="20"/>
        </w:rPr>
      </w:pPr>
      <w:r>
        <w:rPr>
          <w:rFonts w:ascii="Times New Roman" w:hAnsi="Times New Roman"/>
          <w:b/>
          <w:sz w:val="20"/>
        </w:rPr>
        <w:t xml:space="preserve">4. Property and Equipment, Net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net, are recorded at historical cost and consist of the following (in thousands): </w:t>
      </w:r>
    </w:p>
    <w:p>
      <w:pPr>
        <w:pStyle w:val="TextBody"/>
        <w:bidi w:val="0"/>
        <w:spacing w:before="0" w:after="0"/>
        <w:jc w:val="left"/>
        <w:rPr/>
      </w:pPr>
      <w:r>
        <w:rPr/>
        <w:t> </w:t>
      </w:r>
    </w:p>
    <w:tbl>
      <w:tblPr>
        <w:tblW w:w="4805" w:type="dxa"/>
        <w:jc w:val="left"/>
        <w:tblInd w:w="0" w:type="dxa"/>
        <w:tblLayout w:type="fixed"/>
        <w:tblCellMar>
          <w:top w:w="0" w:type="dxa"/>
          <w:left w:w="0" w:type="dxa"/>
          <w:bottom w:w="0" w:type="dxa"/>
          <w:right w:w="0" w:type="dxa"/>
        </w:tblCellMar>
      </w:tblPr>
      <w:tblGrid>
        <w:gridCol w:w="2600"/>
        <w:gridCol w:w="120"/>
        <w:gridCol w:w="140"/>
        <w:gridCol w:w="680"/>
        <w:gridCol w:w="155"/>
        <w:gridCol w:w="120"/>
        <w:gridCol w:w="140"/>
        <w:gridCol w:w="680"/>
        <w:gridCol w:w="170"/>
      </w:tblGrid>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15" w:type="dxa"/>
            <w:gridSpan w:val="6"/>
            <w:tcBorders>
              <w:bottom w:val="single" w:sz="8" w:space="0" w:color="000000"/>
            </w:tcBorders>
            <w:tcMar>
              <w:bottom w:w="28" w:type="dxa"/>
            </w:tcMar>
            <w:vAlign w:val="center"/>
          </w:tcPr>
          <w:p>
            <w:pPr>
              <w:pStyle w:val="TableContents"/>
              <w:bidi w:val="0"/>
              <w:spacing w:before="0" w:after="0"/>
              <w:jc w:val="center"/>
              <w:rPr>
                <w:b/>
              </w:rPr>
            </w:pPr>
            <w:r>
              <w:rPr>
                <w:b/>
              </w:rPr>
              <w:t>December 31,</w:t>
            </w:r>
          </w:p>
        </w:tc>
        <w:tc>
          <w:tcPr>
            <w:tcW w:w="17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Laboratory equipment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10,017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9,944</w:t>
            </w:r>
          </w:p>
        </w:tc>
        <w:tc>
          <w:tcPr>
            <w:tcW w:w="170"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261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261</w:t>
            </w:r>
          </w:p>
        </w:tc>
        <w:tc>
          <w:tcPr>
            <w:tcW w:w="17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758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758</w:t>
            </w:r>
          </w:p>
        </w:tc>
        <w:tc>
          <w:tcPr>
            <w:tcW w:w="170"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Computer software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385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385</w:t>
            </w:r>
          </w:p>
        </w:tc>
        <w:tc>
          <w:tcPr>
            <w:tcW w:w="17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property and equipment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11,421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11,348</w:t>
            </w:r>
          </w:p>
        </w:tc>
        <w:tc>
          <w:tcPr>
            <w:tcW w:w="170"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(9,510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(8,026</w:t>
            </w:r>
          </w:p>
        </w:tc>
        <w:tc>
          <w:tcPr>
            <w:tcW w:w="17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1,911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3,322</w:t>
            </w:r>
          </w:p>
        </w:tc>
        <w:tc>
          <w:tcPr>
            <w:tcW w:w="170"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Depreciation expense amounted to $1.5 million for each of the years ended December 31, 2025 and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5. Accrued Expenses and Other Current Liabilities </w:t>
      </w:r>
    </w:p>
    <w:p>
      <w:pPr>
        <w:pStyle w:val="TextBody"/>
        <w:bidi w:val="0"/>
        <w:spacing w:before="120" w:after="0"/>
        <w:jc w:val="left"/>
        <w:rPr>
          <w:rFonts w:ascii="Times New Roman" w:hAnsi="Times New Roman"/>
          <w:sz w:val="20"/>
        </w:rPr>
      </w:pPr>
      <w:r>
        <w:rPr>
          <w:rFonts w:ascii="Times New Roman" w:hAnsi="Times New Roman"/>
          <w:sz w:val="20"/>
        </w:rPr>
        <w:t xml:space="preserve">Accrued expenses and other current liabilities consist of the following (in thousands): </w:t>
      </w:r>
    </w:p>
    <w:p>
      <w:pPr>
        <w:pStyle w:val="TextBody"/>
        <w:bidi w:val="0"/>
        <w:spacing w:before="0" w:after="0"/>
        <w:jc w:val="left"/>
        <w:rPr/>
      </w:pPr>
      <w:r>
        <w:rPr/>
        <w:t> </w:t>
      </w:r>
    </w:p>
    <w:tbl>
      <w:tblPr>
        <w:tblW w:w="6190" w:type="dxa"/>
        <w:jc w:val="left"/>
        <w:tblInd w:w="0" w:type="dxa"/>
        <w:tblLayout w:type="fixed"/>
        <w:tblCellMar>
          <w:top w:w="0" w:type="dxa"/>
          <w:left w:w="0" w:type="dxa"/>
          <w:bottom w:w="0" w:type="dxa"/>
          <w:right w:w="0" w:type="dxa"/>
        </w:tblCellMar>
      </w:tblPr>
      <w:tblGrid>
        <w:gridCol w:w="4175"/>
        <w:gridCol w:w="120"/>
        <w:gridCol w:w="140"/>
        <w:gridCol w:w="680"/>
        <w:gridCol w:w="60"/>
        <w:gridCol w:w="120"/>
        <w:gridCol w:w="140"/>
        <w:gridCol w:w="680"/>
        <w:gridCol w:w="75"/>
      </w:tblGrid>
      <w:tr>
        <w:trPr/>
        <w:tc>
          <w:tcPr>
            <w:tcW w:w="4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1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2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tc>
        <w:tc>
          <w:tcPr>
            <w:tcW w:w="75"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Compensation and benefits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3,830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5,560</w:t>
            </w:r>
          </w:p>
        </w:tc>
        <w:tc>
          <w:tcPr>
            <w:tcW w:w="75"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External research and development costs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6,361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3,959</w:t>
            </w:r>
          </w:p>
        </w:tc>
        <w:tc>
          <w:tcPr>
            <w:tcW w:w="75"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Legal and professional fees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780</w:t>
            </w:r>
          </w:p>
        </w:tc>
        <w:tc>
          <w:tcPr>
            <w:tcW w:w="75"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1,415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979</w:t>
            </w:r>
          </w:p>
        </w:tc>
        <w:tc>
          <w:tcPr>
            <w:tcW w:w="75"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accrued expenses and other current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12,291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11,278</w:t>
            </w:r>
          </w:p>
        </w:tc>
        <w:tc>
          <w:tcPr>
            <w:tcW w:w="75"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6. Redeemable Convertible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issued Series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A-1</w:t>
      </w:r>
    </w:p>
    <w:p>
      <w:pPr>
        <w:pStyle w:val="TextBody"/>
        <w:bidi w:val="0"/>
        <w:spacing w:before="120" w:after="0"/>
        <w:jc w:val="left"/>
        <w:rPr>
          <w:rFonts w:ascii="Times New Roman" w:hAnsi="Times New Roman"/>
          <w:sz w:val="20"/>
        </w:rPr>
      </w:pPr>
      <w:r>
        <w:rPr>
          <w:rFonts w:ascii="Times New Roman" w:hAnsi="Times New Roman"/>
          <w:sz w:val="20"/>
        </w:rPr>
        <w:t xml:space="preserve">redeemable convertible preferred stock (the “Series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A-1</w:t>
      </w:r>
    </w:p>
    <w:p>
      <w:pPr>
        <w:pStyle w:val="TextBody"/>
        <w:bidi w:val="0"/>
        <w:spacing w:before="120" w:after="0"/>
        <w:jc w:val="left"/>
        <w:rPr>
          <w:rFonts w:ascii="Times New Roman" w:hAnsi="Times New Roman"/>
          <w:sz w:val="20"/>
        </w:rPr>
      </w:pPr>
      <w:r>
        <w:rPr>
          <w:rFonts w:ascii="Times New Roman" w:hAnsi="Times New Roman"/>
          <w:sz w:val="20"/>
        </w:rPr>
        <w:t xml:space="preserve">Preferred Stock”), Series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A-2</w:t>
      </w:r>
    </w:p>
    <w:p>
      <w:pPr>
        <w:pStyle w:val="TextBody"/>
        <w:bidi w:val="0"/>
        <w:spacing w:before="120" w:after="0"/>
        <w:jc w:val="left"/>
        <w:rPr>
          <w:rFonts w:ascii="Times New Roman" w:hAnsi="Times New Roman"/>
          <w:sz w:val="20"/>
        </w:rPr>
      </w:pPr>
      <w:r>
        <w:rPr>
          <w:rFonts w:ascii="Times New Roman" w:hAnsi="Times New Roman"/>
          <w:sz w:val="20"/>
        </w:rPr>
        <w:t xml:space="preserve">redeemable convertible preferred stock (the “Series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A-2</w:t>
      </w:r>
    </w:p>
    <w:p>
      <w:pPr>
        <w:pStyle w:val="TextBody"/>
        <w:bidi w:val="0"/>
        <w:spacing w:before="120" w:after="0"/>
        <w:jc w:val="left"/>
        <w:rPr>
          <w:rFonts w:ascii="Times New Roman" w:hAnsi="Times New Roman"/>
          <w:sz w:val="20"/>
        </w:rPr>
      </w:pPr>
      <w:r>
        <w:rPr>
          <w:rFonts w:ascii="Times New Roman" w:hAnsi="Times New Roman"/>
          <w:sz w:val="20"/>
        </w:rPr>
        <w:t xml:space="preserve">Preferred Stock”), Series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A-3</w:t>
      </w:r>
    </w:p>
    <w:p>
      <w:pPr>
        <w:pStyle w:val="TextBody"/>
        <w:bidi w:val="0"/>
        <w:spacing w:before="120" w:after="0"/>
        <w:jc w:val="left"/>
        <w:rPr>
          <w:rFonts w:ascii="Times New Roman" w:hAnsi="Times New Roman"/>
          <w:sz w:val="20"/>
        </w:rPr>
      </w:pPr>
      <w:r>
        <w:rPr>
          <w:rFonts w:ascii="Times New Roman" w:hAnsi="Times New Roman"/>
          <w:sz w:val="20"/>
        </w:rPr>
        <w:t xml:space="preserve">redeemable convertible preferred stock, (the “Series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A-3</w:t>
      </w:r>
    </w:p>
    <w:p>
      <w:pPr>
        <w:pStyle w:val="TextBody"/>
        <w:bidi w:val="0"/>
        <w:spacing w:before="120" w:after="0"/>
        <w:jc w:val="left"/>
        <w:rPr>
          <w:rFonts w:ascii="Times New Roman" w:hAnsi="Times New Roman"/>
          <w:sz w:val="20"/>
        </w:rPr>
      </w:pPr>
      <w:r>
        <w:rPr>
          <w:rFonts w:ascii="Times New Roman" w:hAnsi="Times New Roman"/>
          <w:sz w:val="20"/>
        </w:rPr>
        <w:t xml:space="preserve">Preferred Stock”), Series B redeemable convertible preferred stock (the “Series B Preferred Stock”) and Series C redeemable convertible preferred stock (the “Series C Preferred Stock”); collectively referred to as the “Preferred Stock” and the holders of the Preferred Stock as the “Preferred Stockholders.” All series of Preferred Stock have a par value of </w:t>
      </w:r>
    </w:p>
    <w:p>
      <w:pPr>
        <w:pStyle w:val="TextBody"/>
        <w:bidi w:val="0"/>
        <w:spacing w:before="120" w:after="0"/>
        <w:jc w:val="left"/>
        <w:rPr>
          <w:rFonts w:ascii="Times New Roman" w:hAnsi="Times New Roman"/>
          <w:sz w:val="20"/>
        </w:rPr>
      </w:pP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0.0001</w:t>
      </w:r>
    </w:p>
    <w:p>
      <w:pPr>
        <w:pStyle w:val="TextBody"/>
        <w:bidi w:val="0"/>
        <w:spacing w:before="120" w:after="0"/>
        <w:jc w:val="left"/>
        <w:rPr>
          <w:rFonts w:ascii="Times New Roman" w:hAnsi="Times New Roman"/>
          <w:sz w:val="20"/>
        </w:rPr>
      </w:pP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 xml:space="preserve">In March 2024, the Company entered into a stock purchase agreement (the “Series C Purchase Agreement”) pursuant to which the Company issued and sold an aggregate of 84,567,145 shares of Series C Preferred Stock at a price of $1.8979 per share, for gross proceeds of approximately $160.5 million and incurred issuance costs of $0.5 million. </w:t>
      </w:r>
    </w:p>
    <w:p>
      <w:pPr>
        <w:pStyle w:val="TextBody"/>
        <w:bidi w:val="0"/>
        <w:spacing w:before="240" w:after="0"/>
        <w:jc w:val="left"/>
        <w:rPr>
          <w:rFonts w:ascii="Times New Roman" w:hAnsi="Times New Roman"/>
          <w:sz w:val="20"/>
        </w:rPr>
      </w:pPr>
      <w:r>
        <w:rPr>
          <w:rFonts w:ascii="Times New Roman" w:hAnsi="Times New Roman"/>
          <w:sz w:val="20"/>
        </w:rPr>
        <w:t xml:space="preserve">Upon issuance of each class of Preferred Stock, the Company assessed the embedded conversion and liquidation features of the shares and determined that such features did not require the Company to separately account for these features. The Company also concluded that no beneficial conversion feature existed on the issuance dates of each class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At December 31, 2025 and 2024, the Preferred Stock is summarized below (in thousands, except share amounts): </w:t>
      </w:r>
    </w:p>
    <w:p>
      <w:pPr>
        <w:pStyle w:val="TextBody"/>
        <w:bidi w:val="0"/>
        <w:spacing w:before="0" w:after="0"/>
        <w:jc w:val="left"/>
        <w:rPr/>
      </w:pPr>
      <w:r>
        <w:rPr/>
        <w:t> </w:t>
      </w:r>
    </w:p>
    <w:tbl>
      <w:tblPr>
        <w:tblW w:w="8968" w:type="dxa"/>
        <w:jc w:val="left"/>
        <w:tblInd w:w="0" w:type="dxa"/>
        <w:tblLayout w:type="fixed"/>
        <w:tblCellMar>
          <w:top w:w="0" w:type="dxa"/>
          <w:left w:w="0" w:type="dxa"/>
          <w:bottom w:w="0" w:type="dxa"/>
          <w:right w:w="0" w:type="dxa"/>
        </w:tblCellMar>
      </w:tblPr>
      <w:tblGrid>
        <w:gridCol w:w="1970"/>
        <w:gridCol w:w="120"/>
        <w:gridCol w:w="61"/>
        <w:gridCol w:w="1248"/>
        <w:gridCol w:w="60"/>
        <w:gridCol w:w="120"/>
        <w:gridCol w:w="61"/>
        <w:gridCol w:w="1248"/>
        <w:gridCol w:w="60"/>
        <w:gridCol w:w="120"/>
        <w:gridCol w:w="143"/>
        <w:gridCol w:w="822"/>
        <w:gridCol w:w="60"/>
        <w:gridCol w:w="120"/>
        <w:gridCol w:w="181"/>
        <w:gridCol w:w="1039"/>
        <w:gridCol w:w="60"/>
        <w:gridCol w:w="120"/>
        <w:gridCol w:w="60"/>
        <w:gridCol w:w="1220"/>
        <w:gridCol w:w="75"/>
      </w:tblGrid>
      <w:tr>
        <w:trPr/>
        <w:tc>
          <w:tcPr>
            <w:tcW w:w="1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03" w:type="dxa"/>
            <w:gridSpan w:val="18"/>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Amounts at December 31, 2025 and December 31, 2024</w:t>
            </w:r>
          </w:p>
        </w:tc>
        <w:tc>
          <w:tcPr>
            <w:tcW w:w="7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 Shares</w:t>
              <w:br/>
              <w:t>Authorized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 Shares</w:t>
              <w:br/>
              <w:t>Issued and</w:t>
              <w:br/>
              <w:t>Outstanding</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Carrying</w:t>
              <w:br/>
              <w:t>Value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Liquidation</w:t>
              <w:br/>
              <w:t>Preference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Common</w:t>
              <w:br/>
              <w:t>Shares</w:t>
              <w:br/>
              <w:t>Issuable</w:t>
              <w:br/>
              <w:t>Upon</w:t>
              <w:br/>
              <w:t>Conversion</w:t>
            </w:r>
          </w:p>
        </w:tc>
        <w:tc>
          <w:tcPr>
            <w:tcW w:w="7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Series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A-1</w:t>
            </w:r>
          </w:p>
          <w:p>
            <w:pPr>
              <w:pStyle w:val="TableContents"/>
              <w:bidi w:val="0"/>
              <w:spacing w:before="0" w:after="0"/>
              <w:jc w:val="left"/>
              <w:rPr>
                <w:rFonts w:ascii="Times New Roman" w:hAnsi="Times New Roman"/>
                <w:sz w:val="20"/>
              </w:rPr>
            </w:pPr>
            <w:r>
              <w:rPr>
                <w:rFonts w:ascii="Times New Roman" w:hAnsi="Times New Roman"/>
                <w:sz w:val="20"/>
              </w:rPr>
              <w:t>Preferred Stock</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33,222,339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33,200,215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822" w:type="dxa"/>
            <w:tcBorders/>
            <w:shd w:fill="CCEEFF" w:val="clear"/>
            <w:vAlign w:val="center"/>
          </w:tcPr>
          <w:p>
            <w:pPr>
              <w:pStyle w:val="TableContents"/>
              <w:bidi w:val="0"/>
              <w:spacing w:before="0" w:after="283"/>
              <w:jc w:val="right"/>
              <w:rPr/>
            </w:pPr>
            <w:r>
              <w:rPr/>
              <w:t>37,486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039" w:type="dxa"/>
            <w:tcBorders/>
            <w:shd w:fill="CCEEFF" w:val="clear"/>
            <w:vAlign w:val="center"/>
          </w:tcPr>
          <w:p>
            <w:pPr>
              <w:pStyle w:val="TableContents"/>
              <w:bidi w:val="0"/>
              <w:spacing w:before="0" w:after="283"/>
              <w:jc w:val="right"/>
              <w:rPr/>
            </w:pPr>
            <w:r>
              <w:rPr/>
              <w:t>37,486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33,200,215</w:t>
            </w:r>
          </w:p>
        </w:tc>
        <w:tc>
          <w:tcPr>
            <w:tcW w:w="75" w:type="dxa"/>
            <w:tcBorders/>
            <w:shd w:fill="CCEEFF" w:val="cle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Series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A-2</w:t>
            </w:r>
          </w:p>
          <w:p>
            <w:pPr>
              <w:pStyle w:val="TableContents"/>
              <w:bidi w:val="0"/>
              <w:spacing w:before="0" w:after="0"/>
              <w:jc w:val="left"/>
              <w:rPr>
                <w:rFonts w:ascii="Times New Roman" w:hAnsi="Times New Roman"/>
                <w:sz w:val="20"/>
              </w:rPr>
            </w:pPr>
            <w:r>
              <w:rPr>
                <w:rFonts w:ascii="Times New Roman" w:hAnsi="Times New Roman"/>
                <w:sz w:val="20"/>
              </w:rPr>
              <w:t>Preferred Stock</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48" w:type="dxa"/>
            <w:tcBorders/>
            <w:vAlign w:val="center"/>
          </w:tcPr>
          <w:p>
            <w:pPr>
              <w:pStyle w:val="TableContents"/>
              <w:bidi w:val="0"/>
              <w:spacing w:before="0" w:after="283"/>
              <w:jc w:val="right"/>
              <w:rPr/>
            </w:pPr>
            <w:r>
              <w:rPr/>
              <w:t>14,936,323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48" w:type="dxa"/>
            <w:tcBorders/>
            <w:vAlign w:val="center"/>
          </w:tcPr>
          <w:p>
            <w:pPr>
              <w:pStyle w:val="TableContents"/>
              <w:bidi w:val="0"/>
              <w:spacing w:before="0" w:after="283"/>
              <w:jc w:val="right"/>
              <w:rPr/>
            </w:pPr>
            <w:r>
              <w:rPr/>
              <w:t>14,936,323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right"/>
              <w:rPr/>
            </w:pPr>
            <w:r>
              <w:rPr/>
              <w:t>16,807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14,936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14,936,323</w:t>
            </w:r>
          </w:p>
        </w:tc>
        <w:tc>
          <w:tcPr>
            <w:tcW w:w="7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Series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A-3</w:t>
            </w:r>
          </w:p>
          <w:p>
            <w:pPr>
              <w:pStyle w:val="TableContents"/>
              <w:bidi w:val="0"/>
              <w:spacing w:before="0" w:after="0"/>
              <w:jc w:val="left"/>
              <w:rPr>
                <w:rFonts w:ascii="Times New Roman" w:hAnsi="Times New Roman"/>
                <w:sz w:val="20"/>
              </w:rPr>
            </w:pPr>
            <w:r>
              <w:rPr>
                <w:rFonts w:ascii="Times New Roman" w:hAnsi="Times New Roman"/>
                <w:sz w:val="20"/>
              </w:rPr>
              <w:t>Preferred Stock</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6,146,592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6,146,592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9,035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9,035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6,146,592</w:t>
            </w:r>
          </w:p>
        </w:tc>
        <w:tc>
          <w:tcPr>
            <w:tcW w:w="75" w:type="dxa"/>
            <w:tcBorders/>
            <w:shd w:fill="CCEEFF" w:val="cle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Series B Preferred Stock</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48" w:type="dxa"/>
            <w:tcBorders/>
            <w:vAlign w:val="center"/>
          </w:tcPr>
          <w:p>
            <w:pPr>
              <w:pStyle w:val="TableContents"/>
              <w:bidi w:val="0"/>
              <w:spacing w:before="0" w:after="283"/>
              <w:jc w:val="right"/>
              <w:rPr/>
            </w:pPr>
            <w:r>
              <w:rPr/>
              <w:t>76,187,917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48" w:type="dxa"/>
            <w:tcBorders/>
            <w:vAlign w:val="center"/>
          </w:tcPr>
          <w:p>
            <w:pPr>
              <w:pStyle w:val="TableContents"/>
              <w:bidi w:val="0"/>
              <w:spacing w:before="0" w:after="283"/>
              <w:jc w:val="right"/>
              <w:rPr/>
            </w:pPr>
            <w:r>
              <w:rPr/>
              <w:t>76,187,917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right"/>
              <w:rPr/>
            </w:pPr>
            <w:r>
              <w:rPr/>
              <w:t>114,732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115,044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76,187,917</w:t>
            </w:r>
          </w:p>
        </w:tc>
        <w:tc>
          <w:tcPr>
            <w:tcW w:w="7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Series C Preferred Stock</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84,567,145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84,567,145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159,968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160,500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84,567,145</w:t>
            </w:r>
          </w:p>
        </w:tc>
        <w:tc>
          <w:tcPr>
            <w:tcW w:w="75" w:type="dxa"/>
            <w:tcBorders/>
            <w:shd w:fill="CCEEFF" w:val="cle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bdr w:val="single" w:sz="2" w:space="1" w:color="000000"/>
              </w:rPr>
            </w:pPr>
            <w:r>
              <w:rPr>
                <w:bdr w:val="single" w:sz="2" w:space="1" w:color="000000"/>
              </w:rPr>
              <w:t> </w:t>
            </w:r>
          </w:p>
        </w:tc>
        <w:tc>
          <w:tcPr>
            <w:tcW w:w="1248"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bdr w:val="single" w:sz="2" w:space="1" w:color="000000"/>
              </w:rPr>
            </w:pPr>
            <w:r>
              <w:rPr>
                <w:bdr w:val="single" w:sz="2" w:space="1" w:color="000000"/>
              </w:rPr>
              <w:t> </w:t>
            </w:r>
          </w:p>
        </w:tc>
        <w:tc>
          <w:tcPr>
            <w:tcW w:w="1248"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bdr w:val="single" w:sz="2" w:space="1" w:color="000000"/>
              </w:rPr>
            </w:pPr>
            <w:r>
              <w:rPr>
                <w:bdr w:val="single" w:sz="2" w:space="1" w:color="000000"/>
              </w:rPr>
              <w:t> </w:t>
            </w:r>
          </w:p>
        </w:tc>
        <w:tc>
          <w:tcPr>
            <w:tcW w:w="82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0"/>
              <w:jc w:val="left"/>
              <w:rPr>
                <w:bdr w:val="single" w:sz="2" w:space="1" w:color="000000"/>
              </w:rPr>
            </w:pPr>
            <w:r>
              <w:rPr>
                <w:bdr w:val="single" w:sz="2" w:space="1" w:color="000000"/>
              </w:rPr>
              <w:t> </w:t>
            </w:r>
          </w:p>
        </w:tc>
        <w:tc>
          <w:tcPr>
            <w:tcW w:w="103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48" w:type="dxa"/>
            <w:tcBorders/>
            <w:vAlign w:val="center"/>
          </w:tcPr>
          <w:p>
            <w:pPr>
              <w:pStyle w:val="TableContents"/>
              <w:bidi w:val="0"/>
              <w:spacing w:before="0" w:after="283"/>
              <w:jc w:val="right"/>
              <w:rPr/>
            </w:pPr>
            <w:r>
              <w:rPr/>
              <w:t>215,060,316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48" w:type="dxa"/>
            <w:tcBorders/>
            <w:vAlign w:val="center"/>
          </w:tcPr>
          <w:p>
            <w:pPr>
              <w:pStyle w:val="TableContents"/>
              <w:bidi w:val="0"/>
              <w:spacing w:before="0" w:after="283"/>
              <w:jc w:val="right"/>
              <w:rPr/>
            </w:pPr>
            <w:r>
              <w:rPr/>
              <w:t>215,038,192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w:t>
            </w:r>
          </w:p>
        </w:tc>
        <w:tc>
          <w:tcPr>
            <w:tcW w:w="822" w:type="dxa"/>
            <w:tcBorders/>
            <w:vAlign w:val="center"/>
          </w:tcPr>
          <w:p>
            <w:pPr>
              <w:pStyle w:val="TableContents"/>
              <w:bidi w:val="0"/>
              <w:spacing w:before="0" w:after="283"/>
              <w:jc w:val="right"/>
              <w:rPr/>
            </w:pPr>
            <w:r>
              <w:rPr/>
              <w:t>338,028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1039" w:type="dxa"/>
            <w:tcBorders/>
            <w:vAlign w:val="center"/>
          </w:tcPr>
          <w:p>
            <w:pPr>
              <w:pStyle w:val="TableContents"/>
              <w:bidi w:val="0"/>
              <w:spacing w:before="0" w:after="283"/>
              <w:jc w:val="right"/>
              <w:rPr/>
            </w:pPr>
            <w:r>
              <w:rPr/>
              <w:t>337,001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215,038,192</w:t>
            </w:r>
          </w:p>
        </w:tc>
        <w:tc>
          <w:tcPr>
            <w:tcW w:w="7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bdr w:val="double" w:sz="6" w:space="1" w:color="000000"/>
              </w:rPr>
            </w:pPr>
            <w:r>
              <w:rPr>
                <w:bdr w:val="double" w:sz="6" w:space="1" w:color="000000"/>
              </w:rPr>
              <w:t> </w:t>
            </w:r>
          </w:p>
        </w:tc>
        <w:tc>
          <w:tcPr>
            <w:tcW w:w="1248"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bdr w:val="double" w:sz="6" w:space="1" w:color="000000"/>
              </w:rPr>
            </w:pPr>
            <w:r>
              <w:rPr>
                <w:bdr w:val="double" w:sz="6" w:space="1" w:color="000000"/>
              </w:rPr>
              <w:t> </w:t>
            </w:r>
          </w:p>
        </w:tc>
        <w:tc>
          <w:tcPr>
            <w:tcW w:w="1248"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bdr w:val="double" w:sz="6" w:space="1" w:color="000000"/>
              </w:rPr>
            </w:pPr>
            <w:r>
              <w:rPr>
                <w:bdr w:val="double" w:sz="6" w:space="1" w:color="000000"/>
              </w:rPr>
              <w:t> </w:t>
            </w:r>
          </w:p>
        </w:tc>
        <w:tc>
          <w:tcPr>
            <w:tcW w:w="822"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0"/>
              <w:jc w:val="left"/>
              <w:rPr>
                <w:bdr w:val="double" w:sz="6" w:space="1" w:color="000000"/>
              </w:rPr>
            </w:pPr>
            <w:r>
              <w:rPr>
                <w:bdr w:val="double" w:sz="6" w:space="1" w:color="000000"/>
              </w:rPr>
              <w:t> </w:t>
            </w:r>
          </w:p>
        </w:tc>
        <w:tc>
          <w:tcPr>
            <w:tcW w:w="103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rights and preferences of the Preferred Stock are as follows: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The Preferred Stockholders vote on an </w:t>
      </w:r>
    </w:p>
    <w:p>
      <w:pPr>
        <w:pStyle w:val="TextBody"/>
        <w:bidi w:val="0"/>
        <w:spacing w:before="120" w:after="0"/>
        <w:jc w:val="left"/>
        <w:rPr>
          <w:rFonts w:ascii="Times New Roman" w:hAnsi="Times New Roman"/>
          <w:spacing w:val="0"/>
          <w:sz w:val="20"/>
        </w:rPr>
      </w:pPr>
      <w:r>
        <w:rPr>
          <w:rFonts w:ascii="Times New Roman" w:hAnsi="Times New Roman"/>
          <w:spacing w:val="0"/>
          <w:sz w:val="20"/>
        </w:rPr>
        <w:t>as-converted</w:t>
      </w:r>
    </w:p>
    <w:p>
      <w:pPr>
        <w:pStyle w:val="TextBody"/>
        <w:bidi w:val="0"/>
        <w:spacing w:before="120" w:after="0"/>
        <w:jc w:val="left"/>
        <w:rPr>
          <w:rFonts w:ascii="Times New Roman" w:hAnsi="Times New Roman"/>
          <w:sz w:val="20"/>
        </w:rPr>
      </w:pPr>
      <w:r>
        <w:rPr>
          <w:rFonts w:ascii="Times New Roman" w:hAnsi="Times New Roman"/>
          <w:sz w:val="20"/>
        </w:rPr>
        <w:t xml:space="preserve">basis with holders of common stock on all general matters. Additionally, holders of Series A Preferred Stock, Series B Preferred Stock, and Series C Preferred Stock each have the exclusive right to elect one director per series, voting separately as a class. Holders of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A-3</w:t>
      </w:r>
    </w:p>
    <w:p>
      <w:pPr>
        <w:pStyle w:val="TextBody"/>
        <w:bidi w:val="0"/>
        <w:spacing w:before="0" w:after="0"/>
        <w:jc w:val="left"/>
        <w:rPr>
          <w:rFonts w:ascii="Times New Roman" w:hAnsi="Times New Roman"/>
          <w:sz w:val="20"/>
        </w:rPr>
      </w:pPr>
      <w:r>
        <w:rPr>
          <w:rFonts w:ascii="Times New Roman" w:hAnsi="Times New Roman"/>
          <w:sz w:val="20"/>
        </w:rPr>
        <w:t xml:space="preserve">Preferred Stock, Series B Preferred Stock, and Series C Preferred Stock also hold series-specific protective voting rights requiring their separate approval for certain amendments or capital structure actions, and all Preferred Stockholders voting together as a single class (with a required majority of holders of Series C Preferred Stock included) must approve major corporate actions such as liquidation events, charter amendments affecting rights of Preferred Stockholders, creation of senior or junior securities, certain indebtedness, and other key matters. </w:t>
      </w:r>
    </w:p>
    <w:p>
      <w:pPr>
        <w:pStyle w:val="TextBody"/>
        <w:bidi w:val="0"/>
        <w:spacing w:before="360" w:after="0"/>
        <w:jc w:val="left"/>
        <w:rPr>
          <w:rFonts w:ascii="Times New Roman" w:hAnsi="Times New Roman"/>
          <w:b/>
          <w:sz w:val="20"/>
        </w:rPr>
      </w:pPr>
      <w:r>
        <w:rPr>
          <w:rFonts w:ascii="Times New Roman" w:hAnsi="Times New Roman"/>
          <w:b/>
          <w:sz w:val="20"/>
        </w:rPr>
        <w:t xml:space="preserve">Dividend Rights </w:t>
      </w:r>
    </w:p>
    <w:p>
      <w:pPr>
        <w:pStyle w:val="TextBody"/>
        <w:bidi w:val="0"/>
        <w:spacing w:before="120" w:after="0"/>
        <w:jc w:val="left"/>
        <w:rPr>
          <w:rFonts w:ascii="Times New Roman" w:hAnsi="Times New Roman"/>
          <w:sz w:val="20"/>
        </w:rPr>
      </w:pPr>
      <w:r>
        <w:rPr>
          <w:rFonts w:ascii="Times New Roman" w:hAnsi="Times New Roman"/>
          <w:sz w:val="20"/>
        </w:rPr>
        <w:t xml:space="preserve">The Preferred Stockholders are entitled to receive, prior to the payment of any dividend on the common stock, a dividend on each outstanding share of preferred stock on an as converted to common stock basis immediately prior to the record date. Any such dividends shall be payable only when, as, and if declared by the Company’s board of directors. No dividends have been declared through December 31, 2025. </w:t>
      </w:r>
    </w:p>
    <w:p>
      <w:pPr>
        <w:pStyle w:val="TextBody"/>
        <w:bidi w:val="0"/>
        <w:spacing w:before="360" w:after="0"/>
        <w:jc w:val="left"/>
        <w:rPr>
          <w:rFonts w:ascii="Times New Roman" w:hAnsi="Times New Roman"/>
          <w:b/>
          <w:sz w:val="20"/>
        </w:rPr>
      </w:pPr>
      <w:r>
        <w:rPr>
          <w:rFonts w:ascii="Times New Roman" w:hAnsi="Times New Roman"/>
          <w:b/>
          <w:sz w:val="20"/>
        </w:rPr>
        <w:t xml:space="preserve">Liquidation Preference </w:t>
      </w:r>
    </w:p>
    <w:p>
      <w:pPr>
        <w:pStyle w:val="TextBody"/>
        <w:bidi w:val="0"/>
        <w:spacing w:before="120" w:after="0"/>
        <w:jc w:val="left"/>
        <w:rPr>
          <w:rFonts w:ascii="Times New Roman" w:hAnsi="Times New Roman"/>
          <w:sz w:val="20"/>
        </w:rPr>
      </w:pPr>
      <w:r>
        <w:rPr>
          <w:rFonts w:ascii="Times New Roman" w:hAnsi="Times New Roman"/>
          <w:sz w:val="20"/>
        </w:rPr>
        <w:t xml:space="preserve">The Series C Preferred Stock ranks senior to the Series B Preferred Stock, Series A Preferred Stock and Common Stock of the Company. In the event of a liquidation of the Company, or certain deemed liquidation events, the Series C is redeemable for a price equal to the greater of (i) Series C Original Issue Price of $1.8979 per share, plus any dividends declared but unpaid, or (ii) such amount per share as would have been payable had all Series C Preferred Stock converted into common stock immediately prior to the liquidation or deemed liquidation. If assets or surplus remain after satisfying the Series C Preferred Stockholders, the Series B Preferred Stock is redeemable for a price equal to the greater of (i) Series B Original Issue Price of $1.51 per share, plus any dividends declared but unpaid, or (ii) such amount per share as would have been payable had all Series B Preferred Stock converted into common stock immediately prior to the liquidation or deemed liquidation. If assets or surplus remain after satisfying the Series B Preferred Stockholders, the Series A Preferred Stockholders is redeemable for a price equal to the greater of (i) Series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A-1,</w:t>
      </w:r>
    </w:p>
    <w:p>
      <w:pPr>
        <w:pStyle w:val="TextBody"/>
        <w:bidi w:val="0"/>
        <w:spacing w:before="120" w:after="0"/>
        <w:jc w:val="left"/>
        <w:rPr>
          <w:rFonts w:ascii="Times New Roman" w:hAnsi="Times New Roman"/>
          <w:sz w:val="20"/>
        </w:rPr>
      </w:pPr>
      <w:r>
        <w:rPr>
          <w:rFonts w:ascii="Times New Roman" w:hAnsi="Times New Roman"/>
          <w:sz w:val="20"/>
        </w:rPr>
        <w:t xml:space="preserve">Series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A-2,</w:t>
      </w:r>
    </w:p>
    <w:p>
      <w:pPr>
        <w:pStyle w:val="TextBody"/>
        <w:bidi w:val="0"/>
        <w:spacing w:before="120" w:after="0"/>
        <w:jc w:val="left"/>
        <w:rPr>
          <w:rFonts w:ascii="Times New Roman" w:hAnsi="Times New Roman"/>
          <w:sz w:val="20"/>
        </w:rPr>
      </w:pPr>
      <w:r>
        <w:rPr>
          <w:rFonts w:ascii="Times New Roman" w:hAnsi="Times New Roman"/>
          <w:sz w:val="20"/>
        </w:rPr>
        <w:t xml:space="preserve">and Series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A-3</w:t>
      </w:r>
    </w:p>
    <w:p>
      <w:pPr>
        <w:pStyle w:val="TextBody"/>
        <w:bidi w:val="0"/>
        <w:spacing w:before="120" w:after="0"/>
        <w:jc w:val="left"/>
        <w:rPr>
          <w:rFonts w:ascii="Times New Roman" w:hAnsi="Times New Roman"/>
          <w:sz w:val="20"/>
        </w:rPr>
      </w:pPr>
      <w:r>
        <w:rPr>
          <w:rFonts w:ascii="Times New Roman" w:hAnsi="Times New Roman"/>
          <w:sz w:val="20"/>
        </w:rPr>
        <w:t xml:space="preserve">Original Issue Price of $1.1291, $1.00, and $1.47 per share, respectively, plus any dividends declared but unpaid, or (ii) such amount per share as would have been payable had all Series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A-1,</w:t>
      </w:r>
    </w:p>
    <w:p>
      <w:pPr>
        <w:pStyle w:val="TextBody"/>
        <w:bidi w:val="0"/>
        <w:spacing w:before="120" w:after="0"/>
        <w:jc w:val="left"/>
        <w:rPr>
          <w:rFonts w:ascii="Times New Roman" w:hAnsi="Times New Roman"/>
          <w:spacing w:val="0"/>
          <w:sz w:val="20"/>
        </w:rPr>
      </w:pPr>
      <w:r>
        <w:rPr>
          <w:rFonts w:ascii="Times New Roman" w:hAnsi="Times New Roman"/>
          <w:spacing w:val="0"/>
          <w:sz w:val="20"/>
        </w:rPr>
        <w:t>A-2</w:t>
      </w:r>
    </w:p>
    <w:p>
      <w:pPr>
        <w:pStyle w:val="TextBody"/>
        <w:bidi w:val="0"/>
        <w:spacing w:before="120" w:after="0"/>
        <w:jc w:val="left"/>
        <w:rPr>
          <w:rFonts w:ascii="Times New Roman" w:hAnsi="Times New Roman"/>
          <w:sz w:val="20"/>
        </w:rPr>
      </w:pPr>
      <w:r>
        <w:rPr>
          <w:rFonts w:ascii="Times New Roman" w:hAnsi="Times New Roman"/>
          <w:sz w:val="20"/>
        </w:rPr>
        <w:t xml:space="preserve">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A-3</w:t>
      </w:r>
    </w:p>
    <w:p>
      <w:pPr>
        <w:pStyle w:val="TextBody"/>
        <w:bidi w:val="0"/>
        <w:spacing w:before="120" w:after="0"/>
        <w:jc w:val="left"/>
        <w:rPr>
          <w:rFonts w:ascii="Times New Roman" w:hAnsi="Times New Roman"/>
          <w:sz w:val="20"/>
        </w:rPr>
      </w:pPr>
      <w:r>
        <w:rPr>
          <w:rFonts w:ascii="Times New Roman" w:hAnsi="Times New Roman"/>
          <w:sz w:val="20"/>
        </w:rPr>
        <w:t xml:space="preserve">Preferred Stock converted into common stock immediately prior to the liquidation or deemed liquidation.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 liquidation event or deemed liquidation, if the assets or surplus funds to be distributed to the holders of Series C Preferred Stock, are insufficient to permit the payment to such holders of their full aggregate distribution due, the assets and surplus legally available for distribution shall be distributed ratably among the holders of Series C Preferred Stock in proportion to the full aggregate Series C distributions each such holder is otherwise entitled to receive. After distribution to Series C Preferred Stockholders the same distribution would take place to Series B Preferred Stockholders if any assets or surplus remain. After distribution to Series B Preferred Stockholders the same distribution would take place to Series A Preferred Stockholders if any assets or surplus remain. No payment shall be made with respect to the common stock unless and until full payment has been made to the holders of the Series C Preferred Stock, Series B Preferred Stock and Series A Preferred Stock of the distribution amounts that they are entitled to receive. </w:t>
      </w:r>
    </w:p>
    <w:p>
      <w:pPr>
        <w:pStyle w:val="TextBody"/>
        <w:bidi w:val="0"/>
        <w:spacing w:before="360" w:after="0"/>
        <w:jc w:val="left"/>
        <w:rPr>
          <w:rFonts w:ascii="Times New Roman" w:hAnsi="Times New Roman"/>
          <w:b/>
          <w:sz w:val="20"/>
        </w:rPr>
      </w:pPr>
      <w:r>
        <w:rPr>
          <w:rFonts w:ascii="Times New Roman" w:hAnsi="Times New Roman"/>
          <w:b/>
          <w:sz w:val="20"/>
        </w:rPr>
        <w:t xml:space="preserve">Redemption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Preferred Stockholders do not have redemption rights, except upon a Deemed Liquidation Event.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Optional Conversion </w:t>
      </w:r>
    </w:p>
    <w:p>
      <w:pPr>
        <w:pStyle w:val="TextBody"/>
        <w:bidi w:val="0"/>
        <w:spacing w:before="120" w:after="0"/>
        <w:jc w:val="left"/>
        <w:rPr>
          <w:rFonts w:ascii="Times New Roman" w:hAnsi="Times New Roman"/>
          <w:sz w:val="20"/>
        </w:rPr>
      </w:pPr>
      <w:r>
        <w:rPr>
          <w:rFonts w:ascii="Times New Roman" w:hAnsi="Times New Roman"/>
          <w:sz w:val="20"/>
        </w:rPr>
        <w:t xml:space="preserve">Each share of Preferred Stock, at the option of the holder, is convertible into a number of fully paid shares of common stock as determined by dividing issue price by the conversion price in effect at the time. The initial conversion price per share for Series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A-1,</w:t>
      </w:r>
    </w:p>
    <w:p>
      <w:pPr>
        <w:pStyle w:val="TextBody"/>
        <w:bidi w:val="0"/>
        <w:spacing w:before="120" w:after="0"/>
        <w:jc w:val="left"/>
        <w:rPr>
          <w:rFonts w:ascii="Times New Roman" w:hAnsi="Times New Roman"/>
          <w:sz w:val="20"/>
        </w:rPr>
      </w:pPr>
      <w:r>
        <w:rPr>
          <w:rFonts w:ascii="Times New Roman" w:hAnsi="Times New Roman"/>
          <w:sz w:val="20"/>
        </w:rPr>
        <w:t xml:space="preserve">Series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A-2</w:t>
      </w:r>
    </w:p>
    <w:p>
      <w:pPr>
        <w:pStyle w:val="TextBody"/>
        <w:bidi w:val="0"/>
        <w:spacing w:before="120" w:after="0"/>
        <w:jc w:val="left"/>
        <w:rPr>
          <w:rFonts w:ascii="Times New Roman" w:hAnsi="Times New Roman"/>
          <w:sz w:val="20"/>
        </w:rPr>
      </w:pPr>
      <w:r>
        <w:rPr>
          <w:rFonts w:ascii="Times New Roman" w:hAnsi="Times New Roman"/>
          <w:sz w:val="20"/>
        </w:rPr>
        <w:t xml:space="preserve">and Series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A-3</w:t>
      </w:r>
    </w:p>
    <w:p>
      <w:pPr>
        <w:pStyle w:val="TextBody"/>
        <w:bidi w:val="0"/>
        <w:spacing w:before="120" w:after="0"/>
        <w:jc w:val="left"/>
        <w:rPr>
          <w:rFonts w:ascii="Times New Roman" w:hAnsi="Times New Roman"/>
          <w:sz w:val="20"/>
        </w:rPr>
      </w:pPr>
      <w:r>
        <w:rPr>
          <w:rFonts w:ascii="Times New Roman" w:hAnsi="Times New Roman"/>
          <w:sz w:val="20"/>
        </w:rPr>
        <w:t xml:space="preserve">Preferred Stock is $1.1291, $1.00,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$1.47, respectively, the Series B Preferred Stock initial conversion price is $1.51 per share and the Series C Preferred Stock initial conversion price if $1.8979. Such initial conversion prices, and the rate at which shares of Preferred Stock may be converted into shares of common stock, shall be subject to adjustment as provided in the Company’s fourth amended and restated certificate of incorporation.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Mandatory Conversion </w:t>
      </w:r>
    </w:p>
    <w:p>
      <w:pPr>
        <w:pStyle w:val="TextBody"/>
        <w:bidi w:val="0"/>
        <w:spacing w:before="120" w:after="0"/>
        <w:jc w:val="left"/>
        <w:rPr>
          <w:rFonts w:ascii="Times New Roman" w:hAnsi="Times New Roman"/>
          <w:sz w:val="20"/>
        </w:rPr>
      </w:pPr>
      <w:r>
        <w:rPr>
          <w:rFonts w:ascii="Times New Roman" w:hAnsi="Times New Roman"/>
          <w:sz w:val="20"/>
        </w:rPr>
        <w:t xml:space="preserve">All outstanding shares of Preferred Stock will automatically convert into a number of fully paid shares of common stock at the then applicable conversion price upon the completion of either (i) the closing of the sale of shares of common stock to the public in a sale price of at least $2.8469 per share resulting in gross proceeds to the Company of at least $100.0 million (“Qualified IPO”) or; (ii) the direct listing on a nationally recognized stock exchange with a reference price of at least $2.8469 per share or; (iii) a special purpose acquisition company (“SPAC”) transaction or reverse merger transaction resulting in a sale price of at least $2.8469 per share or; (iv) other event that results in the Company or its successor in interest having its common equity listed for trading on a nationally recognized stock exchange with a share price of at least $2.8469 per share or upon the vote or written consent of a majority of holders of the then outstanding shares of Preferred Stock voting together as a single class on an </w:t>
      </w:r>
    </w:p>
    <w:p>
      <w:pPr>
        <w:pStyle w:val="TextBody"/>
        <w:bidi w:val="0"/>
        <w:spacing w:before="120" w:after="0"/>
        <w:jc w:val="left"/>
        <w:rPr>
          <w:rFonts w:ascii="Times New Roman" w:hAnsi="Times New Roman"/>
          <w:spacing w:val="0"/>
          <w:sz w:val="20"/>
        </w:rPr>
      </w:pPr>
      <w:r>
        <w:rPr>
          <w:rFonts w:ascii="Times New Roman" w:hAnsi="Times New Roman"/>
          <w:spacing w:val="0"/>
          <w:sz w:val="20"/>
        </w:rPr>
        <w:t>as-converted</w:t>
      </w:r>
    </w:p>
    <w:p>
      <w:pPr>
        <w:pStyle w:val="TextBody"/>
        <w:bidi w:val="0"/>
        <w:spacing w:before="120" w:after="0"/>
        <w:jc w:val="left"/>
        <w:rPr>
          <w:rFonts w:ascii="Times New Roman" w:hAnsi="Times New Roman"/>
          <w:sz w:val="20"/>
        </w:rPr>
      </w:pPr>
      <w:r>
        <w:rPr>
          <w:rFonts w:ascii="Times New Roman" w:hAnsi="Times New Roman"/>
          <w:sz w:val="20"/>
        </w:rPr>
        <w:t xml:space="preserve">to common stock basis. </w:t>
      </w:r>
    </w:p>
    <w:p>
      <w:pPr>
        <w:pStyle w:val="TextBody"/>
        <w:bidi w:val="0"/>
        <w:spacing w:before="360" w:after="0"/>
        <w:jc w:val="left"/>
        <w:rPr>
          <w:rFonts w:ascii="Times New Roman" w:hAnsi="Times New Roman"/>
          <w:b/>
          <w:sz w:val="20"/>
        </w:rPr>
      </w:pPr>
      <w:r>
        <w:rPr>
          <w:rFonts w:ascii="Times New Roman" w:hAnsi="Times New Roman"/>
          <w:b/>
          <w:sz w:val="20"/>
        </w:rPr>
        <w:t xml:space="preserve">7.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Company’s fourth amended and restated certificate of incorporation authorizes the authorizes the Company to issue 274,320,131 shares of common stock. As of December 31, 2025, the Company had reserved 215,060,316 shares of common stock for the conversion of the Preferred Stock (Note 6),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shares of common stock are entitled to one vote for each share held with respect to all matters voted on by the stockholders of the Company. The holders of common stock are also entitled to receive dividends whenever funds are legally available and when declared by the board of directors, subject to the prior rights of holders of all classes of stock outstanding. In a Deemed Liquidation Event, after the payment in full of all preferential amounts required to be paid to the holder of shares of Preferred Stock, the holders of the then outstanding common stock are entitled to receive that portion of the remaining funds to be distributed to holders of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8. Stock-Based Compensation </w:t>
      </w:r>
    </w:p>
    <w:p>
      <w:pPr>
        <w:pStyle w:val="TextBody"/>
        <w:bidi w:val="0"/>
        <w:spacing w:before="120" w:after="0"/>
        <w:jc w:val="left"/>
        <w:rPr>
          <w:rFonts w:ascii="Times New Roman" w:hAnsi="Times New Roman"/>
          <w:b/>
          <w:sz w:val="20"/>
        </w:rPr>
      </w:pPr>
      <w:r>
        <w:rPr>
          <w:rFonts w:ascii="Times New Roman" w:hAnsi="Times New Roman"/>
          <w:b/>
          <w:sz w:val="20"/>
        </w:rPr>
        <w:t xml:space="preserve">2016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In March 2016, the Company adopted the 2016 Stock Option and Grant Plan (the “2016 Plan”), which allows the granting of awards in the form of incentive stock options, nonqualified stock options, and stock grants, which may include restricted stock, to eligible employees, outside directors and consultants of the Company. The total number of common stock reserved for grant under the 2016 Plan was 48,749,161 shares as of December 31, 2025 and December 31, 2024, of which 4,475,263 and 1,993,987 shares remained available for future issuance as of December 31, 2025 and 2024, respectively. Shares that are expired, terminated, surrendered, or canceled without having been fully exercised will be available for future awards under the 2016 Plan. </w:t>
      </w:r>
    </w:p>
    <w:p>
      <w:pPr>
        <w:pStyle w:val="TextBody"/>
        <w:bidi w:val="0"/>
        <w:spacing w:before="240" w:after="0"/>
        <w:jc w:val="left"/>
        <w:rPr>
          <w:rFonts w:ascii="Times New Roman" w:hAnsi="Times New Roman"/>
          <w:sz w:val="20"/>
        </w:rPr>
      </w:pPr>
      <w:r>
        <w:rPr>
          <w:rFonts w:ascii="Times New Roman" w:hAnsi="Times New Roman"/>
          <w:sz w:val="20"/>
        </w:rPr>
        <w:t xml:space="preserve">The 2016 Plan is administered by the Company’s board of directors. The terms of stock awards agreements, including type of stock award to be granted, the provisions of each stock award, including the number of shares, vesting requirements, and exercise prices, are determined by the board of directors, and are subject to the provisions of the 2016 Plan. Option awards generally vest over a four-year period and expire after ten years. Certain options provide for accelerated vesting in the event of a change in control, as defined. The exercise price per share for stock options granted may not be less than the fair market value of the common stock at the date of grant.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Stock Options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granted stock options with service-based vesting conditions, performance-based, and with both service and performance-based vesting conditions. The Company typically grants stock options to employees and nonemployees at exercise prices deemed by the Board to be equal to the fair value of the common stock at the time of grant. Stock options typically vest over four years and have a maximum term of ten years. </w:t>
      </w:r>
    </w:p>
    <w:p>
      <w:pPr>
        <w:pStyle w:val="TextBody"/>
        <w:bidi w:val="0"/>
        <w:spacing w:before="240" w:after="0"/>
        <w:jc w:val="left"/>
        <w:rPr>
          <w:rFonts w:ascii="Times New Roman" w:hAnsi="Times New Roman"/>
          <w:sz w:val="20"/>
        </w:rPr>
      </w:pPr>
      <w:r>
        <w:rPr>
          <w:rFonts w:ascii="Times New Roman" w:hAnsi="Times New Roman"/>
          <w:sz w:val="20"/>
        </w:rPr>
        <w:t xml:space="preserve">The Company estimates the fair value of the stock options issued using the Black-Scholes option pricing model on the date of grant. The key assumptions used to apply this pricing model were as follows: </w:t>
      </w:r>
    </w:p>
    <w:p>
      <w:pPr>
        <w:pStyle w:val="TextBody"/>
        <w:bidi w:val="0"/>
        <w:spacing w:before="0" w:after="0"/>
        <w:jc w:val="left"/>
        <w:rPr/>
      </w:pPr>
      <w:r>
        <w:rPr/>
        <w:t> </w:t>
      </w:r>
    </w:p>
    <w:tbl>
      <w:tblPr>
        <w:tblW w:w="5948" w:type="dxa"/>
        <w:jc w:val="left"/>
        <w:tblInd w:w="0" w:type="dxa"/>
        <w:tblLayout w:type="fixed"/>
        <w:tblCellMar>
          <w:top w:w="0" w:type="dxa"/>
          <w:left w:w="0" w:type="dxa"/>
          <w:bottom w:w="0" w:type="dxa"/>
          <w:right w:w="0" w:type="dxa"/>
        </w:tblCellMar>
      </w:tblPr>
      <w:tblGrid>
        <w:gridCol w:w="2285"/>
        <w:gridCol w:w="120"/>
        <w:gridCol w:w="164"/>
        <w:gridCol w:w="1295"/>
        <w:gridCol w:w="275"/>
        <w:gridCol w:w="60"/>
        <w:gridCol w:w="164"/>
        <w:gridCol w:w="1295"/>
        <w:gridCol w:w="290"/>
      </w:tblGrid>
      <w:tr>
        <w:trPr/>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53"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tc>
        <w:tc>
          <w:tcPr>
            <w:tcW w:w="290"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0"/>
              <w:jc w:val="center"/>
              <w:rPr>
                <w:spacing w:val="0"/>
              </w:rPr>
            </w:pPr>
            <w:r>
              <w:rPr>
                <w:spacing w:val="0"/>
              </w:rPr>
              <w:t>  </w:t>
            </w:r>
            <w:r>
              <w:rPr>
                <w:b/>
                <w:spacing w:val="0"/>
              </w:rPr>
              <w:t>2025  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0"/>
              <w:jc w:val="center"/>
              <w:rPr>
                <w:spacing w:val="0"/>
              </w:rPr>
            </w:pPr>
            <w:r>
              <w:rPr>
                <w:spacing w:val="0"/>
              </w:rPr>
              <w:t>  </w:t>
            </w:r>
            <w:r>
              <w:rPr>
                <w:b/>
                <w:spacing w:val="0"/>
              </w:rPr>
              <w:t>2024  </w:t>
            </w:r>
          </w:p>
        </w:tc>
        <w:tc>
          <w:tcPr>
            <w:tcW w:w="290" w:type="dxa"/>
            <w:tcBorders/>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Fair value of common stock</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0.78 – 1.13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1.01 – 1.13</w:t>
            </w:r>
          </w:p>
        </w:tc>
        <w:tc>
          <w:tcPr>
            <w:tcW w:w="290" w:type="dxa"/>
            <w:tcBorders/>
            <w:shd w:fill="CCEEFF" w:val="cle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3.94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4.25</w:t>
            </w:r>
          </w:p>
        </w:tc>
        <w:tc>
          <w:tcPr>
            <w:tcW w:w="290" w:type="dxa"/>
            <w:tcBorders/>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term (in years)</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6.1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6.1</w:t>
            </w:r>
          </w:p>
        </w:tc>
        <w:tc>
          <w:tcPr>
            <w:tcW w:w="290" w:type="dxa"/>
            <w:tcBorders/>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89.54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133.20</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weighted average fair value of options granted during the years ended December 31, 2025 and 2024 was $0.62 and $1.03,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option activity under the 2016 Plan for the year ended December 31, 2025: </w:t>
      </w:r>
    </w:p>
    <w:p>
      <w:pPr>
        <w:pStyle w:val="TextBody"/>
        <w:bidi w:val="0"/>
        <w:spacing w:before="0" w:after="0"/>
        <w:jc w:val="left"/>
        <w:rPr/>
      </w:pPr>
      <w:r>
        <w:rPr/>
        <w:t> </w:t>
      </w:r>
    </w:p>
    <w:tbl>
      <w:tblPr>
        <w:tblW w:w="9480" w:type="dxa"/>
        <w:jc w:val="left"/>
        <w:tblInd w:w="0" w:type="dxa"/>
        <w:tblLayout w:type="fixed"/>
        <w:tblCellMar>
          <w:top w:w="0" w:type="dxa"/>
          <w:left w:w="0" w:type="dxa"/>
          <w:bottom w:w="0" w:type="dxa"/>
          <w:right w:w="0" w:type="dxa"/>
        </w:tblCellMar>
      </w:tblPr>
      <w:tblGrid>
        <w:gridCol w:w="3710"/>
        <w:gridCol w:w="120"/>
        <w:gridCol w:w="60"/>
        <w:gridCol w:w="1100"/>
        <w:gridCol w:w="155"/>
        <w:gridCol w:w="120"/>
        <w:gridCol w:w="258"/>
        <w:gridCol w:w="812"/>
        <w:gridCol w:w="60"/>
        <w:gridCol w:w="120"/>
        <w:gridCol w:w="197"/>
        <w:gridCol w:w="1053"/>
        <w:gridCol w:w="60"/>
        <w:gridCol w:w="120"/>
        <w:gridCol w:w="292"/>
        <w:gridCol w:w="1168"/>
        <w:gridCol w:w="75"/>
      </w:tblGrid>
      <w:tr>
        <w:trPr/>
        <w:tc>
          <w:tcPr>
            <w:tcW w:w="3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Number of</w:t>
              <w:br/>
              <w:t>Options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Weighted-</w:t>
              <w:br/>
              <w:t>Average</w:t>
              <w:br/>
              <w:t>Exercise</w:t>
              <w:br/>
              <w:t>Price</w:t>
              <w:br/>
              <w:t>Per Share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Weighted-</w:t>
              <w:br/>
              <w:t>Average</w:t>
              <w:br/>
              <w:t>Remaining</w:t>
              <w:br/>
              <w:t>Contractual</w:t>
              <w:br/>
              <w:t>Term</w:t>
              <w:br/>
              <w:t>(in 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Aggregate</w:t>
              <w:br/>
              <w:t>Intrinsic</w:t>
              <w:br/>
              <w:t>Value</w:t>
              <w:br/>
              <w:t>(in thousands)</w:t>
            </w:r>
          </w:p>
        </w:tc>
        <w:tc>
          <w:tcPr>
            <w:tcW w:w="75" w:type="dxa"/>
            <w:tcBorders/>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Outstanding at December 31, 2024</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40,628,032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812" w:type="dxa"/>
            <w:tcBorders/>
            <w:shd w:fill="CCEEFF" w:val="clear"/>
            <w:vAlign w:val="center"/>
          </w:tcPr>
          <w:p>
            <w:pPr>
              <w:pStyle w:val="TableContents"/>
              <w:bidi w:val="0"/>
              <w:spacing w:before="0" w:after="283"/>
              <w:jc w:val="right"/>
              <w:rPr/>
            </w:pPr>
            <w:r>
              <w:rPr/>
              <w:t>1.03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8.4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4,146</w:t>
            </w:r>
          </w:p>
        </w:tc>
        <w:tc>
          <w:tcPr>
            <w:tcW w:w="75" w:type="dxa"/>
            <w:tcBorders/>
            <w:shd w:fill="CCEEFF" w:val="clear"/>
            <w:vAlign w:val="center"/>
          </w:tcPr>
          <w:p>
            <w:pPr>
              <w:pStyle w:val="TableContents"/>
              <w:bidi w:val="0"/>
              <w:spacing w:before="0" w:after="283"/>
              <w:jc w:val="left"/>
              <w:rPr/>
            </w:pPr>
            <w:r>
              <w:rPr/>
              <w:t> </w:t>
            </w:r>
          </w:p>
        </w:tc>
      </w:tr>
      <w:tr>
        <w:trPr/>
        <w:tc>
          <w:tcPr>
            <w:tcW w:w="3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Options granted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432,000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right"/>
              <w:rPr/>
            </w:pPr>
            <w:r>
              <w:rPr/>
              <w:t>0.78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Options exercised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(20,146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pPr>
            <w:r>
              <w:rPr/>
              <w:t>0.97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05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sz w:val="4"/>
                <w:szCs w:val="4"/>
              </w:rPr>
            </w:pPr>
            <w:r>
              <w:rPr>
                <w:sz w:val="4"/>
                <w:szCs w:val="4"/>
              </w:rPr>
            </w:r>
          </w:p>
        </w:tc>
        <w:tc>
          <w:tcPr>
            <w:tcW w:w="1168"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Options forfeited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(2,530,814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right"/>
              <w:rPr/>
            </w:pPr>
            <w:r>
              <w:rPr/>
              <w:t>1.05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Options expired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(447,462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pPr>
            <w:r>
              <w:rPr/>
              <w:t>1.00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05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sz w:val="4"/>
                <w:szCs w:val="4"/>
              </w:rPr>
            </w:pPr>
            <w:r>
              <w:rPr>
                <w:sz w:val="4"/>
                <w:szCs w:val="4"/>
              </w:rPr>
            </w:r>
          </w:p>
        </w:tc>
        <w:tc>
          <w:tcPr>
            <w:tcW w:w="1168"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0"/>
              <w:jc w:val="left"/>
              <w:rPr>
                <w:bdr w:val="single" w:sz="2" w:space="1" w:color="000000"/>
              </w:rPr>
            </w:pPr>
            <w:r>
              <w:rPr>
                <w:bdr w:val="single" w:sz="2" w:space="1" w:color="000000"/>
              </w:rPr>
              <w:t> </w:t>
            </w:r>
          </w:p>
        </w:tc>
        <w:tc>
          <w:tcPr>
            <w:tcW w:w="81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bdr w:val="single" w:sz="2" w:space="1" w:color="000000"/>
              </w:rPr>
            </w:pPr>
            <w:r>
              <w:rPr>
                <w:bdr w:val="single" w:sz="2" w:space="1" w:color="000000"/>
              </w:rPr>
              <w:t> </w:t>
            </w:r>
          </w:p>
        </w:tc>
        <w:tc>
          <w:tcPr>
            <w:tcW w:w="105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0"/>
              <w:jc w:val="left"/>
              <w:rPr>
                <w:bdr w:val="single" w:sz="2" w:space="1" w:color="000000"/>
              </w:rPr>
            </w:pPr>
            <w:r>
              <w:rPr>
                <w:bdr w:val="single" w:sz="2" w:space="1" w:color="000000"/>
              </w:rPr>
              <w:t> </w:t>
            </w:r>
          </w:p>
        </w:tc>
        <w:tc>
          <w:tcPr>
            <w:tcW w:w="1168"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Outstanding at December 31, 2025</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38,061,610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w:t>
            </w:r>
          </w:p>
        </w:tc>
        <w:tc>
          <w:tcPr>
            <w:tcW w:w="812" w:type="dxa"/>
            <w:tcBorders/>
            <w:vAlign w:val="center"/>
          </w:tcPr>
          <w:p>
            <w:pPr>
              <w:pStyle w:val="TableContents"/>
              <w:bidi w:val="0"/>
              <w:spacing w:before="0" w:after="283"/>
              <w:jc w:val="right"/>
              <w:rPr/>
            </w:pPr>
            <w:r>
              <w:rPr/>
              <w:t>0.77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w:t>
            </w:r>
          </w:p>
        </w:tc>
        <w:tc>
          <w:tcPr>
            <w:tcW w:w="1168" w:type="dxa"/>
            <w:tcBorders/>
            <w:vAlign w:val="center"/>
          </w:tcPr>
          <w:p>
            <w:pPr>
              <w:pStyle w:val="TableContents"/>
              <w:bidi w:val="0"/>
              <w:spacing w:before="0" w:after="283"/>
              <w:jc w:val="right"/>
              <w:rPr/>
            </w:pPr>
            <w:r>
              <w:rPr/>
              <w:t>298</w:t>
            </w:r>
          </w:p>
        </w:tc>
        <w:tc>
          <w:tcPr>
            <w:tcW w:w="75" w:type="dxa"/>
            <w:tcBorders/>
            <w:vAlign w:val="center"/>
          </w:tcPr>
          <w:p>
            <w:pPr>
              <w:pStyle w:val="TableContents"/>
              <w:bidi w:val="0"/>
              <w:spacing w:before="0" w:after="283"/>
              <w:jc w:val="left"/>
              <w:rPr/>
            </w:pPr>
            <w:r>
              <w:rPr/>
              <w:t> </w:t>
            </w:r>
          </w:p>
        </w:tc>
      </w:tr>
      <w:tr>
        <w:trPr/>
        <w:tc>
          <w:tcPr>
            <w:tcW w:w="3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0"/>
              <w:jc w:val="left"/>
              <w:rPr>
                <w:bdr w:val="double" w:sz="6" w:space="1" w:color="000000"/>
              </w:rPr>
            </w:pPr>
            <w:r>
              <w:rPr>
                <w:bdr w:val="double" w:sz="6" w:space="1" w:color="000000"/>
              </w:rPr>
              <w:t> </w:t>
            </w:r>
          </w:p>
        </w:tc>
        <w:tc>
          <w:tcPr>
            <w:tcW w:w="812"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bdr w:val="double" w:sz="6" w:space="1" w:color="000000"/>
              </w:rPr>
            </w:pPr>
            <w:r>
              <w:rPr>
                <w:bdr w:val="double" w:sz="6" w:space="1" w:color="000000"/>
              </w:rPr>
              <w:t> </w:t>
            </w:r>
          </w:p>
        </w:tc>
        <w:tc>
          <w:tcPr>
            <w:tcW w:w="1053"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0"/>
              <w:jc w:val="left"/>
              <w:rPr>
                <w:bdr w:val="double" w:sz="6" w:space="1" w:color="000000"/>
              </w:rPr>
            </w:pPr>
            <w:r>
              <w:rPr>
                <w:bdr w:val="double" w:sz="6" w:space="1" w:color="000000"/>
              </w:rPr>
              <w:t> </w:t>
            </w:r>
          </w:p>
        </w:tc>
        <w:tc>
          <w:tcPr>
            <w:tcW w:w="1168"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Vested and exercisable at December 31, 2025</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23,056,967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812" w:type="dxa"/>
            <w:tcBorders/>
            <w:shd w:fill="CCEEFF" w:val="clear"/>
            <w:vAlign w:val="center"/>
          </w:tcPr>
          <w:p>
            <w:pPr>
              <w:pStyle w:val="TableContents"/>
              <w:bidi w:val="0"/>
              <w:spacing w:before="0" w:after="283"/>
              <w:jc w:val="right"/>
              <w:rPr/>
            </w:pPr>
            <w:r>
              <w:rPr/>
              <w:t>0.77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298</w:t>
            </w:r>
          </w:p>
        </w:tc>
        <w:tc>
          <w:tcPr>
            <w:tcW w:w="75" w:type="dxa"/>
            <w:tcBorders/>
            <w:shd w:fill="CCEEFF" w:val="clear"/>
            <w:vAlign w:val="center"/>
          </w:tcPr>
          <w:p>
            <w:pPr>
              <w:pStyle w:val="TableContents"/>
              <w:bidi w:val="0"/>
              <w:spacing w:before="0" w:after="283"/>
              <w:jc w:val="left"/>
              <w:rPr/>
            </w:pPr>
            <w:r>
              <w:rPr/>
              <w:t> </w:t>
            </w:r>
          </w:p>
        </w:tc>
      </w:tr>
      <w:tr>
        <w:trPr/>
        <w:tc>
          <w:tcPr>
            <w:tcW w:w="3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Unvested at December 31, 2025</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15,004,643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w:t>
            </w:r>
          </w:p>
        </w:tc>
        <w:tc>
          <w:tcPr>
            <w:tcW w:w="812" w:type="dxa"/>
            <w:tcBorders/>
            <w:vAlign w:val="center"/>
          </w:tcPr>
          <w:p>
            <w:pPr>
              <w:pStyle w:val="TableContents"/>
              <w:bidi w:val="0"/>
              <w:spacing w:before="0" w:after="283"/>
              <w:jc w:val="right"/>
              <w:rPr/>
            </w:pPr>
            <w:r>
              <w:rPr/>
              <w:t>0.78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8.2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w:t>
            </w:r>
          </w:p>
        </w:tc>
        <w:tc>
          <w:tcPr>
            <w:tcW w:w="116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Included within the total stock options outstanding at December 31, 2025, are 2,027,700 stock options to purchase common stock which have either both performance and service-based vesting criteria or performance only vesting criteria (collectively, the “Performance Awards”) and were granted to certain employees and officers during 2023 and 2024. Of the total 2,027,700 Performance Awards outstanding: (i) 1,231,034 outstanding stock options were granted in 2023 and had performance criteria tied to the achievement of three scientific milestones, each followed by two years of service vesting. Expense was recognized when achievement became probable. As of December 31, 2025, all three milestones associated with this grant had either been achieved or partially achieved; (ii) 442,592 outstanding stock options were granted in 2023 and had performance criteria tied to the completion of a strategic transaction, which was achieved upon the close of the Series C Preferred Stock financing in March 2024, and therefore the grant date fair value of the stock options was expensed in full upon achievement of the financing; and (iii) 354,074 outstanding stock options were granted in 2024 and had performance criteria tied to the achievement of strategic milestones of the Company along with service-based vesting conditions. As of December 31, 2025, the performance milestones have not yet been achieved and are not deemed probable of being achieved. Total stock-based compensation expense associated with performance stock options was $0.2 million and $0.7 million during the years ended December 31, 2025 and 2024,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aggregate intrinsic value of options is calculated as the difference between the exercise price of the stock options and the fair value of the Company’s common stock for those options that had exercise prices lower than the fair value of the Company’s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aggregate intrinsic value of options exercised for each of the years ended December 31, 2025 and 2024 totaled zero and $0.8 million, respectively. As of December 31, 2025 there was $13.3 million of unrecognized compensation expense, which the Company expects to recognize over a weighted-average period of 2.03 years.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recorded stock-based compensation expense as follows (in thousands): </w:t>
      </w:r>
    </w:p>
    <w:p>
      <w:pPr>
        <w:pStyle w:val="TextBody"/>
        <w:bidi w:val="0"/>
        <w:spacing w:before="0" w:after="0"/>
        <w:jc w:val="left"/>
        <w:rPr/>
      </w:pPr>
      <w:r>
        <w:rPr/>
        <w:t> </w:t>
      </w:r>
    </w:p>
    <w:tbl>
      <w:tblPr>
        <w:tblW w:w="4000" w:type="dxa"/>
        <w:jc w:val="left"/>
        <w:tblInd w:w="0" w:type="dxa"/>
        <w:tblLayout w:type="fixed"/>
        <w:tblCellMar>
          <w:top w:w="0" w:type="dxa"/>
          <w:left w:w="0" w:type="dxa"/>
          <w:bottom w:w="0" w:type="dxa"/>
          <w:right w:w="0" w:type="dxa"/>
        </w:tblCellMar>
      </w:tblPr>
      <w:tblGrid>
        <w:gridCol w:w="2225"/>
        <w:gridCol w:w="120"/>
        <w:gridCol w:w="140"/>
        <w:gridCol w:w="560"/>
        <w:gridCol w:w="60"/>
        <w:gridCol w:w="120"/>
        <w:gridCol w:w="140"/>
        <w:gridCol w:w="560"/>
        <w:gridCol w:w="75"/>
      </w:tblGrid>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3,733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2,938</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5,198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4,122</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8,931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7,060</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9. Income Taxes </w:t>
      </w:r>
    </w:p>
    <w:p>
      <w:pPr>
        <w:pStyle w:val="TextBody"/>
        <w:bidi w:val="0"/>
        <w:spacing w:before="120" w:after="0"/>
        <w:jc w:val="left"/>
        <w:rPr>
          <w:rFonts w:ascii="Times New Roman" w:hAnsi="Times New Roman"/>
          <w:sz w:val="20"/>
        </w:rPr>
      </w:pPr>
      <w:r>
        <w:rPr>
          <w:rFonts w:ascii="Times New Roman" w:hAnsi="Times New Roman"/>
          <w:sz w:val="20"/>
        </w:rPr>
        <w:t xml:space="preserve">For the years ended December 31, 2025 and 2024, no income tax expense was recorded due to the Company’s net operating loss (“NOL”) and full valuation allowance. The Company has historically incurred net operating losses and maintains a full valuation allowance against its deferred tax assets. </w:t>
      </w:r>
    </w:p>
    <w:p>
      <w:pPr>
        <w:pStyle w:val="TextBody"/>
        <w:bidi w:val="0"/>
        <w:spacing w:before="240" w:after="0"/>
        <w:jc w:val="left"/>
        <w:rPr>
          <w:rFonts w:ascii="Times New Roman" w:hAnsi="Times New Roman"/>
          <w:sz w:val="20"/>
        </w:rPr>
      </w:pPr>
      <w:r>
        <w:rPr>
          <w:rFonts w:ascii="Times New Roman" w:hAnsi="Times New Roman"/>
          <w:sz w:val="20"/>
        </w:rPr>
        <w:t xml:space="preserve">All of the Company’s operating losses since inception have been generated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The reported amount of income tax expense for the years differs from the amount that would result from applying domestic federal statutory rates to pretax losses primarily because of changes in the valuation allowance. </w:t>
      </w:r>
    </w:p>
    <w:p>
      <w:pPr>
        <w:pStyle w:val="TextBody"/>
        <w:bidi w:val="0"/>
        <w:spacing w:before="240" w:after="0"/>
        <w:jc w:val="left"/>
        <w:rPr>
          <w:rFonts w:ascii="Times New Roman" w:hAnsi="Times New Roman"/>
          <w:sz w:val="20"/>
        </w:rPr>
      </w:pPr>
      <w:r>
        <w:rPr>
          <w:rFonts w:ascii="Times New Roman" w:hAnsi="Times New Roman"/>
          <w:sz w:val="20"/>
        </w:rPr>
        <w:t xml:space="preserve">A reconciliation of the Company’s statutory income tax rate to the Company’s effective income tax rate is as follows: </w:t>
      </w:r>
    </w:p>
    <w:p>
      <w:pPr>
        <w:pStyle w:val="TextBody"/>
        <w:bidi w:val="0"/>
        <w:spacing w:before="0" w:after="0"/>
        <w:jc w:val="left"/>
        <w:rPr/>
      </w:pPr>
      <w:r>
        <w:rPr/>
        <w:t> </w:t>
      </w:r>
    </w:p>
    <w:tbl>
      <w:tblPr>
        <w:tblW w:w="8025" w:type="dxa"/>
        <w:jc w:val="left"/>
        <w:tblInd w:w="0" w:type="dxa"/>
        <w:tblLayout w:type="fixed"/>
        <w:tblCellMar>
          <w:top w:w="0" w:type="dxa"/>
          <w:left w:w="0" w:type="dxa"/>
          <w:bottom w:w="0" w:type="dxa"/>
          <w:right w:w="0" w:type="dxa"/>
        </w:tblCellMar>
      </w:tblPr>
      <w:tblGrid>
        <w:gridCol w:w="2810"/>
        <w:gridCol w:w="120"/>
        <w:gridCol w:w="87"/>
        <w:gridCol w:w="1103"/>
        <w:gridCol w:w="155"/>
        <w:gridCol w:w="120"/>
        <w:gridCol w:w="60"/>
        <w:gridCol w:w="635"/>
        <w:gridCol w:w="350"/>
        <w:gridCol w:w="60"/>
        <w:gridCol w:w="87"/>
        <w:gridCol w:w="1103"/>
        <w:gridCol w:w="155"/>
        <w:gridCol w:w="120"/>
        <w:gridCol w:w="60"/>
        <w:gridCol w:w="635"/>
        <w:gridCol w:w="365"/>
      </w:tblGrid>
      <w:tr>
        <w:trPr/>
        <w:tc>
          <w:tcPr>
            <w:tcW w:w="2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28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730"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365"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6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365"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 (in</w:t>
              <w:br/>
              <w:t>thousands)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Rate</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 (in</w:t>
              <w:br/>
              <w:t>thousands)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Rate</w:t>
            </w:r>
          </w:p>
        </w:tc>
        <w:tc>
          <w:tcPr>
            <w:tcW w:w="365" w:type="dxa"/>
            <w:tcBorders/>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Federal statutory income tax rate</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(21,127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21.00</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(17,523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21.00</w:t>
            </w:r>
          </w:p>
        </w:tc>
        <w:tc>
          <w:tcPr>
            <w:tcW w:w="365" w:type="dxa"/>
            <w:tcBorders/>
            <w:shd w:fill="CCEEFF" w:val="clear"/>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Permanent difference</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right"/>
              <w:rPr/>
            </w:pPr>
            <w:r>
              <w:rPr/>
              <w:t>777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(0.77</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right"/>
              <w:rPr/>
            </w:pPr>
            <w:r>
              <w:rPr/>
              <w:t>644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(0.77</w:t>
            </w:r>
          </w:p>
        </w:tc>
        <w:tc>
          <w:tcPr>
            <w:tcW w:w="365" w:type="dxa"/>
            <w:tcBorders/>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State taxes, net of federal benefit</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73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(0.07</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(123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0.15</w:t>
            </w:r>
          </w:p>
        </w:tc>
        <w:tc>
          <w:tcPr>
            <w:tcW w:w="365" w:type="dxa"/>
            <w:tcBorders/>
            <w:shd w:fill="CCEEFF" w:val="clear"/>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 credits</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right"/>
              <w:rPr/>
            </w:pPr>
            <w:r>
              <w:rPr/>
              <w:t>(3,781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3.76</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right"/>
              <w:rPr/>
            </w:pPr>
            <w:r>
              <w:rPr/>
              <w:t>(4,999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5.99</w:t>
            </w:r>
          </w:p>
        </w:tc>
        <w:tc>
          <w:tcPr>
            <w:tcW w:w="365" w:type="dxa"/>
            <w:tcBorders/>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valuation allowance</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24,058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(23.91</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22,002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(26.37</w:t>
            </w:r>
          </w:p>
        </w:tc>
        <w:tc>
          <w:tcPr>
            <w:tcW w:w="365" w:type="dxa"/>
            <w:tcBorders/>
            <w:shd w:fill="CCEEFF" w:val="clear"/>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0"/>
              <w:jc w:val="left"/>
              <w:rPr>
                <w:bdr w:val="single" w:sz="2" w:space="1" w:color="000000"/>
              </w:rPr>
            </w:pPr>
            <w:r>
              <w:rPr>
                <w:bdr w:val="single" w:sz="2" w:space="1" w:color="000000"/>
              </w:rPr>
              <w:t> </w:t>
            </w:r>
          </w:p>
        </w:tc>
        <w:tc>
          <w:tcPr>
            <w:tcW w:w="110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0"/>
              <w:jc w:val="left"/>
              <w:rPr>
                <w:bdr w:val="single" w:sz="2" w:space="1" w:color="000000"/>
              </w:rPr>
            </w:pPr>
            <w:r>
              <w:rPr>
                <w:bdr w:val="single" w:sz="2" w:space="1" w:color="000000"/>
              </w:rPr>
              <w:t> </w:t>
            </w:r>
          </w:p>
        </w:tc>
        <w:tc>
          <w:tcPr>
            <w:tcW w:w="110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365"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Effective income tax rate</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0.00</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0.00</w:t>
            </w:r>
          </w:p>
        </w:tc>
        <w:tc>
          <w:tcPr>
            <w:tcW w:w="3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2025 and 2024, state and local income taxes in Massachusetts comprised the majority of the state and local income taxes, net of federal benefit category.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Net deferred tax assets (liabilities) as of December 31, 2025 and 2024 consisted of the following (in thousands): </w:t>
      </w:r>
    </w:p>
    <w:p>
      <w:pPr>
        <w:pStyle w:val="TextBody"/>
        <w:bidi w:val="0"/>
        <w:spacing w:before="0" w:after="0"/>
        <w:jc w:val="left"/>
        <w:rPr/>
      </w:pPr>
      <w:r>
        <w:rPr/>
        <w:t> </w:t>
      </w:r>
    </w:p>
    <w:tbl>
      <w:tblPr>
        <w:tblW w:w="6530" w:type="dxa"/>
        <w:jc w:val="left"/>
        <w:tblInd w:w="0" w:type="dxa"/>
        <w:tblLayout w:type="fixed"/>
        <w:tblCellMar>
          <w:top w:w="0" w:type="dxa"/>
          <w:left w:w="0" w:type="dxa"/>
          <w:bottom w:w="0" w:type="dxa"/>
          <w:right w:w="0" w:type="dxa"/>
        </w:tblCellMar>
      </w:tblPr>
      <w:tblGrid>
        <w:gridCol w:w="4175"/>
        <w:gridCol w:w="120"/>
        <w:gridCol w:w="140"/>
        <w:gridCol w:w="755"/>
        <w:gridCol w:w="155"/>
        <w:gridCol w:w="120"/>
        <w:gridCol w:w="140"/>
        <w:gridCol w:w="755"/>
        <w:gridCol w:w="170"/>
      </w:tblGrid>
      <w:tr>
        <w:trPr/>
        <w:tc>
          <w:tcPr>
            <w:tcW w:w="4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w:t>
              <w:br/>
              <w:t>December 31,</w:t>
            </w:r>
          </w:p>
        </w:tc>
        <w:tc>
          <w:tcPr>
            <w:tcW w:w="17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Deferred tax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operating loss carryforwards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49,893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17,753</w:t>
            </w:r>
          </w:p>
        </w:tc>
        <w:tc>
          <w:tcPr>
            <w:tcW w:w="17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 tax credit carryforwards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23,251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18,430</w:t>
            </w:r>
          </w:p>
        </w:tc>
        <w:tc>
          <w:tcPr>
            <w:tcW w:w="170"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Lease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liability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1,794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1,800</w:t>
            </w:r>
          </w:p>
        </w:tc>
        <w:tc>
          <w:tcPr>
            <w:tcW w:w="17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 and other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885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1,352</w:t>
            </w:r>
          </w:p>
        </w:tc>
        <w:tc>
          <w:tcPr>
            <w:tcW w:w="170"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 Compensation Expense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2,815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2,192</w:t>
            </w:r>
          </w:p>
        </w:tc>
        <w:tc>
          <w:tcPr>
            <w:tcW w:w="17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IRC 174 capitalized research and development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19,836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27,129</w:t>
            </w:r>
          </w:p>
        </w:tc>
        <w:tc>
          <w:tcPr>
            <w:tcW w:w="170"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1,202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662</w:t>
            </w:r>
          </w:p>
        </w:tc>
        <w:tc>
          <w:tcPr>
            <w:tcW w:w="17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deferred tax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99,676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69,319</w:t>
            </w:r>
          </w:p>
        </w:tc>
        <w:tc>
          <w:tcPr>
            <w:tcW w:w="170"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Valuation allowance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(98,055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(67,584</w:t>
            </w:r>
          </w:p>
        </w:tc>
        <w:tc>
          <w:tcPr>
            <w:tcW w:w="17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deferred tax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1,621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1,735</w:t>
            </w:r>
          </w:p>
        </w:tc>
        <w:tc>
          <w:tcPr>
            <w:tcW w:w="170"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Deferred tax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Lease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(1,728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(1,734</w:t>
            </w:r>
          </w:p>
        </w:tc>
        <w:tc>
          <w:tcPr>
            <w:tcW w:w="170"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107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w:t>
            </w:r>
          </w:p>
        </w:tc>
        <w:tc>
          <w:tcPr>
            <w:tcW w:w="17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deferred tax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(1,621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(1,735</w:t>
            </w:r>
          </w:p>
        </w:tc>
        <w:tc>
          <w:tcPr>
            <w:tcW w:w="170"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deferred tax assets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2025 and 2024, the Company had federal NOL carryforwards of $186.5 million and $66.2 million, respectively, and state NOL carryforwards of $171.0 million and $61.2 million, respectively, which may be available to offset future taxable income. Federal NOL carryforwards do not expire and state NOLs begin to expire in 2037.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and 2024, the Company also had federal research and development tax credit carryforwards of $17.1 million and $13.3 million, respectively, and state research and development credit carryforwards of $7.7 million and $6.5 million, respectively, which may be available to offset future income tax liabilities. Federal and state research and development tax credit carryforwards begin to expire in 2037 and 2031, respectively. </w:t>
      </w:r>
    </w:p>
    <w:p>
      <w:pPr>
        <w:pStyle w:val="TextBody"/>
        <w:bidi w:val="0"/>
        <w:spacing w:before="240" w:after="0"/>
        <w:jc w:val="left"/>
        <w:rPr>
          <w:rFonts w:ascii="Times New Roman" w:hAnsi="Times New Roman"/>
          <w:sz w:val="20"/>
        </w:rPr>
      </w:pPr>
      <w:r>
        <w:rPr>
          <w:rFonts w:ascii="Times New Roman" w:hAnsi="Times New Roman"/>
          <w:sz w:val="20"/>
        </w:rPr>
        <w:t xml:space="preserve">Utilization of the net operating loss carryforwards may be subject to a substantial annual limitation under Section 382 of the Internal Revenue Code of 1986 due to ownership change limitations that have occurred previously or that could occur in the future. These ownership changes may limit the amount of net operating loss carryforwards that can be utilized annually to offset future taxable income and tax, respectively. The Company has completed an evaluation of ownership changes through December 31, 2022 to assess whether utilization of the Company’s net operating loss or research and development credit carryforwards would be subject to an annual limitation under Section 382, and it was determined that an ownership change has occurred. The Company has determined that no attributes will expire unused, as of December 31, 2022, based on the limitation analysis. To the extent a subsequent ownership change occurs, the net operating loss and credit carryforwards may be subject to additional limitation.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not yet conducted a study of its research and development credit carryforwards. This study may result in an increase or decrease to the Company’s credit carryforwards, however, until a study is completed, and any adjustment is known, no amounts are being presented as an uncertain tax position. A full valuation allowance has been provided against the Company’s credits, and if an adjustment is required, this adjustment would be offset by an adjustment to the valuation allowance. As a result, there would be no impact to the consolidated statements of operations and comprehensive loss or consolidated statements of cash flows if an adjustment were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has evaluated the positive and negative evidence bearing upon its ability to realize the deferred tax assets, which are comprised principally of net operating loss carryforwards and research and development credit carryforwards. Management has considered the Company’s history of net losses incurred since inception and its lack of commercialization of any products or generation of revenue from product sales since inception and has concluded that it is more likely than not that the Company will not realize the benefits of the deferred tax assets. Accordingly, a full valuation allowance has been established against the deferred tax assets as of December 31, 2025 and 2024. Management reevaluates the positive and negative evidence at each reporting period. </w:t>
      </w:r>
    </w:p>
    <w:p>
      <w:pPr>
        <w:pStyle w:val="TextBody"/>
        <w:bidi w:val="0"/>
        <w:spacing w:before="240" w:after="0"/>
        <w:jc w:val="left"/>
        <w:rPr>
          <w:rFonts w:ascii="Times New Roman" w:hAnsi="Times New Roman"/>
          <w:sz w:val="20"/>
        </w:rPr>
      </w:pPr>
      <w:r>
        <w:rPr>
          <w:rFonts w:ascii="Times New Roman" w:hAnsi="Times New Roman"/>
          <w:sz w:val="20"/>
        </w:rPr>
        <w:t xml:space="preserve">Changes in the valuation allowance for deferred tax assets during the years ended December 31, 2025 and 2024 related primarily to the increase in net operating loss carryforwards and were as follows (in thousands): </w:t>
      </w:r>
    </w:p>
    <w:p>
      <w:pPr>
        <w:pStyle w:val="TextBody"/>
        <w:bidi w:val="0"/>
        <w:spacing w:before="0" w:after="0"/>
        <w:jc w:val="left"/>
        <w:rPr/>
      </w:pPr>
      <w:r>
        <w:rPr/>
        <w:t> </w:t>
      </w:r>
    </w:p>
    <w:tbl>
      <w:tblPr>
        <w:tblW w:w="7868" w:type="dxa"/>
        <w:jc w:val="left"/>
        <w:tblInd w:w="0" w:type="dxa"/>
        <w:tblLayout w:type="fixed"/>
        <w:tblCellMar>
          <w:top w:w="0" w:type="dxa"/>
          <w:left w:w="0" w:type="dxa"/>
          <w:bottom w:w="0" w:type="dxa"/>
          <w:right w:w="0" w:type="dxa"/>
        </w:tblCellMar>
      </w:tblPr>
      <w:tblGrid>
        <w:gridCol w:w="3995"/>
        <w:gridCol w:w="120"/>
        <w:gridCol w:w="282"/>
        <w:gridCol w:w="1373"/>
        <w:gridCol w:w="120"/>
        <w:gridCol w:w="242"/>
        <w:gridCol w:w="282"/>
        <w:gridCol w:w="1379"/>
        <w:gridCol w:w="75"/>
      </w:tblGrid>
      <w:tr>
        <w:trPr/>
        <w:tc>
          <w:tcPr>
            <w:tcW w:w="3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78" w:type="dxa"/>
            <w:gridSpan w:val="6"/>
            <w:tcBorders>
              <w:bottom w:val="single" w:sz="8" w:space="0" w:color="000000"/>
            </w:tcBorders>
            <w:tcMar>
              <w:bottom w:w="28" w:type="dxa"/>
            </w:tcMar>
            <w:vAlign w:val="center"/>
          </w:tcPr>
          <w:p>
            <w:pPr>
              <w:pStyle w:val="TableContents"/>
              <w:bidi w:val="0"/>
              <w:spacing w:before="0" w:after="0"/>
              <w:jc w:val="center"/>
              <w:rPr>
                <w:spacing w:val="0"/>
              </w:rPr>
            </w:pPr>
            <w:r>
              <w:rPr>
                <w:spacing w:val="0"/>
              </w:rPr>
              <w:t>  </w:t>
            </w:r>
            <w:r>
              <w:rPr>
                <w:b/>
                <w:spacing w:val="0"/>
              </w:rPr>
              <w:t>Year Ended December 31,  </w:t>
            </w:r>
          </w:p>
        </w:tc>
        <w:tc>
          <w:tcPr>
            <w:tcW w:w="75" w:type="dxa"/>
            <w:tcBorders/>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center"/>
          </w:tcPr>
          <w:p>
            <w:pPr>
              <w:pStyle w:val="TableContents"/>
              <w:bidi w:val="0"/>
              <w:spacing w:before="0" w:after="0"/>
              <w:jc w:val="center"/>
              <w:rPr>
                <w:spacing w:val="0"/>
              </w:rPr>
            </w:pPr>
            <w:r>
              <w:rPr>
                <w:spacing w:val="0"/>
              </w:rPr>
              <w:t> </w:t>
            </w:r>
            <w:r>
              <w:rPr>
                <w:b/>
                <w:spacing w:val="0"/>
              </w:rPr>
              <w:t>2025 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661" w:type="dxa"/>
            <w:gridSpan w:val="2"/>
            <w:tcBorders>
              <w:bottom w:val="single" w:sz="8" w:space="0" w:color="000000"/>
            </w:tcBorders>
            <w:tcMar>
              <w:bottom w:w="28" w:type="dxa"/>
            </w:tcMar>
            <w:vAlign w:val="center"/>
          </w:tcPr>
          <w:p>
            <w:pPr>
              <w:pStyle w:val="TableContents"/>
              <w:bidi w:val="0"/>
              <w:spacing w:before="0" w:after="0"/>
              <w:jc w:val="center"/>
              <w:rPr>
                <w:spacing w:val="0"/>
              </w:rPr>
            </w:pPr>
            <w:r>
              <w:rPr>
                <w:spacing w:val="0"/>
              </w:rPr>
              <w:t> </w:t>
            </w:r>
            <w:r>
              <w:rPr>
                <w:b/>
                <w:spacing w:val="0"/>
              </w:rPr>
              <w:t>2024 </w:t>
            </w:r>
          </w:p>
        </w:tc>
        <w:tc>
          <w:tcPr>
            <w:tcW w:w="75" w:type="dxa"/>
            <w:tcBorders/>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Valuation allowance at the beginning of the year</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w:t>
            </w:r>
          </w:p>
        </w:tc>
        <w:tc>
          <w:tcPr>
            <w:tcW w:w="1373" w:type="dxa"/>
            <w:tcBorders/>
            <w:shd w:fill="CCEEFF" w:val="clear"/>
            <w:vAlign w:val="center"/>
          </w:tcPr>
          <w:p>
            <w:pPr>
              <w:pStyle w:val="TableContents"/>
              <w:bidi w:val="0"/>
              <w:spacing w:before="0" w:after="283"/>
              <w:jc w:val="right"/>
              <w:rPr/>
            </w:pPr>
            <w:r>
              <w:rPr/>
              <w:t>67,584</w:t>
            </w:r>
          </w:p>
        </w:tc>
        <w:tc>
          <w:tcPr>
            <w:tcW w:w="12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w:t>
            </w:r>
          </w:p>
        </w:tc>
        <w:tc>
          <w:tcPr>
            <w:tcW w:w="1379" w:type="dxa"/>
            <w:tcBorders/>
            <w:shd w:fill="CCEEFF" w:val="clear"/>
            <w:vAlign w:val="center"/>
          </w:tcPr>
          <w:p>
            <w:pPr>
              <w:pStyle w:val="TableContents"/>
              <w:bidi w:val="0"/>
              <w:spacing w:before="0" w:after="283"/>
              <w:jc w:val="right"/>
              <w:rPr/>
            </w:pPr>
            <w:r>
              <w:rPr/>
              <w:t>40,458</w:t>
            </w:r>
          </w:p>
        </w:tc>
        <w:tc>
          <w:tcPr>
            <w:tcW w:w="75" w:type="dxa"/>
            <w:tcBorders/>
            <w:shd w:fill="CCEEFF" w:val="clear"/>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Increases recorded to income tax provision</w:t>
            </w:r>
          </w:p>
        </w:tc>
        <w:tc>
          <w:tcPr>
            <w:tcW w:w="120"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30,471</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1379" w:type="dxa"/>
            <w:tcBorders/>
            <w:vAlign w:val="center"/>
          </w:tcPr>
          <w:p>
            <w:pPr>
              <w:pStyle w:val="TableContents"/>
              <w:bidi w:val="0"/>
              <w:spacing w:before="0" w:after="283"/>
              <w:jc w:val="right"/>
              <w:rPr/>
            </w:pPr>
            <w:r>
              <w:rPr/>
              <w:t>27,126</w:t>
            </w:r>
          </w:p>
        </w:tc>
        <w:tc>
          <w:tcPr>
            <w:tcW w:w="75" w:type="dxa"/>
            <w:tcBorders/>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0"/>
              <w:jc w:val="left"/>
              <w:rPr>
                <w:bdr w:val="single" w:sz="2" w:space="1" w:color="000000"/>
              </w:rPr>
            </w:pPr>
            <w:r>
              <w:rPr>
                <w:bdr w:val="single" w:sz="2" w:space="1" w:color="000000"/>
              </w:rPr>
              <w:t> </w:t>
            </w:r>
          </w:p>
        </w:tc>
        <w:tc>
          <w:tcPr>
            <w:tcW w:w="1373" w:type="dxa"/>
            <w:tcBorders/>
            <w:vAlign w:val="center"/>
          </w:tcPr>
          <w:p>
            <w:pPr>
              <w:pStyle w:val="TableContents"/>
              <w:bidi w:val="0"/>
              <w:spacing w:before="0" w:after="0"/>
              <w:jc w:val="left"/>
              <w:rPr>
                <w:bdr w:val="single" w:sz="2" w:space="1" w:color="000000"/>
              </w:rPr>
            </w:pPr>
            <w:r>
              <w:rPr>
                <w:bdr w:val="single" w:sz="2" w:space="1" w:color="000000"/>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0"/>
              <w:jc w:val="left"/>
              <w:rPr>
                <w:bdr w:val="single" w:sz="2" w:space="1" w:color="000000"/>
              </w:rPr>
            </w:pPr>
            <w:r>
              <w:rPr>
                <w:bdr w:val="single" w:sz="2" w:space="1" w:color="000000"/>
              </w:rPr>
              <w:t> </w:t>
            </w:r>
          </w:p>
        </w:tc>
        <w:tc>
          <w:tcPr>
            <w:tcW w:w="1379"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Valuation allowance at end of the year</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w:t>
            </w:r>
          </w:p>
        </w:tc>
        <w:tc>
          <w:tcPr>
            <w:tcW w:w="1373" w:type="dxa"/>
            <w:tcBorders/>
            <w:shd w:fill="CCEEFF" w:val="clear"/>
            <w:vAlign w:val="center"/>
          </w:tcPr>
          <w:p>
            <w:pPr>
              <w:pStyle w:val="TableContents"/>
              <w:bidi w:val="0"/>
              <w:spacing w:before="0" w:after="283"/>
              <w:jc w:val="right"/>
              <w:rPr/>
            </w:pPr>
            <w:r>
              <w:rPr/>
              <w:t>98,055</w:t>
            </w:r>
          </w:p>
        </w:tc>
        <w:tc>
          <w:tcPr>
            <w:tcW w:w="12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w:t>
            </w:r>
          </w:p>
        </w:tc>
        <w:tc>
          <w:tcPr>
            <w:tcW w:w="1379" w:type="dxa"/>
            <w:tcBorders/>
            <w:shd w:fill="CCEEFF" w:val="clear"/>
            <w:vAlign w:val="center"/>
          </w:tcPr>
          <w:p>
            <w:pPr>
              <w:pStyle w:val="TableContents"/>
              <w:bidi w:val="0"/>
              <w:spacing w:before="0" w:after="283"/>
              <w:jc w:val="right"/>
              <w:rPr/>
            </w:pPr>
            <w:r>
              <w:rPr/>
              <w:t>67,584</w:t>
            </w:r>
          </w:p>
        </w:tc>
        <w:tc>
          <w:tcPr>
            <w:tcW w:w="75" w:type="dxa"/>
            <w:tcBorders/>
            <w:shd w:fill="CCEEFF" w:val="clear"/>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0"/>
              <w:jc w:val="left"/>
              <w:rPr>
                <w:bdr w:val="double" w:sz="6" w:space="1" w:color="000000"/>
              </w:rPr>
            </w:pPr>
            <w:r>
              <w:rPr>
                <w:bdr w:val="double" w:sz="6" w:space="1" w:color="000000"/>
              </w:rPr>
              <w:t> </w:t>
            </w:r>
          </w:p>
        </w:tc>
        <w:tc>
          <w:tcPr>
            <w:tcW w:w="1373" w:type="dxa"/>
            <w:tcBorders/>
            <w:vAlign w:val="center"/>
          </w:tcPr>
          <w:p>
            <w:pPr>
              <w:pStyle w:val="TableContents"/>
              <w:bidi w:val="0"/>
              <w:spacing w:before="0" w:after="0"/>
              <w:jc w:val="left"/>
              <w:rPr>
                <w:bdr w:val="double" w:sz="6" w:space="1" w:color="000000"/>
              </w:rPr>
            </w:pPr>
            <w:r>
              <w:rPr>
                <w:bdr w:val="double" w:sz="6" w:space="1" w:color="000000"/>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0"/>
              <w:jc w:val="left"/>
              <w:rPr>
                <w:bdr w:val="double" w:sz="6" w:space="1" w:color="000000"/>
              </w:rPr>
            </w:pPr>
            <w:r>
              <w:rPr>
                <w:bdr w:val="double" w:sz="6" w:space="1" w:color="000000"/>
              </w:rPr>
              <w:t> </w:t>
            </w:r>
          </w:p>
        </w:tc>
        <w:tc>
          <w:tcPr>
            <w:tcW w:w="1379"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increase in the valuation allowance of $30.5 million during the year ended December 31, 2025 related primarily to the increase in net operating loss carryforwards. </w:t>
      </w:r>
    </w:p>
    <w:p>
      <w:pPr>
        <w:pStyle w:val="TextBody"/>
        <w:bidi w:val="0"/>
        <w:spacing w:before="240" w:after="0"/>
        <w:jc w:val="left"/>
        <w:rPr>
          <w:rFonts w:ascii="Times New Roman" w:hAnsi="Times New Roman"/>
          <w:sz w:val="20"/>
        </w:rPr>
      </w:pPr>
      <w:r>
        <w:rPr>
          <w:rFonts w:ascii="Times New Roman" w:hAnsi="Times New Roman"/>
          <w:sz w:val="20"/>
        </w:rPr>
        <w:t xml:space="preserve">The Company assesses the uncertainty in its income tax positions to determine whether a tax position of the Company is more likely than not to be sustained upon examination, including resolution of any related appeals of litigation processes, based on the technical merits of the position. For the tax position meeting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more-likely-than-not</w:t>
      </w:r>
    </w:p>
    <w:p>
      <w:pPr>
        <w:pStyle w:val="TextBody"/>
        <w:bidi w:val="0"/>
        <w:spacing w:before="240" w:after="0"/>
        <w:jc w:val="left"/>
        <w:rPr>
          <w:rFonts w:ascii="Times New Roman" w:hAnsi="Times New Roman"/>
          <w:sz w:val="20"/>
        </w:rPr>
      </w:pPr>
      <w:r>
        <w:rPr>
          <w:rFonts w:ascii="Times New Roman" w:hAnsi="Times New Roman"/>
          <w:sz w:val="20"/>
        </w:rPr>
        <w:t xml:space="preserve">threshold, the tax amount recognized in the financial statements is reduced by the largest benefit that has a greater than 50% likelihood of being realized upon the ultimate settlement with the relevant taxing authority. As of December 31, 2025 and 2024, the Company had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not</w:t>
      </w:r>
    </w:p>
    <w:p>
      <w:pPr>
        <w:pStyle w:val="TextBody"/>
        <w:bidi w:val="0"/>
        <w:spacing w:before="240" w:after="0"/>
        <w:jc w:val="left"/>
        <w:rPr>
          <w:rFonts w:ascii="Times New Roman" w:hAnsi="Times New Roman"/>
          <w:sz w:val="20"/>
        </w:rPr>
      </w:pPr>
      <w:r>
        <w:rPr>
          <w:rFonts w:ascii="Times New Roman" w:hAnsi="Times New Roman"/>
          <w:sz w:val="20"/>
        </w:rPr>
        <w:t xml:space="preserve">recorded any reserves for uncertain tax positions or related interest and penalties.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files income tax returns as prescribed by the tax law of the jurisdiction in which it operates. In the normal course of business, the Company is subject to examination by federal and state jurisdiction, where applicable. Since the Company is in a loss carryforward position, it is generally subject to examination by the U.S. federal, state, and local income tax authorities for all tax years in which a loss carryforward is available. </w:t>
      </w:r>
    </w:p>
    <w:p>
      <w:pPr>
        <w:pStyle w:val="TextBody"/>
        <w:bidi w:val="0"/>
        <w:spacing w:before="360" w:after="0"/>
        <w:jc w:val="left"/>
        <w:rPr>
          <w:rFonts w:ascii="Times New Roman" w:hAnsi="Times New Roman"/>
          <w:b/>
          <w:sz w:val="20"/>
        </w:rPr>
      </w:pPr>
      <w:r>
        <w:rPr>
          <w:rFonts w:ascii="Times New Roman" w:hAnsi="Times New Roman"/>
          <w:b/>
          <w:sz w:val="20"/>
        </w:rPr>
        <w:t xml:space="preserve">10. Commitments and Contingencies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401(k) Plan </w:t>
      </w:r>
    </w:p>
    <w:p>
      <w:pPr>
        <w:pStyle w:val="TextBody"/>
        <w:bidi w:val="0"/>
        <w:spacing w:before="120" w:after="0"/>
        <w:jc w:val="left"/>
        <w:rPr>
          <w:rFonts w:ascii="Times New Roman" w:hAnsi="Times New Roman"/>
          <w:sz w:val="20"/>
        </w:rPr>
      </w:pPr>
      <w:r>
        <w:rPr>
          <w:rFonts w:ascii="Times New Roman" w:hAnsi="Times New Roman"/>
          <w:sz w:val="20"/>
        </w:rPr>
        <w:t xml:space="preserve">In January 2017, and as amended in February 2020, the Company established a defined contribution plan under Section 401(k) of the Internal Revenue Code (the “401(k) Plan”). The 401(k) Plan covers all employees who meet defined minimum age and service requirements and allows participants to defer a portion of their annual compensation on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pre-tax</w:t>
      </w:r>
    </w:p>
    <w:p>
      <w:pPr>
        <w:pStyle w:val="TextBody"/>
        <w:bidi w:val="0"/>
        <w:spacing w:before="120" w:after="0"/>
        <w:jc w:val="left"/>
        <w:rPr>
          <w:rFonts w:ascii="Times New Roman" w:hAnsi="Times New Roman"/>
          <w:sz w:val="20"/>
        </w:rPr>
      </w:pPr>
      <w:r>
        <w:rPr>
          <w:rFonts w:ascii="Times New Roman" w:hAnsi="Times New Roman"/>
          <w:sz w:val="20"/>
        </w:rPr>
        <w:t xml:space="preserve">basis. Starting in 2020, the Company makes matching contributions at a rate of 100% of each employee’s contribution up to a maximum employee contribution of 3% of eligible plan compensation. For each of the years ended December 31, 2025 and 2024, the Company made matching contributions of $0.5 million.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Other Contractual Obligations </w:t>
      </w:r>
    </w:p>
    <w:p>
      <w:pPr>
        <w:pStyle w:val="TextBody"/>
        <w:bidi w:val="0"/>
        <w:spacing w:before="120" w:after="0"/>
        <w:jc w:val="left"/>
        <w:rPr>
          <w:rFonts w:ascii="Times New Roman" w:hAnsi="Times New Roman"/>
          <w:sz w:val="20"/>
        </w:rPr>
      </w:pPr>
      <w:r>
        <w:rPr>
          <w:rFonts w:ascii="Times New Roman" w:hAnsi="Times New Roman"/>
          <w:sz w:val="20"/>
        </w:rPr>
        <w:t xml:space="preserve">The Company enters into contracts in the normal course of business with third parties for preclinical research studies, upcoming clinical trials and testing and manufacturing services. These contracts typically do not contain minimum purchase commitments and are generally cancelable by the Company upon written notice. Payments due upon cancellation consist of payments for services provided or expenses incurred, including noncancelable obligations of the service providers, up to the date of cancellation and in the case of certain arrangements may include noncancelable fees.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business, the Company may provide indemnification of varying scope and terms to vendors, lessors, contract research organizations,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its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The Company has not incurred any material costs as a result of such indemnifications and is not currently aware of any indemnification claims.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not a party to any material legal proceedings. At each reporting date, the Company evaluates whether a potential loss amount or a potential range of losses is probable and reasonably estimable under the provisions of the authoritative guidance that addresses accounting for contingencies. The Company expenses as incurred the costs related to such legal proceedings.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Collaboration and License Agreement with University of Texas M.D. Anderson Cancer Center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2020, the Company entered into a multi-year collaborative research and option agreement (the “Collaboration Agreement”) with the Board of Regents (the “Board of Regents”) of The University of Texas System, on behalf of the University of Texas M.D. Anderson Cancer Center (“M.D. Anderson”) designed to expedite the research and development of novel engineered TIL for the treatment of solid tumors. Pursuant to the Collaboration Agreement, as amended, the Company agreed to fund research activities of up to $8.3 million over approximately two years and received the option to obtain a license to certain intellectual property arising from the collaboration. The collaboration focused on developing TIL containing regulated membrane-bound IL15 (“mbIL15”) with the potential to enhance anti-tumor efficacy and reduce tumor burden in patients suffering from different types of solid tumors. The collaboration’s purpose was to accelerate the development of cytoTIL, including process and analytical development and clinical readiness activities. The Collaboration Agreement expired in 2023 and, prior to such expiration, the Company exercised its option to license certain intellectual property arising from the collaboration and subsequently entered into the resulting license agreement with the Board of Regents on behalf of M.D. Anderson (“M.D. Anderson License Agreement”) in October 2021. </w:t>
      </w:r>
    </w:p>
    <w:p>
      <w:pPr>
        <w:pStyle w:val="TextBody"/>
        <w:bidi w:val="0"/>
        <w:spacing w:before="240" w:after="0"/>
        <w:jc w:val="left"/>
        <w:rPr>
          <w:rFonts w:ascii="Times New Roman" w:hAnsi="Times New Roman"/>
          <w:sz w:val="20"/>
        </w:rPr>
      </w:pPr>
      <w:r>
        <w:rPr>
          <w:rFonts w:ascii="Times New Roman" w:hAnsi="Times New Roman"/>
          <w:sz w:val="20"/>
        </w:rPr>
        <w:t xml:space="preserve">Under the M.D. Anderson License Agreement, the Company is obligated to pay to M.D. Anderson (a) a royalty on net sales of Developed Products and licensed products at a low single digit percentage (b) milestone payments of up to (i) $75.0 million upon the achievement of certain specified clinical and regulatory milestones and (ii) $90.0 million upon the achievement of certain specified sales milestones, which milestones may be payable with respect to multiple products and indications and (c) a share of certain consideration received by the Company from sublicensees under any sublicense agreements with third parties. As of December 31, 2025, no additional milestone payments were considered probable of achievement and, accordingly, no related liability has been recognized. </w:t>
      </w:r>
    </w:p>
    <w:p>
      <w:pPr>
        <w:pStyle w:val="TextBody"/>
        <w:bidi w:val="0"/>
        <w:spacing w:before="240" w:after="0"/>
        <w:jc w:val="left"/>
        <w:rPr>
          <w:rFonts w:ascii="Times New Roman" w:hAnsi="Times New Roman"/>
          <w:sz w:val="20"/>
        </w:rPr>
      </w:pPr>
      <w:r>
        <w:rPr>
          <w:rFonts w:ascii="Times New Roman" w:hAnsi="Times New Roman"/>
          <w:sz w:val="20"/>
        </w:rPr>
        <w:t xml:space="preserve">The M.D. Anderson License Agreement may be terminated by the Board of Regents upon notice for an uncured challenge of the Board of Regents’ patents and by mutual agreement of us and the Board of Regents. </w:t>
      </w:r>
    </w:p>
    <w:p>
      <w:pPr>
        <w:pStyle w:val="TextBody"/>
        <w:bidi w:val="0"/>
        <w:spacing w:before="360" w:after="0"/>
        <w:jc w:val="left"/>
        <w:rPr>
          <w:rFonts w:ascii="Times New Roman" w:hAnsi="Times New Roman"/>
          <w:b/>
          <w:sz w:val="20"/>
        </w:rPr>
      </w:pPr>
      <w:r>
        <w:rPr>
          <w:rFonts w:ascii="Times New Roman" w:hAnsi="Times New Roman"/>
          <w:b/>
          <w:sz w:val="20"/>
        </w:rPr>
        <w:t xml:space="preserve">11. Leases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leases laboratory and office space in Cambridge, Massachusetts under an operating lease with a term expiring in January 2027.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Additionally, the Company leases office space in Bedford, Massachusetts under an operating lease with a term expiring in December 2028. During the year ended December 31, 2025, and 2024, the components of operating lease cost were as follows, and are reflected in general and administrative expenses and research and development expenses, as determined by the underlying activities (in thousands): </w:t>
      </w:r>
    </w:p>
    <w:p>
      <w:pPr>
        <w:pStyle w:val="TextBody"/>
        <w:bidi w:val="0"/>
        <w:spacing w:before="0" w:after="0"/>
        <w:jc w:val="left"/>
        <w:rPr/>
      </w:pPr>
      <w:r>
        <w:rPr/>
        <w:t> </w:t>
      </w:r>
    </w:p>
    <w:tbl>
      <w:tblPr>
        <w:tblW w:w="4150" w:type="dxa"/>
        <w:jc w:val="left"/>
        <w:tblInd w:w="0" w:type="dxa"/>
        <w:tblLayout w:type="fixed"/>
        <w:tblCellMar>
          <w:top w:w="0" w:type="dxa"/>
          <w:left w:w="0" w:type="dxa"/>
          <w:bottom w:w="0" w:type="dxa"/>
          <w:right w:w="0" w:type="dxa"/>
        </w:tblCellMar>
      </w:tblPr>
      <w:tblGrid>
        <w:gridCol w:w="2375"/>
        <w:gridCol w:w="120"/>
        <w:gridCol w:w="140"/>
        <w:gridCol w:w="560"/>
        <w:gridCol w:w="60"/>
        <w:gridCol w:w="120"/>
        <w:gridCol w:w="140"/>
        <w:gridCol w:w="560"/>
        <w:gridCol w:w="75"/>
      </w:tblGrid>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tc>
        <w:tc>
          <w:tcPr>
            <w:tcW w:w="75"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Lease cost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cost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2,757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2,757</w:t>
            </w:r>
          </w:p>
        </w:tc>
        <w:tc>
          <w:tcPr>
            <w:tcW w:w="75"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Variable operating lease cost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541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516</w:t>
            </w:r>
          </w:p>
        </w:tc>
        <w:tc>
          <w:tcPr>
            <w:tcW w:w="75" w:type="dxa"/>
            <w:tcBorders/>
            <w:shd w:fill="CCEEFF" w:val="clear"/>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lease cost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3,298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3,273</w:t>
            </w:r>
          </w:p>
        </w:tc>
        <w:tc>
          <w:tcPr>
            <w:tcW w:w="75"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information related to the measurement of the Company’s operating leases for the years ended December 31, 2025 and 2024 (in thousands): </w:t>
      </w:r>
    </w:p>
    <w:p>
      <w:pPr>
        <w:pStyle w:val="TextBody"/>
        <w:bidi w:val="0"/>
        <w:spacing w:before="0" w:after="0"/>
        <w:jc w:val="left"/>
        <w:rPr/>
      </w:pPr>
      <w:r>
        <w:rPr/>
        <w:t> </w:t>
      </w:r>
    </w:p>
    <w:tbl>
      <w:tblPr>
        <w:tblW w:w="8690" w:type="dxa"/>
        <w:jc w:val="left"/>
        <w:tblInd w:w="0" w:type="dxa"/>
        <w:tblLayout w:type="fixed"/>
        <w:tblCellMar>
          <w:top w:w="0" w:type="dxa"/>
          <w:left w:w="0" w:type="dxa"/>
          <w:bottom w:w="0" w:type="dxa"/>
          <w:right w:w="0" w:type="dxa"/>
        </w:tblCellMar>
      </w:tblPr>
      <w:tblGrid>
        <w:gridCol w:w="6545"/>
        <w:gridCol w:w="120"/>
        <w:gridCol w:w="140"/>
        <w:gridCol w:w="560"/>
        <w:gridCol w:w="275"/>
        <w:gridCol w:w="60"/>
        <w:gridCol w:w="140"/>
        <w:gridCol w:w="560"/>
        <w:gridCol w:w="290"/>
      </w:tblGrid>
      <w:tr>
        <w:trPr/>
        <w:tc>
          <w:tcPr>
            <w:tcW w:w="6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65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tc>
        <w:tc>
          <w:tcPr>
            <w:tcW w:w="290" w:type="dxa"/>
            <w:tcBorders/>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29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remaining lease term (years)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1.90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2.80</w:t>
            </w:r>
          </w:p>
        </w:tc>
        <w:tc>
          <w:tcPr>
            <w:tcW w:w="29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discount rate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6.82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7.13</w:t>
            </w:r>
          </w:p>
        </w:tc>
        <w:tc>
          <w:tcPr>
            <w:tcW w:w="29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paid for amounts included in the measurement of operating lease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2,896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2,776</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Maturities of the Company’s operating lease liabilities at December 31, 2025 are as follows (in thousands): </w:t>
      </w:r>
    </w:p>
    <w:p>
      <w:pPr>
        <w:pStyle w:val="TextBody"/>
        <w:bidi w:val="0"/>
        <w:spacing w:before="0" w:after="0"/>
        <w:jc w:val="left"/>
        <w:rPr/>
      </w:pPr>
      <w:r>
        <w:rPr/>
        <w:t> </w:t>
      </w:r>
    </w:p>
    <w:tbl>
      <w:tblPr>
        <w:tblW w:w="4895" w:type="dxa"/>
        <w:jc w:val="left"/>
        <w:tblInd w:w="0" w:type="dxa"/>
        <w:tblLayout w:type="fixed"/>
        <w:tblCellMar>
          <w:top w:w="0" w:type="dxa"/>
          <w:left w:w="0" w:type="dxa"/>
          <w:bottom w:w="0" w:type="dxa"/>
          <w:right w:w="0" w:type="dxa"/>
        </w:tblCellMar>
      </w:tblPr>
      <w:tblGrid>
        <w:gridCol w:w="3905"/>
        <w:gridCol w:w="120"/>
        <w:gridCol w:w="140"/>
        <w:gridCol w:w="560"/>
        <w:gridCol w:w="170"/>
      </w:tblGrid>
      <w:tr>
        <w:trPr/>
        <w:tc>
          <w:tcPr>
            <w:tcW w:w="3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9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2,976</w:t>
            </w:r>
          </w:p>
        </w:tc>
        <w:tc>
          <w:tcPr>
            <w:tcW w:w="170" w:type="dxa"/>
            <w:tcBorders/>
            <w:shd w:fill="CCEEFF" w:val="clear"/>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855</w:t>
            </w:r>
          </w:p>
        </w:tc>
        <w:tc>
          <w:tcPr>
            <w:tcW w:w="170" w:type="dxa"/>
            <w:tcBorders/>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673</w:t>
            </w:r>
          </w:p>
        </w:tc>
        <w:tc>
          <w:tcPr>
            <w:tcW w:w="170" w:type="dxa"/>
            <w:tcBorders/>
            <w:shd w:fill="CCEEFF" w:val="clear"/>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minimum lease payments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4,504</w:t>
            </w:r>
          </w:p>
        </w:tc>
        <w:tc>
          <w:tcPr>
            <w:tcW w:w="170" w:type="dxa"/>
            <w:tcBorders/>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Interest portion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(232</w:t>
            </w:r>
          </w:p>
        </w:tc>
        <w:tc>
          <w:tcPr>
            <w:tcW w:w="170" w:type="dxa"/>
            <w:tcBorders/>
            <w:shd w:fill="CCEEFF" w:val="clear"/>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present value of operating lease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4,272</w:t>
            </w:r>
          </w:p>
        </w:tc>
        <w:tc>
          <w:tcPr>
            <w:tcW w:w="170"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12. Net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computation of the Company’s basic and diluted net loss per share for the periods presented (in thousands, except share and per share amounts): </w:t>
      </w:r>
    </w:p>
    <w:p>
      <w:pPr>
        <w:pStyle w:val="TextBody"/>
        <w:bidi w:val="0"/>
        <w:spacing w:before="0" w:after="0"/>
        <w:jc w:val="left"/>
        <w:rPr/>
      </w:pPr>
      <w:r>
        <w:rPr/>
        <w:t> </w:t>
      </w:r>
    </w:p>
    <w:tbl>
      <w:tblPr>
        <w:tblW w:w="9005" w:type="dxa"/>
        <w:jc w:val="left"/>
        <w:tblInd w:w="0" w:type="dxa"/>
        <w:tblLayout w:type="fixed"/>
        <w:tblCellMar>
          <w:top w:w="0" w:type="dxa"/>
          <w:left w:w="0" w:type="dxa"/>
          <w:bottom w:w="0" w:type="dxa"/>
          <w:right w:w="0" w:type="dxa"/>
        </w:tblCellMar>
      </w:tblPr>
      <w:tblGrid>
        <w:gridCol w:w="5960"/>
        <w:gridCol w:w="120"/>
        <w:gridCol w:w="140"/>
        <w:gridCol w:w="1100"/>
        <w:gridCol w:w="155"/>
        <w:gridCol w:w="120"/>
        <w:gridCol w:w="140"/>
        <w:gridCol w:w="1100"/>
        <w:gridCol w:w="170"/>
      </w:tblGrid>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9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5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(100,607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(83,109</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basic and diluted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13,935,769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12,848,484</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(7.22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(6.47</w:t>
            </w:r>
          </w:p>
        </w:tc>
        <w:tc>
          <w:tcPr>
            <w:tcW w:w="170" w:type="dxa"/>
            <w:tcBorders/>
            <w:shd w:fill="CCEEFF" w:val="clear"/>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excluded the following shares from the computation of diluted net loss per share attributable to common stockholders’ during the year ended December 31, 2025, and 2024 because including them would have had an anti-dilutive effect: </w:t>
      </w:r>
    </w:p>
    <w:p>
      <w:pPr>
        <w:pStyle w:val="TextBody"/>
        <w:bidi w:val="0"/>
        <w:spacing w:before="0" w:after="0"/>
        <w:jc w:val="left"/>
        <w:rPr/>
      </w:pPr>
      <w:r>
        <w:rPr/>
        <w:t> </w:t>
      </w:r>
    </w:p>
    <w:tbl>
      <w:tblPr>
        <w:tblW w:w="6195" w:type="dxa"/>
        <w:jc w:val="left"/>
        <w:tblInd w:w="0" w:type="dxa"/>
        <w:tblLayout w:type="fixed"/>
        <w:tblCellMar>
          <w:top w:w="0" w:type="dxa"/>
          <w:left w:w="0" w:type="dxa"/>
          <w:bottom w:w="0" w:type="dxa"/>
          <w:right w:w="0" w:type="dxa"/>
        </w:tblCellMar>
      </w:tblPr>
      <w:tblGrid>
        <w:gridCol w:w="3260"/>
        <w:gridCol w:w="120"/>
        <w:gridCol w:w="60"/>
        <w:gridCol w:w="1220"/>
        <w:gridCol w:w="60"/>
        <w:gridCol w:w="120"/>
        <w:gridCol w:w="60"/>
        <w:gridCol w:w="1220"/>
        <w:gridCol w:w="75"/>
      </w:tblGrid>
      <w:tr>
        <w:trPr/>
        <w:tc>
          <w:tcPr>
            <w:tcW w:w="3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4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75"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215,038,192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215,038,192</w:t>
            </w:r>
          </w:p>
        </w:tc>
        <w:tc>
          <w:tcPr>
            <w:tcW w:w="75" w:type="dxa"/>
            <w:tcBorders/>
            <w:shd w:fill="CCEEFF" w:val="clear"/>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Warrants to purchase Series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A-1</w:t>
            </w:r>
          </w:p>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22,124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22,124</w:t>
            </w:r>
          </w:p>
        </w:tc>
        <w:tc>
          <w:tcPr>
            <w:tcW w:w="75"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Options to purchase common stock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38,061,610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40,628,032</w:t>
            </w:r>
          </w:p>
        </w:tc>
        <w:tc>
          <w:tcPr>
            <w:tcW w:w="75" w:type="dxa"/>
            <w:tcBorders/>
            <w:shd w:fill="CCEEFF" w:val="clear"/>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253,121,926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255,688,348</w:t>
            </w:r>
          </w:p>
        </w:tc>
        <w:tc>
          <w:tcPr>
            <w:tcW w:w="75"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13. Related 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Company entered into individual collaboration and license agreements with Celgene Corporation (“Celgene”) in 2019 and 2020, respectively, and a collaboration agreement with Vertex Pharmaceuticals, Inc. (“Vertex”) in 2021. Both Celgene and Vertex purchased the Company’s Preferred Stock in connection with the collaboration agreements. All performance obligations under the collaboration agreements were satisfied in previous reporting periods. Accordingly, during the years ended December 31, 2025 and 2024, the Company did not recognize related party revenue associated with the collaboration agreements. The Celgene collaboration agreement was terminated in October 2025 and the Celgene license agreement was terminated in November 2025. The Vertex collaboration agreement expired in April 2025. No future revenue associated with these collaboration arrangements will be recognized. </w:t>
      </w:r>
    </w:p>
    <w:p>
      <w:pPr>
        <w:pStyle w:val="TextBody"/>
        <w:bidi w:val="0"/>
        <w:spacing w:before="360" w:after="0"/>
        <w:jc w:val="left"/>
        <w:rPr>
          <w:rFonts w:ascii="Times New Roman" w:hAnsi="Times New Roman"/>
          <w:b/>
          <w:sz w:val="20"/>
        </w:rPr>
      </w:pPr>
      <w:r>
        <w:rPr>
          <w:rFonts w:ascii="Times New Roman" w:hAnsi="Times New Roman"/>
          <w:b/>
          <w:sz w:val="20"/>
        </w:rPr>
        <w:t xml:space="preserve">14. Segment Information </w:t>
      </w:r>
    </w:p>
    <w:p>
      <w:pPr>
        <w:pStyle w:val="TextBody"/>
        <w:bidi w:val="0"/>
        <w:spacing w:before="120" w:after="0"/>
        <w:jc w:val="left"/>
        <w:rPr>
          <w:rFonts w:ascii="Times New Roman" w:hAnsi="Times New Roman"/>
          <w:sz w:val="20"/>
        </w:rPr>
      </w:pPr>
      <w:r>
        <w:rPr>
          <w:rFonts w:ascii="Times New Roman" w:hAnsi="Times New Roman"/>
          <w:sz w:val="20"/>
        </w:rPr>
        <w:t>The Company operates and manages its business as a single segment, focused on developing engineered cell and gene therapies to deliver transformative outcomes for patients. The Company’s cytoDRiVE</w:t>
      </w:r>
    </w:p>
    <w:p>
      <w:pPr>
        <w:pStyle w:val="TextBody"/>
        <w:bidi w:val="0"/>
        <w:spacing w:before="120" w:after="0"/>
        <w:jc w:val="left"/>
        <w:rPr>
          <w:rFonts w:ascii="Times New Roman" w:hAnsi="Times New Roman"/>
          <w:sz w:val="12"/>
        </w:rPr>
      </w:pPr>
      <w:r>
        <w:rPr>
          <w:rFonts w:ascii="Times New Roman" w:hAnsi="Times New Roman"/>
          <w:sz w:val="12"/>
        </w:rPr>
        <w:t>®</w:t>
      </w:r>
    </w:p>
    <w:p>
      <w:pPr>
        <w:pStyle w:val="TextBody"/>
        <w:bidi w:val="0"/>
        <w:spacing w:before="120" w:after="0"/>
        <w:jc w:val="left"/>
        <w:rPr>
          <w:rFonts w:ascii="Times New Roman" w:hAnsi="Times New Roman"/>
          <w:sz w:val="20"/>
        </w:rPr>
      </w:pPr>
      <w:r>
        <w:rPr>
          <w:rFonts w:ascii="Times New Roman" w:hAnsi="Times New Roman"/>
          <w:sz w:val="20"/>
        </w:rPr>
        <w:t xml:space="preserve">technology is designed to precisely regulate the timing and level of protein function by using </w:t>
      </w:r>
    </w:p>
    <w:p>
      <w:pPr>
        <w:pStyle w:val="TextBody"/>
        <w:bidi w:val="0"/>
        <w:spacing w:before="120" w:after="0"/>
        <w:jc w:val="left"/>
        <w:rPr>
          <w:rFonts w:ascii="Times New Roman" w:hAnsi="Times New Roman"/>
          <w:spacing w:val="0"/>
          <w:sz w:val="20"/>
        </w:rPr>
      </w:pPr>
      <w:r>
        <w:rPr>
          <w:rFonts w:ascii="Times New Roman" w:hAnsi="Times New Roman"/>
          <w:spacing w:val="0"/>
          <w:sz w:val="20"/>
        </w:rPr>
        <w:t>FDA-approved</w:t>
      </w:r>
    </w:p>
    <w:p>
      <w:pPr>
        <w:pStyle w:val="TextBody"/>
        <w:bidi w:val="0"/>
        <w:spacing w:before="120" w:after="0"/>
        <w:jc w:val="left"/>
        <w:rPr>
          <w:rFonts w:ascii="Times New Roman" w:hAnsi="Times New Roman"/>
          <w:sz w:val="20"/>
        </w:rPr>
      </w:pPr>
      <w:r>
        <w:rPr>
          <w:rFonts w:ascii="Times New Roman" w:hAnsi="Times New Roman"/>
          <w:sz w:val="20"/>
        </w:rPr>
        <w:t>small molecule drugs. The Company’s lead investigational cytoTIL15</w:t>
      </w:r>
    </w:p>
    <w:p>
      <w:pPr>
        <w:pStyle w:val="TextBody"/>
        <w:bidi w:val="0"/>
        <w:spacing w:before="120" w:after="0"/>
        <w:jc w:val="left"/>
        <w:rPr/>
      </w:pPr>
      <w:r>
        <w:rPr/>
        <w:t>™</w:t>
      </w:r>
    </w:p>
    <w:p>
      <w:pPr>
        <w:pStyle w:val="TextBody"/>
        <w:bidi w:val="0"/>
        <w:spacing w:before="120" w:after="0"/>
        <w:jc w:val="left"/>
        <w:rPr>
          <w:rFonts w:ascii="Times New Roman" w:hAnsi="Times New Roman"/>
          <w:sz w:val="20"/>
        </w:rPr>
      </w:pPr>
      <w:r>
        <w:rPr>
          <w:rFonts w:ascii="Times New Roman" w:hAnsi="Times New Roman"/>
          <w:sz w:val="20"/>
        </w:rPr>
        <w:t xml:space="preserve">program, </w:t>
      </w:r>
    </w:p>
    <w:p>
      <w:pPr>
        <w:pStyle w:val="TextBody"/>
        <w:bidi w:val="0"/>
        <w:spacing w:before="120" w:after="0"/>
        <w:jc w:val="left"/>
        <w:rPr>
          <w:rFonts w:ascii="Times New Roman" w:hAnsi="Times New Roman"/>
          <w:spacing w:val="0"/>
          <w:sz w:val="20"/>
        </w:rPr>
      </w:pPr>
      <w:r>
        <w:rPr>
          <w:rFonts w:ascii="Times New Roman" w:hAnsi="Times New Roman"/>
          <w:spacing w:val="0"/>
          <w:sz w:val="20"/>
        </w:rPr>
        <w:t>amsoki-cel,</w:t>
      </w:r>
    </w:p>
    <w:p>
      <w:pPr>
        <w:pStyle w:val="TextBody"/>
        <w:bidi w:val="0"/>
        <w:spacing w:before="120" w:after="0"/>
        <w:jc w:val="left"/>
        <w:rPr>
          <w:rFonts w:ascii="Times New Roman" w:hAnsi="Times New Roman"/>
          <w:sz w:val="20"/>
        </w:rPr>
      </w:pPr>
      <w:r>
        <w:rPr>
          <w:rFonts w:ascii="Times New Roman" w:hAnsi="Times New Roman"/>
          <w:sz w:val="20"/>
        </w:rPr>
        <w:t xml:space="preserve">is a novel engineered tumor-derived autologous T cell immunotherapy, with the potential to become a treatment option for metastatic melanoma and other solid tumors. </w:t>
      </w:r>
    </w:p>
    <w:p>
      <w:pPr>
        <w:pStyle w:val="TextBody"/>
        <w:bidi w:val="0"/>
        <w:spacing w:before="240" w:after="0"/>
        <w:jc w:val="left"/>
        <w:rPr>
          <w:rFonts w:ascii="Times New Roman" w:hAnsi="Times New Roman"/>
          <w:sz w:val="20"/>
        </w:rPr>
      </w:pPr>
      <w:r>
        <w:rPr>
          <w:rFonts w:ascii="Times New Roman" w:hAnsi="Times New Roman"/>
          <w:sz w:val="20"/>
        </w:rPr>
        <w:t xml:space="preserve">The determination of a single reporting and operating segment is consistent with the consolidated financial information regularly provided to the Company’s chief operating decision maker (“CODM”). The Company’s Chief Executive Officer (“CEO”), as the CODM, uses consolidated, single-segment financial information for purposes of evaluating performance, making operating decisions, allocating resources, and planning and forecasting for future periods. The CODM assesses performance and decides how to allocate resources based on consolidated net income (loss). This measure is used to monitor budget versus actual results to evaluate the performance of the segment. The CODM reviews cash, cash equivalents and marketable securities as a measure of segment assets. As of December 31, 2025 and 2024, the Company’s cash, cash equivalents and marketable securities were $80.5 million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and </w:t>
      </w:r>
    </w:p>
    <w:p>
      <w:pPr>
        <w:pStyle w:val="TextBody"/>
        <w:bidi w:val="0"/>
        <w:spacing w:before="240" w:after="0"/>
        <w:jc w:val="left"/>
        <w:rPr>
          <w:rFonts w:ascii="Times New Roman" w:hAnsi="Times New Roman"/>
          <w:sz w:val="20"/>
        </w:rPr>
      </w:pPr>
      <w:r>
        <w:rPr>
          <w:rFonts w:ascii="Times New Roman" w:hAnsi="Times New Roman"/>
          <w:sz w:val="20"/>
        </w:rPr>
        <w:t xml:space="preserve">$168.3 million,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respectively</w:t>
      </w:r>
    </w:p>
    <w:p>
      <w:pPr>
        <w:pStyle w:val="TextBody"/>
        <w:bidi w:val="0"/>
        <w:spacing w:before="24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tables illustrate information about segment revenue, significant segment expenses and segment operating loss for the years ended December 31, 2025 and 2024 (in thousands): </w:t>
      </w:r>
    </w:p>
    <w:p>
      <w:pPr>
        <w:pStyle w:val="TextBody"/>
        <w:bidi w:val="0"/>
        <w:spacing w:before="0" w:after="0"/>
        <w:jc w:val="left"/>
        <w:rPr/>
      </w:pPr>
      <w:r>
        <w:rPr/>
        <w:t> </w:t>
      </w:r>
    </w:p>
    <w:tbl>
      <w:tblPr>
        <w:tblW w:w="6387" w:type="dxa"/>
        <w:jc w:val="left"/>
        <w:tblInd w:w="0" w:type="dxa"/>
        <w:tblLayout w:type="fixed"/>
        <w:tblCellMar>
          <w:top w:w="0" w:type="dxa"/>
          <w:left w:w="0" w:type="dxa"/>
          <w:bottom w:w="0" w:type="dxa"/>
          <w:right w:w="0" w:type="dxa"/>
        </w:tblCellMar>
      </w:tblPr>
      <w:tblGrid>
        <w:gridCol w:w="3380"/>
        <w:gridCol w:w="120"/>
        <w:gridCol w:w="173"/>
        <w:gridCol w:w="1089"/>
        <w:gridCol w:w="192"/>
        <w:gridCol w:w="149"/>
        <w:gridCol w:w="173"/>
        <w:gridCol w:w="941"/>
        <w:gridCol w:w="170"/>
      </w:tblGrid>
      <w:tr>
        <w:trPr/>
        <w:tc>
          <w:tcPr>
            <w:tcW w:w="3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3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17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2"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92"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2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089" w:type="dxa"/>
            <w:tcBorders/>
            <w:shd w:fill="CCEEFF" w:val="clear"/>
            <w:vAlign w:val="center"/>
          </w:tcPr>
          <w:p>
            <w:pPr>
              <w:pStyle w:val="TableContents"/>
              <w:bidi w:val="0"/>
              <w:spacing w:before="0" w:after="283"/>
              <w:jc w:val="right"/>
              <w:rPr/>
            </w:pPr>
            <w:r>
              <w:rPr/>
              <w:t>— </w:t>
            </w:r>
          </w:p>
        </w:tc>
        <w:tc>
          <w:tcPr>
            <w:tcW w:w="192"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941"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Less(1):</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3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expenses(2):</w:t>
            </w:r>
          </w:p>
        </w:tc>
        <w:tc>
          <w:tcPr>
            <w:tcW w:w="12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sz w:val="4"/>
                <w:szCs w:val="4"/>
              </w:rPr>
            </w:pPr>
            <w:r>
              <w:rPr>
                <w:sz w:val="4"/>
                <w:szCs w:val="4"/>
              </w:rPr>
            </w:r>
          </w:p>
        </w:tc>
        <w:tc>
          <w:tcPr>
            <w:tcW w:w="1089" w:type="dxa"/>
            <w:tcBorders/>
            <w:shd w:fill="CCEEFF" w:val="clear"/>
            <w:vAlign w:val="center"/>
          </w:tcPr>
          <w:p>
            <w:pPr>
              <w:pStyle w:val="TableContents"/>
              <w:bidi w:val="0"/>
              <w:spacing w:before="0" w:after="283"/>
              <w:jc w:val="left"/>
              <w:rPr>
                <w:sz w:val="4"/>
                <w:szCs w:val="4"/>
              </w:rPr>
            </w:pPr>
            <w:r>
              <w:rPr>
                <w:sz w:val="4"/>
                <w:szCs w:val="4"/>
              </w:rPr>
            </w:r>
          </w:p>
        </w:tc>
        <w:tc>
          <w:tcPr>
            <w:tcW w:w="192" w:type="dxa"/>
            <w:tcBorders/>
            <w:shd w:fill="CCEEFF" w:val="clear"/>
            <w:vAlign w:val="center"/>
          </w:tcPr>
          <w:p>
            <w:pPr>
              <w:pStyle w:val="TableContents"/>
              <w:bidi w:val="0"/>
              <w:spacing w:before="0" w:after="283"/>
              <w:jc w:val="left"/>
              <w:rPr>
                <w:sz w:val="4"/>
                <w:szCs w:val="4"/>
              </w:rPr>
            </w:pPr>
            <w:r>
              <w:rPr>
                <w:sz w:val="4"/>
                <w:szCs w:val="4"/>
              </w:rPr>
            </w:r>
          </w:p>
        </w:tc>
        <w:tc>
          <w:tcPr>
            <w:tcW w:w="149"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sz w:val="4"/>
                <w:szCs w:val="4"/>
              </w:rPr>
            </w:pPr>
            <w:r>
              <w:rPr>
                <w:sz w:val="4"/>
                <w:szCs w:val="4"/>
              </w:rPr>
            </w:r>
          </w:p>
        </w:tc>
        <w:tc>
          <w:tcPr>
            <w:tcW w:w="941"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Compensation and related expenses</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pPr>
            <w:r>
              <w:rPr/>
              <w:t>21,828</w:t>
            </w:r>
          </w:p>
        </w:tc>
        <w:tc>
          <w:tcPr>
            <w:tcW w:w="192"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right"/>
              <w:rPr/>
            </w:pPr>
            <w:r>
              <w:rPr/>
              <w:t>24,537</w:t>
            </w:r>
          </w:p>
        </w:tc>
        <w:tc>
          <w:tcPr>
            <w:tcW w:w="17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Drug discovery and platform</w:t>
            </w:r>
          </w:p>
        </w:tc>
        <w:tc>
          <w:tcPr>
            <w:tcW w:w="12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1,026</w:t>
            </w:r>
          </w:p>
        </w:tc>
        <w:tc>
          <w:tcPr>
            <w:tcW w:w="192"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844</w:t>
            </w:r>
          </w:p>
        </w:tc>
        <w:tc>
          <w:tcPr>
            <w:tcW w:w="170"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Clinical and manufacturing activities</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pPr>
            <w:r>
              <w:rPr/>
              <w:t>52,065</w:t>
            </w:r>
          </w:p>
        </w:tc>
        <w:tc>
          <w:tcPr>
            <w:tcW w:w="192"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right"/>
              <w:rPr/>
            </w:pPr>
            <w:r>
              <w:rPr/>
              <w:t>36,831</w:t>
            </w:r>
          </w:p>
        </w:tc>
        <w:tc>
          <w:tcPr>
            <w:tcW w:w="17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Occupancy and all other costs</w:t>
            </w:r>
          </w:p>
        </w:tc>
        <w:tc>
          <w:tcPr>
            <w:tcW w:w="12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7,461</w:t>
            </w:r>
          </w:p>
        </w:tc>
        <w:tc>
          <w:tcPr>
            <w:tcW w:w="192"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8,037</w:t>
            </w:r>
          </w:p>
        </w:tc>
        <w:tc>
          <w:tcPr>
            <w:tcW w:w="170"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0"/>
              <w:jc w:val="left"/>
              <w:rPr>
                <w:bdr w:val="single" w:sz="2" w:space="1" w:color="000000"/>
              </w:rPr>
            </w:pPr>
            <w:r>
              <w:rPr>
                <w:bdr w:val="single" w:sz="2" w:space="1" w:color="000000"/>
              </w:rPr>
              <w:t> </w:t>
            </w:r>
          </w:p>
        </w:tc>
        <w:tc>
          <w:tcPr>
            <w:tcW w:w="1089" w:type="dxa"/>
            <w:tcBorders/>
            <w:vAlign w:val="center"/>
          </w:tcPr>
          <w:p>
            <w:pPr>
              <w:pStyle w:val="TableContents"/>
              <w:bidi w:val="0"/>
              <w:spacing w:before="0" w:after="0"/>
              <w:jc w:val="left"/>
              <w:rPr>
                <w:bdr w:val="single" w:sz="2" w:space="1" w:color="000000"/>
              </w:rPr>
            </w:pPr>
            <w:r>
              <w:rPr>
                <w:bdr w:val="single" w:sz="2" w:space="1" w:color="000000"/>
              </w:rPr>
              <w:t> </w:t>
            </w:r>
          </w:p>
        </w:tc>
        <w:tc>
          <w:tcPr>
            <w:tcW w:w="192"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0"/>
              <w:jc w:val="left"/>
              <w:rPr>
                <w:bdr w:val="single" w:sz="2" w:space="1" w:color="000000"/>
              </w:rPr>
            </w:pPr>
            <w:r>
              <w:rPr>
                <w:bdr w:val="single" w:sz="2" w:space="1" w:color="000000"/>
              </w:rPr>
              <w:t> </w:t>
            </w:r>
          </w:p>
        </w:tc>
        <w:tc>
          <w:tcPr>
            <w:tcW w:w="94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w:t>
            </w:r>
          </w:p>
        </w:tc>
        <w:tc>
          <w:tcPr>
            <w:tcW w:w="1089" w:type="dxa"/>
            <w:tcBorders/>
            <w:vAlign w:val="center"/>
          </w:tcPr>
          <w:p>
            <w:pPr>
              <w:pStyle w:val="TableContents"/>
              <w:bidi w:val="0"/>
              <w:spacing w:before="0" w:after="283"/>
              <w:jc w:val="right"/>
              <w:rPr/>
            </w:pPr>
            <w:r>
              <w:rPr/>
              <w:t>82,380</w:t>
            </w:r>
          </w:p>
        </w:tc>
        <w:tc>
          <w:tcPr>
            <w:tcW w:w="192"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w:t>
            </w:r>
          </w:p>
        </w:tc>
        <w:tc>
          <w:tcPr>
            <w:tcW w:w="941" w:type="dxa"/>
            <w:tcBorders/>
            <w:vAlign w:val="center"/>
          </w:tcPr>
          <w:p>
            <w:pPr>
              <w:pStyle w:val="TableContents"/>
              <w:bidi w:val="0"/>
              <w:spacing w:before="0" w:after="283"/>
              <w:jc w:val="right"/>
              <w:rPr/>
            </w:pPr>
            <w:r>
              <w:rPr/>
              <w:t>70,249</w:t>
            </w:r>
          </w:p>
        </w:tc>
        <w:tc>
          <w:tcPr>
            <w:tcW w:w="17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expenses(3):</w:t>
            </w:r>
          </w:p>
        </w:tc>
        <w:tc>
          <w:tcPr>
            <w:tcW w:w="12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sz w:val="4"/>
                <w:szCs w:val="4"/>
              </w:rPr>
            </w:pPr>
            <w:r>
              <w:rPr>
                <w:sz w:val="4"/>
                <w:szCs w:val="4"/>
              </w:rPr>
            </w:r>
          </w:p>
        </w:tc>
        <w:tc>
          <w:tcPr>
            <w:tcW w:w="1089" w:type="dxa"/>
            <w:tcBorders/>
            <w:shd w:fill="CCEEFF" w:val="clear"/>
            <w:vAlign w:val="center"/>
          </w:tcPr>
          <w:p>
            <w:pPr>
              <w:pStyle w:val="TableContents"/>
              <w:bidi w:val="0"/>
              <w:spacing w:before="0" w:after="283"/>
              <w:jc w:val="left"/>
              <w:rPr>
                <w:sz w:val="4"/>
                <w:szCs w:val="4"/>
              </w:rPr>
            </w:pPr>
            <w:r>
              <w:rPr>
                <w:sz w:val="4"/>
                <w:szCs w:val="4"/>
              </w:rPr>
            </w:r>
          </w:p>
        </w:tc>
        <w:tc>
          <w:tcPr>
            <w:tcW w:w="192" w:type="dxa"/>
            <w:tcBorders/>
            <w:shd w:fill="CCEEFF" w:val="clear"/>
            <w:vAlign w:val="center"/>
          </w:tcPr>
          <w:p>
            <w:pPr>
              <w:pStyle w:val="TableContents"/>
              <w:bidi w:val="0"/>
              <w:spacing w:before="0" w:after="283"/>
              <w:jc w:val="left"/>
              <w:rPr>
                <w:sz w:val="4"/>
                <w:szCs w:val="4"/>
              </w:rPr>
            </w:pPr>
            <w:r>
              <w:rPr>
                <w:sz w:val="4"/>
                <w:szCs w:val="4"/>
              </w:rPr>
            </w:r>
          </w:p>
        </w:tc>
        <w:tc>
          <w:tcPr>
            <w:tcW w:w="149"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sz w:val="4"/>
                <w:szCs w:val="4"/>
              </w:rPr>
            </w:pPr>
            <w:r>
              <w:rPr>
                <w:sz w:val="4"/>
                <w:szCs w:val="4"/>
              </w:rPr>
            </w:r>
          </w:p>
        </w:tc>
        <w:tc>
          <w:tcPr>
            <w:tcW w:w="941"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Compensation and related expenses</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pPr>
            <w:r>
              <w:rPr/>
              <w:t>8,174</w:t>
            </w:r>
          </w:p>
        </w:tc>
        <w:tc>
          <w:tcPr>
            <w:tcW w:w="192"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right"/>
              <w:rPr/>
            </w:pPr>
            <w:r>
              <w:rPr/>
              <w:t>7,912</w:t>
            </w:r>
          </w:p>
        </w:tc>
        <w:tc>
          <w:tcPr>
            <w:tcW w:w="17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Consulting and professional services</w:t>
            </w:r>
          </w:p>
        </w:tc>
        <w:tc>
          <w:tcPr>
            <w:tcW w:w="12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4,382</w:t>
            </w:r>
          </w:p>
        </w:tc>
        <w:tc>
          <w:tcPr>
            <w:tcW w:w="192"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4,791</w:t>
            </w:r>
          </w:p>
        </w:tc>
        <w:tc>
          <w:tcPr>
            <w:tcW w:w="170"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Occupancy and all other costs</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pPr>
            <w:r>
              <w:rPr/>
              <w:t>1,800</w:t>
            </w:r>
          </w:p>
        </w:tc>
        <w:tc>
          <w:tcPr>
            <w:tcW w:w="192"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right"/>
              <w:rPr/>
            </w:pPr>
            <w:r>
              <w:rPr/>
              <w:t>1,243</w:t>
            </w:r>
          </w:p>
        </w:tc>
        <w:tc>
          <w:tcPr>
            <w:tcW w:w="17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0"/>
              <w:jc w:val="left"/>
              <w:rPr>
                <w:bdr w:val="single" w:sz="2" w:space="1" w:color="000000"/>
              </w:rPr>
            </w:pPr>
            <w:r>
              <w:rPr>
                <w:bdr w:val="single" w:sz="2" w:space="1" w:color="000000"/>
              </w:rPr>
              <w:t> </w:t>
            </w:r>
          </w:p>
        </w:tc>
        <w:tc>
          <w:tcPr>
            <w:tcW w:w="1089" w:type="dxa"/>
            <w:tcBorders/>
            <w:vAlign w:val="center"/>
          </w:tcPr>
          <w:p>
            <w:pPr>
              <w:pStyle w:val="TableContents"/>
              <w:bidi w:val="0"/>
              <w:spacing w:before="0" w:after="0"/>
              <w:jc w:val="left"/>
              <w:rPr>
                <w:bdr w:val="single" w:sz="2" w:space="1" w:color="000000"/>
              </w:rPr>
            </w:pPr>
            <w:r>
              <w:rPr>
                <w:bdr w:val="single" w:sz="2" w:space="1" w:color="000000"/>
              </w:rPr>
              <w:t> </w:t>
            </w:r>
          </w:p>
        </w:tc>
        <w:tc>
          <w:tcPr>
            <w:tcW w:w="192"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0"/>
              <w:jc w:val="left"/>
              <w:rPr>
                <w:bdr w:val="single" w:sz="2" w:space="1" w:color="000000"/>
              </w:rPr>
            </w:pPr>
            <w:r>
              <w:rPr>
                <w:bdr w:val="single" w:sz="2" w:space="1" w:color="000000"/>
              </w:rPr>
              <w:t> </w:t>
            </w:r>
          </w:p>
        </w:tc>
        <w:tc>
          <w:tcPr>
            <w:tcW w:w="94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general and administrative expense</w:t>
            </w:r>
          </w:p>
        </w:tc>
        <w:tc>
          <w:tcPr>
            <w:tcW w:w="12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089" w:type="dxa"/>
            <w:tcBorders/>
            <w:shd w:fill="CCEEFF" w:val="clear"/>
            <w:vAlign w:val="center"/>
          </w:tcPr>
          <w:p>
            <w:pPr>
              <w:pStyle w:val="TableContents"/>
              <w:bidi w:val="0"/>
              <w:spacing w:before="0" w:after="283"/>
              <w:jc w:val="right"/>
              <w:rPr/>
            </w:pPr>
            <w:r>
              <w:rPr/>
              <w:t>14,356</w:t>
            </w:r>
          </w:p>
        </w:tc>
        <w:tc>
          <w:tcPr>
            <w:tcW w:w="192"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941" w:type="dxa"/>
            <w:tcBorders/>
            <w:shd w:fill="CCEEFF" w:val="clear"/>
            <w:vAlign w:val="center"/>
          </w:tcPr>
          <w:p>
            <w:pPr>
              <w:pStyle w:val="TableContents"/>
              <w:bidi w:val="0"/>
              <w:spacing w:before="0" w:after="283"/>
              <w:jc w:val="right"/>
              <w:rPr/>
            </w:pPr>
            <w:r>
              <w:rPr/>
              <w:t>13,946</w:t>
            </w:r>
          </w:p>
        </w:tc>
        <w:tc>
          <w:tcPr>
            <w:tcW w:w="170"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pPr>
            <w:r>
              <w:rPr/>
              <w:t>8,931</w:t>
            </w:r>
          </w:p>
        </w:tc>
        <w:tc>
          <w:tcPr>
            <w:tcW w:w="192"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right"/>
              <w:rPr/>
            </w:pPr>
            <w:r>
              <w:rPr/>
              <w:t>7,060</w:t>
            </w:r>
          </w:p>
        </w:tc>
        <w:tc>
          <w:tcPr>
            <w:tcW w:w="17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segment items(4)</w:t>
            </w:r>
          </w:p>
        </w:tc>
        <w:tc>
          <w:tcPr>
            <w:tcW w:w="12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(5,060</w:t>
            </w:r>
          </w:p>
        </w:tc>
        <w:tc>
          <w:tcPr>
            <w:tcW w:w="192"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(8,146</w:t>
            </w:r>
          </w:p>
        </w:tc>
        <w:tc>
          <w:tcPr>
            <w:tcW w:w="170"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0"/>
              <w:jc w:val="left"/>
              <w:rPr>
                <w:bdr w:val="single" w:sz="2" w:space="1" w:color="000000"/>
              </w:rPr>
            </w:pPr>
            <w:r>
              <w:rPr>
                <w:bdr w:val="single" w:sz="2" w:space="1" w:color="000000"/>
              </w:rPr>
              <w:t> </w:t>
            </w:r>
          </w:p>
        </w:tc>
        <w:tc>
          <w:tcPr>
            <w:tcW w:w="1089" w:type="dxa"/>
            <w:tcBorders/>
            <w:vAlign w:val="center"/>
          </w:tcPr>
          <w:p>
            <w:pPr>
              <w:pStyle w:val="TableContents"/>
              <w:bidi w:val="0"/>
              <w:spacing w:before="0" w:after="0"/>
              <w:jc w:val="left"/>
              <w:rPr>
                <w:bdr w:val="single" w:sz="2" w:space="1" w:color="000000"/>
              </w:rPr>
            </w:pPr>
            <w:r>
              <w:rPr>
                <w:bdr w:val="single" w:sz="2" w:space="1" w:color="000000"/>
              </w:rPr>
              <w:t> </w:t>
            </w:r>
          </w:p>
        </w:tc>
        <w:tc>
          <w:tcPr>
            <w:tcW w:w="192"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0"/>
              <w:jc w:val="left"/>
              <w:rPr>
                <w:bdr w:val="single" w:sz="2" w:space="1" w:color="000000"/>
              </w:rPr>
            </w:pPr>
            <w:r>
              <w:rPr>
                <w:bdr w:val="single" w:sz="2" w:space="1" w:color="000000"/>
              </w:rPr>
              <w:t> </w:t>
            </w:r>
          </w:p>
        </w:tc>
        <w:tc>
          <w:tcPr>
            <w:tcW w:w="94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w:t>
            </w:r>
          </w:p>
        </w:tc>
        <w:tc>
          <w:tcPr>
            <w:tcW w:w="1089" w:type="dxa"/>
            <w:tcBorders/>
            <w:vAlign w:val="center"/>
          </w:tcPr>
          <w:p>
            <w:pPr>
              <w:pStyle w:val="TableContents"/>
              <w:bidi w:val="0"/>
              <w:spacing w:before="0" w:after="283"/>
              <w:jc w:val="right"/>
              <w:rPr/>
            </w:pPr>
            <w:r>
              <w:rPr/>
              <w:t>(100,607</w:t>
            </w:r>
          </w:p>
        </w:tc>
        <w:tc>
          <w:tcPr>
            <w:tcW w:w="192"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w:t>
            </w:r>
          </w:p>
        </w:tc>
        <w:tc>
          <w:tcPr>
            <w:tcW w:w="941" w:type="dxa"/>
            <w:tcBorders/>
            <w:vAlign w:val="center"/>
          </w:tcPr>
          <w:p>
            <w:pPr>
              <w:pStyle w:val="TableContents"/>
              <w:bidi w:val="0"/>
              <w:spacing w:before="0" w:after="283"/>
              <w:jc w:val="right"/>
              <w:rPr/>
            </w:pPr>
            <w:r>
              <w:rPr/>
              <w:t>(83,109</w:t>
            </w:r>
          </w:p>
        </w:tc>
        <w:tc>
          <w:tcPr>
            <w:tcW w:w="17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0"/>
              <w:jc w:val="left"/>
              <w:rPr>
                <w:bdr w:val="double" w:sz="6" w:space="1" w:color="000000"/>
              </w:rPr>
            </w:pPr>
            <w:r>
              <w:rPr>
                <w:bdr w:val="double" w:sz="6" w:space="1" w:color="000000"/>
              </w:rPr>
              <w:t> </w:t>
            </w:r>
          </w:p>
        </w:tc>
        <w:tc>
          <w:tcPr>
            <w:tcW w:w="1089" w:type="dxa"/>
            <w:tcBorders/>
            <w:vAlign w:val="center"/>
          </w:tcPr>
          <w:p>
            <w:pPr>
              <w:pStyle w:val="TableContents"/>
              <w:bidi w:val="0"/>
              <w:spacing w:before="0" w:after="0"/>
              <w:jc w:val="left"/>
              <w:rPr>
                <w:bdr w:val="double" w:sz="6" w:space="1" w:color="000000"/>
              </w:rPr>
            </w:pPr>
            <w:r>
              <w:rPr>
                <w:bdr w:val="double" w:sz="6" w:space="1" w:color="000000"/>
              </w:rPr>
              <w:t> </w:t>
            </w:r>
          </w:p>
        </w:tc>
        <w:tc>
          <w:tcPr>
            <w:tcW w:w="192"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0"/>
              <w:jc w:val="left"/>
              <w:rPr>
                <w:bdr w:val="double" w:sz="6" w:space="1" w:color="000000"/>
              </w:rPr>
            </w:pPr>
            <w:r>
              <w:rPr>
                <w:bdr w:val="double" w:sz="6" w:space="1" w:color="000000"/>
              </w:rPr>
              <w:t> </w:t>
            </w:r>
          </w:p>
        </w:tc>
        <w:tc>
          <w:tcPr>
            <w:tcW w:w="941"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(1)</w:t>
            </w:r>
          </w:p>
        </w:tc>
        <w:tc>
          <w:tcPr>
            <w:tcW w:w="99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significant expense categories and amounts align with the segment-level information that is regularly provided to the chief operating decision maker. </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(2)</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Research and development expense for the years ended December 31, 2025 and 2024 exclude $3.7 million and $2.9 million of stock-based compensation expense, respectively, which is presented separately below. </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pPr>
            <w:r>
              <w:rPr/>
              <w:t>(3)</w:t>
            </w:r>
          </w:p>
        </w:tc>
        <w:tc>
          <w:tcPr>
            <w:tcW w:w="99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General &amp; administrative expense for the years ended December 31, 2025 and 2024 exclude $5.2 million and $4.1 million of stock-based compensation expense, respectively, which is presented separately below. </w:t>
            </w:r>
          </w:p>
        </w:tc>
      </w:tr>
    </w:tbl>
    <w:tbl>
      <w:tblPr>
        <w:tblW w:w="5185" w:type="dxa"/>
        <w:jc w:val="left"/>
        <w:tblInd w:w="0" w:type="dxa"/>
        <w:tblLayout w:type="fixed"/>
        <w:tblCellMar>
          <w:top w:w="0" w:type="dxa"/>
          <w:left w:w="0" w:type="dxa"/>
          <w:bottom w:w="0" w:type="dxa"/>
          <w:right w:w="0" w:type="dxa"/>
        </w:tblCellMar>
      </w:tblPr>
      <w:tblGrid>
        <w:gridCol w:w="305"/>
        <w:gridCol w:w="4880"/>
      </w:tblGrid>
      <w:tr>
        <w:trPr/>
        <w:tc>
          <w:tcPr>
            <w:tcW w:w="305" w:type="dxa"/>
            <w:tcBorders/>
            <w:vAlign w:val="center"/>
          </w:tcPr>
          <w:p>
            <w:pPr>
              <w:pStyle w:val="TableContents"/>
              <w:bidi w:val="0"/>
              <w:spacing w:before="0" w:after="283"/>
              <w:jc w:val="left"/>
              <w:rPr/>
            </w:pPr>
            <w:r>
              <w:rPr/>
              <w:t>(4)</w:t>
            </w:r>
          </w:p>
        </w:tc>
        <w:tc>
          <w:tcPr>
            <w:tcW w:w="4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segment items include interest and other income, net.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15.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evaluated subsequent events through April 22, 2026, the date these consolidated financial statements were issued, and determined that there have been no events that have occurred that would require adjustments to the Company’s disclosures in the consolidated financial statements, except for the following: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Conversion of Series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A-1</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2026, a holder of the Company’s Series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A-1</w:t>
      </w:r>
    </w:p>
    <w:p>
      <w:pPr>
        <w:pStyle w:val="TextBody"/>
        <w:bidi w:val="0"/>
        <w:spacing w:before="120" w:after="0"/>
        <w:jc w:val="left"/>
        <w:rPr>
          <w:rFonts w:ascii="Times New Roman" w:hAnsi="Times New Roman"/>
          <w:sz w:val="20"/>
        </w:rPr>
      </w:pPr>
      <w:r>
        <w:rPr>
          <w:rFonts w:ascii="Times New Roman" w:hAnsi="Times New Roman"/>
          <w:sz w:val="20"/>
        </w:rPr>
        <w:t xml:space="preserve">Preferred Stock delivered a notice electing to convert 7,085,290 shares of its Series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A-1</w:t>
      </w:r>
    </w:p>
    <w:p>
      <w:pPr>
        <w:pStyle w:val="TextBody"/>
        <w:bidi w:val="0"/>
        <w:spacing w:before="120" w:after="0"/>
        <w:jc w:val="left"/>
        <w:rPr>
          <w:rFonts w:ascii="Times New Roman" w:hAnsi="Times New Roman"/>
          <w:sz w:val="20"/>
        </w:rPr>
      </w:pPr>
      <w:r>
        <w:rPr>
          <w:rFonts w:ascii="Times New Roman" w:hAnsi="Times New Roman"/>
          <w:sz w:val="20"/>
        </w:rPr>
        <w:t xml:space="preserve">Preferred Stock into an equivalent number of shares of the Company’s common stock on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one-for-one</w:t>
      </w:r>
    </w:p>
    <w:p>
      <w:pPr>
        <w:pStyle w:val="TextBody"/>
        <w:bidi w:val="0"/>
        <w:spacing w:before="120" w:after="0"/>
        <w:jc w:val="left"/>
        <w:rPr>
          <w:rFonts w:ascii="Times New Roman" w:hAnsi="Times New Roman"/>
          <w:sz w:val="20"/>
        </w:rPr>
      </w:pPr>
      <w:r>
        <w:rPr>
          <w:rFonts w:ascii="Times New Roman" w:hAnsi="Times New Roman"/>
          <w:sz w:val="20"/>
        </w:rPr>
        <w:t xml:space="preserve">basis, in accordance with the conversion provisions of the Company’s fourth amended and restated certificate of incorporation. The conversion was effective upon the Company’s receipt of the notice and was not subject to any conditions. Following the conversion, 7,085,290 shares of Series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A-1</w:t>
      </w:r>
    </w:p>
    <w:p>
      <w:pPr>
        <w:pStyle w:val="TextBody"/>
        <w:bidi w:val="0"/>
        <w:spacing w:before="120" w:after="0"/>
        <w:jc w:val="left"/>
        <w:rPr>
          <w:rFonts w:ascii="Times New Roman" w:hAnsi="Times New Roman"/>
          <w:sz w:val="20"/>
        </w:rPr>
      </w:pPr>
      <w:r>
        <w:rPr>
          <w:rFonts w:ascii="Times New Roman" w:hAnsi="Times New Roman"/>
          <w:sz w:val="20"/>
        </w:rPr>
        <w:t xml:space="preserve">Preferred Stock were cancelled, and an equal number of common shares were issued to such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SELECTED HISTORICAL CONSOLIDATED FINANCIAL DATA OF LEGACY OBSIDIAN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OBSIDIAN THERAPEUTICS SUB, INC. (F/K/A OBSIDIAN THERAPEUTICS,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CONDENSED CONSOLIDATED BALANCE SHEETS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(AMOUNTS IN THOUSANDS, EXCEPT FOR SHARE DATA)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270"/>
        <w:gridCol w:w="120"/>
        <w:gridCol w:w="140"/>
        <w:gridCol w:w="875"/>
        <w:gridCol w:w="155"/>
        <w:gridCol w:w="60"/>
        <w:gridCol w:w="195"/>
        <w:gridCol w:w="1220"/>
        <w:gridCol w:w="170"/>
      </w:tblGrid>
      <w:tr>
        <w:trPr/>
        <w:tc>
          <w:tcPr>
            <w:tcW w:w="727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95"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r>
      <w:tr>
        <w:trPr/>
        <w:tc>
          <w:tcPr>
            <w:tcW w:w="727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015" w:type="dxa"/>
            <w:gridSpan w:val="2"/>
            <w:tcBorders/>
            <w:vAlign w:val="center"/>
          </w:tcPr>
          <w:p>
            <w:pPr>
              <w:pStyle w:val="TableContents"/>
              <w:bidi w:val="0"/>
              <w:spacing w:before="0" w:after="0"/>
              <w:jc w:val="center"/>
              <w:rPr>
                <w:b/>
                <w:spacing w:val="0"/>
              </w:rPr>
            </w:pPr>
            <w:r>
              <w:rPr>
                <w:b/>
                <w:spacing w:val="0"/>
              </w:rPr>
              <w:t>June 30,</w:t>
              <w:br/>
              <w:t>2026</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15" w:type="dxa"/>
            <w:gridSpan w:val="2"/>
            <w:tcBorders/>
            <w:vAlign w:val="center"/>
          </w:tcPr>
          <w:p>
            <w:pPr>
              <w:pStyle w:val="TableContents"/>
              <w:bidi w:val="0"/>
              <w:spacing w:before="0" w:after="0"/>
              <w:jc w:val="center"/>
              <w:rPr>
                <w:b/>
                <w:spacing w:val="0"/>
              </w:rPr>
            </w:pPr>
            <w:r>
              <w:rPr>
                <w:b/>
                <w:spacing w:val="0"/>
              </w:rPr>
              <w:t>December 31,</w:t>
              <w:br/>
              <w:t>2025</w:t>
            </w:r>
          </w:p>
        </w:tc>
        <w:tc>
          <w:tcPr>
            <w:tcW w:w="170" w:type="dxa"/>
            <w:tcBorders/>
            <w:vAlign w:val="center"/>
          </w:tcPr>
          <w:p>
            <w:pPr>
              <w:pStyle w:val="TableContents"/>
              <w:bidi w:val="0"/>
              <w:spacing w:before="0" w:after="0"/>
              <w:jc w:val="left"/>
              <w:rPr>
                <w:spacing w:val="0"/>
              </w:rPr>
            </w:pPr>
            <w:r>
              <w:rPr>
                <w:spacing w:val="0"/>
              </w:rPr>
              <w:t> </w:t>
            </w:r>
          </w:p>
        </w:tc>
      </w:tr>
      <w:tr>
        <w:trPr/>
        <w:tc>
          <w:tcPr>
            <w:tcW w:w="727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Assets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2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assets:</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72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w:t>
            </w:r>
          </w:p>
        </w:tc>
        <w:tc>
          <w:tcPr>
            <w:tcW w:w="875" w:type="dxa"/>
            <w:tcBorders/>
            <w:shd w:fill="CCEEFF" w:val="clear"/>
            <w:vAlign w:val="center"/>
          </w:tcPr>
          <w:p>
            <w:pPr>
              <w:pStyle w:val="TableContents"/>
              <w:bidi w:val="0"/>
              <w:spacing w:before="0" w:after="0"/>
              <w:jc w:val="right"/>
              <w:rPr>
                <w:spacing w:val="0"/>
              </w:rPr>
            </w:pPr>
            <w:r>
              <w:rPr>
                <w:spacing w:val="0"/>
              </w:rPr>
              <w:t>17,983</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95" w:type="dxa"/>
            <w:tcBorders/>
            <w:shd w:fill="CCEEFF" w:val="clear"/>
            <w:vAlign w:val="center"/>
          </w:tcPr>
          <w:p>
            <w:pPr>
              <w:pStyle w:val="TableContents"/>
              <w:bidi w:val="0"/>
              <w:spacing w:before="0" w:after="0"/>
              <w:jc w:val="left"/>
              <w:rPr>
                <w:spacing w:val="0"/>
              </w:rPr>
            </w:pPr>
            <w:r>
              <w:rPr>
                <w:spacing w:val="0"/>
              </w:rPr>
              <w:t>$</w:t>
            </w:r>
          </w:p>
        </w:tc>
        <w:tc>
          <w:tcPr>
            <w:tcW w:w="1220" w:type="dxa"/>
            <w:tcBorders/>
            <w:shd w:fill="CCEEFF" w:val="clear"/>
            <w:vAlign w:val="center"/>
          </w:tcPr>
          <w:p>
            <w:pPr>
              <w:pStyle w:val="TableContents"/>
              <w:bidi w:val="0"/>
              <w:spacing w:before="0" w:after="0"/>
              <w:jc w:val="right"/>
              <w:rPr>
                <w:spacing w:val="0"/>
              </w:rPr>
            </w:pPr>
            <w:r>
              <w:rPr>
                <w:spacing w:val="0"/>
              </w:rPr>
              <w:t>40,405</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72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Marketable securities</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right"/>
              <w:rPr>
                <w:spacing w:val="0"/>
              </w:rPr>
            </w:pPr>
            <w:r>
              <w:rPr>
                <w:spacing w:val="0"/>
              </w:rPr>
              <w:t>16,462</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40,081</w:t>
            </w:r>
          </w:p>
        </w:tc>
        <w:tc>
          <w:tcPr>
            <w:tcW w:w="170" w:type="dxa"/>
            <w:tcBorders/>
            <w:vAlign w:val="center"/>
          </w:tcPr>
          <w:p>
            <w:pPr>
              <w:pStyle w:val="TableContents"/>
              <w:bidi w:val="0"/>
              <w:spacing w:before="0" w:after="0"/>
              <w:jc w:val="left"/>
              <w:rPr>
                <w:spacing w:val="0"/>
              </w:rPr>
            </w:pPr>
            <w:r>
              <w:rPr>
                <w:spacing w:val="0"/>
              </w:rPr>
              <w:t> </w:t>
            </w:r>
          </w:p>
        </w:tc>
      </w:tr>
      <w:tr>
        <w:trPr/>
        <w:tc>
          <w:tcPr>
            <w:tcW w:w="72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Prepaid expenses and other current assets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spacing w:val="0"/>
              </w:rPr>
            </w:pPr>
            <w:r>
              <w:rPr>
                <w:spacing w:val="0"/>
              </w:rPr>
              <w:t>11,914</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95"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1,030</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72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0"/>
              <w:jc w:val="left"/>
              <w:rPr>
                <w:spacing w:val="0"/>
              </w:rPr>
            </w:pPr>
            <w:r>
              <w:rPr>
                <w:spacing w:val="0"/>
              </w:rPr>
              <w:t> </w:t>
            </w:r>
          </w:p>
        </w:tc>
      </w:tr>
      <w:tr>
        <w:trPr/>
        <w:tc>
          <w:tcPr>
            <w:tcW w:w="72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current assets</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right"/>
              <w:rPr>
                <w:spacing w:val="0"/>
              </w:rPr>
            </w:pPr>
            <w:r>
              <w:rPr>
                <w:spacing w:val="0"/>
              </w:rPr>
              <w:t>46,359</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81,516</w:t>
            </w:r>
          </w:p>
        </w:tc>
        <w:tc>
          <w:tcPr>
            <w:tcW w:w="170" w:type="dxa"/>
            <w:tcBorders/>
            <w:vAlign w:val="center"/>
          </w:tcPr>
          <w:p>
            <w:pPr>
              <w:pStyle w:val="TableContents"/>
              <w:bidi w:val="0"/>
              <w:spacing w:before="0" w:after="0"/>
              <w:jc w:val="left"/>
              <w:rPr>
                <w:spacing w:val="0"/>
              </w:rPr>
            </w:pPr>
            <w:r>
              <w:rPr>
                <w:spacing w:val="0"/>
              </w:rPr>
              <w:t> </w:t>
            </w:r>
          </w:p>
        </w:tc>
      </w:tr>
      <w:tr>
        <w:trPr/>
        <w:tc>
          <w:tcPr>
            <w:tcW w:w="72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Property and equipment, net</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spacing w:val="0"/>
              </w:rPr>
            </w:pPr>
            <w:r>
              <w:rPr>
                <w:spacing w:val="0"/>
              </w:rPr>
              <w:t>1,201</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95"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1,911</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72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assets</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right"/>
              <w:rPr>
                <w:spacing w:val="0"/>
              </w:rPr>
            </w:pPr>
            <w:r>
              <w:rPr>
                <w:spacing w:val="0"/>
              </w:rPr>
              <w:t>2,878</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4,149</w:t>
            </w:r>
          </w:p>
        </w:tc>
        <w:tc>
          <w:tcPr>
            <w:tcW w:w="170" w:type="dxa"/>
            <w:tcBorders/>
            <w:vAlign w:val="center"/>
          </w:tcPr>
          <w:p>
            <w:pPr>
              <w:pStyle w:val="TableContents"/>
              <w:bidi w:val="0"/>
              <w:spacing w:before="0" w:after="0"/>
              <w:jc w:val="left"/>
              <w:rPr>
                <w:spacing w:val="0"/>
              </w:rPr>
            </w:pPr>
            <w:r>
              <w:rPr>
                <w:spacing w:val="0"/>
              </w:rPr>
              <w:t> </w:t>
            </w:r>
          </w:p>
        </w:tc>
      </w:tr>
      <w:tr>
        <w:trPr/>
        <w:tc>
          <w:tcPr>
            <w:tcW w:w="72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Restricted cash</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spacing w:val="0"/>
              </w:rPr>
            </w:pPr>
            <w:r>
              <w:rPr>
                <w:spacing w:val="0"/>
              </w:rPr>
              <w:t>1,004</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95"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1,004</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72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0"/>
              <w:jc w:val="left"/>
              <w:rPr>
                <w:spacing w:val="0"/>
              </w:rPr>
            </w:pPr>
            <w:r>
              <w:rPr>
                <w:spacing w:val="0"/>
              </w:rPr>
              <w:t> </w:t>
            </w:r>
          </w:p>
        </w:tc>
      </w:tr>
      <w:tr>
        <w:trPr/>
        <w:tc>
          <w:tcPr>
            <w:tcW w:w="72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assets</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w:t>
            </w:r>
          </w:p>
        </w:tc>
        <w:tc>
          <w:tcPr>
            <w:tcW w:w="875" w:type="dxa"/>
            <w:tcBorders/>
            <w:vAlign w:val="center"/>
          </w:tcPr>
          <w:p>
            <w:pPr>
              <w:pStyle w:val="TableContents"/>
              <w:bidi w:val="0"/>
              <w:spacing w:before="0" w:after="0"/>
              <w:jc w:val="right"/>
              <w:rPr>
                <w:spacing w:val="0"/>
              </w:rPr>
            </w:pPr>
            <w:r>
              <w:rPr>
                <w:spacing w:val="0"/>
              </w:rPr>
              <w:t>51,442</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rPr>
            </w:pPr>
            <w:r>
              <w:rPr>
                <w:spacing w:val="0"/>
              </w:rPr>
              <w:t>$</w:t>
            </w:r>
          </w:p>
        </w:tc>
        <w:tc>
          <w:tcPr>
            <w:tcW w:w="1220" w:type="dxa"/>
            <w:tcBorders/>
            <w:vAlign w:val="center"/>
          </w:tcPr>
          <w:p>
            <w:pPr>
              <w:pStyle w:val="TableContents"/>
              <w:bidi w:val="0"/>
              <w:spacing w:before="0" w:after="0"/>
              <w:jc w:val="right"/>
              <w:rPr>
                <w:spacing w:val="0"/>
              </w:rPr>
            </w:pPr>
            <w:r>
              <w:rPr>
                <w:spacing w:val="0"/>
              </w:rPr>
              <w:t>88,580</w:t>
            </w:r>
          </w:p>
        </w:tc>
        <w:tc>
          <w:tcPr>
            <w:tcW w:w="170" w:type="dxa"/>
            <w:tcBorders/>
            <w:vAlign w:val="center"/>
          </w:tcPr>
          <w:p>
            <w:pPr>
              <w:pStyle w:val="TableContents"/>
              <w:bidi w:val="0"/>
              <w:spacing w:before="0" w:after="0"/>
              <w:jc w:val="left"/>
              <w:rPr>
                <w:spacing w:val="0"/>
              </w:rPr>
            </w:pPr>
            <w:r>
              <w:rPr>
                <w:spacing w:val="0"/>
              </w:rPr>
              <w:t> </w:t>
            </w:r>
          </w:p>
        </w:tc>
      </w:tr>
      <w:tr>
        <w:trPr/>
        <w:tc>
          <w:tcPr>
            <w:tcW w:w="72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0"/>
              <w:jc w:val="left"/>
              <w:rPr>
                <w:spacing w:val="0"/>
              </w:rPr>
            </w:pPr>
            <w:r>
              <w:rPr>
                <w:spacing w:val="0"/>
              </w:rPr>
              <w:t> </w:t>
            </w:r>
          </w:p>
        </w:tc>
      </w:tr>
      <w:tr>
        <w:trPr/>
        <w:tc>
          <w:tcPr>
            <w:tcW w:w="727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Liabilities, Redeemable Convertible Preferred Stock and Stockholders’ Deficit</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2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liabilities:</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72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payable</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w:t>
            </w:r>
          </w:p>
        </w:tc>
        <w:tc>
          <w:tcPr>
            <w:tcW w:w="875" w:type="dxa"/>
            <w:tcBorders/>
            <w:shd w:fill="CCEEFF" w:val="clear"/>
            <w:vAlign w:val="center"/>
          </w:tcPr>
          <w:p>
            <w:pPr>
              <w:pStyle w:val="TableContents"/>
              <w:bidi w:val="0"/>
              <w:spacing w:before="0" w:after="0"/>
              <w:jc w:val="right"/>
              <w:rPr>
                <w:spacing w:val="0"/>
              </w:rPr>
            </w:pPr>
            <w:r>
              <w:rPr>
                <w:spacing w:val="0"/>
              </w:rPr>
              <w:t>365</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95" w:type="dxa"/>
            <w:tcBorders/>
            <w:shd w:fill="CCEEFF" w:val="clear"/>
            <w:vAlign w:val="center"/>
          </w:tcPr>
          <w:p>
            <w:pPr>
              <w:pStyle w:val="TableContents"/>
              <w:bidi w:val="0"/>
              <w:spacing w:before="0" w:after="0"/>
              <w:jc w:val="left"/>
              <w:rPr>
                <w:spacing w:val="0"/>
              </w:rPr>
            </w:pPr>
            <w:r>
              <w:rPr>
                <w:spacing w:val="0"/>
              </w:rPr>
              <w:t>$</w:t>
            </w:r>
          </w:p>
        </w:tc>
        <w:tc>
          <w:tcPr>
            <w:tcW w:w="1220" w:type="dxa"/>
            <w:tcBorders/>
            <w:shd w:fill="CCEEFF" w:val="clear"/>
            <w:vAlign w:val="center"/>
          </w:tcPr>
          <w:p>
            <w:pPr>
              <w:pStyle w:val="TableContents"/>
              <w:bidi w:val="0"/>
              <w:spacing w:before="0" w:after="0"/>
              <w:jc w:val="right"/>
              <w:rPr>
                <w:spacing w:val="0"/>
              </w:rPr>
            </w:pPr>
            <w:r>
              <w:rPr>
                <w:spacing w:val="0"/>
              </w:rPr>
              <w:t>12</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72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expenses and other current liabilities</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right"/>
              <w:rPr>
                <w:spacing w:val="0"/>
              </w:rPr>
            </w:pPr>
            <w:r>
              <w:rPr>
                <w:spacing w:val="0"/>
              </w:rPr>
              <w:t>17,853</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12,291</w:t>
            </w:r>
          </w:p>
        </w:tc>
        <w:tc>
          <w:tcPr>
            <w:tcW w:w="170" w:type="dxa"/>
            <w:tcBorders/>
            <w:vAlign w:val="center"/>
          </w:tcPr>
          <w:p>
            <w:pPr>
              <w:pStyle w:val="TableContents"/>
              <w:bidi w:val="0"/>
              <w:spacing w:before="0" w:after="0"/>
              <w:jc w:val="left"/>
              <w:rPr>
                <w:spacing w:val="0"/>
              </w:rPr>
            </w:pPr>
            <w:r>
              <w:rPr>
                <w:spacing w:val="0"/>
              </w:rPr>
              <w:t> </w:t>
            </w:r>
          </w:p>
        </w:tc>
      </w:tr>
      <w:tr>
        <w:trPr/>
        <w:tc>
          <w:tcPr>
            <w:tcW w:w="72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lease liabilities, current portion</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spacing w:val="0"/>
              </w:rPr>
            </w:pPr>
            <w:r>
              <w:rPr>
                <w:spacing w:val="0"/>
              </w:rPr>
              <w:t>1,974</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95"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3,048</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72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Financing lease liabilities</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right"/>
              <w:rPr>
                <w:spacing w:val="0"/>
              </w:rPr>
            </w:pPr>
            <w:r>
              <w:rPr>
                <w:spacing w:val="0"/>
              </w:rPr>
              <w:t>4</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11</w:t>
            </w:r>
          </w:p>
        </w:tc>
        <w:tc>
          <w:tcPr>
            <w:tcW w:w="170" w:type="dxa"/>
            <w:tcBorders/>
            <w:vAlign w:val="center"/>
          </w:tcPr>
          <w:p>
            <w:pPr>
              <w:pStyle w:val="TableContents"/>
              <w:bidi w:val="0"/>
              <w:spacing w:before="0" w:after="0"/>
              <w:jc w:val="left"/>
              <w:rPr>
                <w:spacing w:val="0"/>
              </w:rPr>
            </w:pPr>
            <w:r>
              <w:rPr>
                <w:spacing w:val="0"/>
              </w:rPr>
              <w:t> </w:t>
            </w:r>
          </w:p>
        </w:tc>
      </w:tr>
      <w:tr>
        <w:trPr/>
        <w:tc>
          <w:tcPr>
            <w:tcW w:w="72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0"/>
              <w:jc w:val="left"/>
              <w:rPr>
                <w:spacing w:val="0"/>
              </w:rPr>
            </w:pPr>
            <w:r>
              <w:rPr>
                <w:spacing w:val="0"/>
              </w:rPr>
              <w:t> </w:t>
            </w:r>
          </w:p>
        </w:tc>
      </w:tr>
      <w:tr>
        <w:trPr/>
        <w:tc>
          <w:tcPr>
            <w:tcW w:w="72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current liabilities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spacing w:val="0"/>
              </w:rPr>
            </w:pPr>
            <w:r>
              <w:rPr>
                <w:spacing w:val="0"/>
              </w:rPr>
              <w:t>20,196</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95"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15,362</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72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lease liabilities, net of current portion</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right"/>
              <w:rPr>
                <w:spacing w:val="0"/>
              </w:rPr>
            </w:pPr>
            <w:r>
              <w:rPr>
                <w:spacing w:val="0"/>
              </w:rPr>
              <w:t>928</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1,224</w:t>
            </w:r>
          </w:p>
        </w:tc>
        <w:tc>
          <w:tcPr>
            <w:tcW w:w="170" w:type="dxa"/>
            <w:tcBorders/>
            <w:vAlign w:val="center"/>
          </w:tcPr>
          <w:p>
            <w:pPr>
              <w:pStyle w:val="TableContents"/>
              <w:bidi w:val="0"/>
              <w:spacing w:before="0" w:after="0"/>
              <w:jc w:val="left"/>
              <w:rPr>
                <w:spacing w:val="0"/>
              </w:rPr>
            </w:pPr>
            <w:r>
              <w:rPr>
                <w:spacing w:val="0"/>
              </w:rPr>
              <w:t> </w:t>
            </w:r>
          </w:p>
        </w:tc>
      </w:tr>
      <w:tr>
        <w:trPr/>
        <w:tc>
          <w:tcPr>
            <w:tcW w:w="72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liabilities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spacing w:val="0"/>
              </w:rPr>
            </w:pPr>
            <w:r>
              <w:rPr>
                <w:spacing w:val="0"/>
              </w:rPr>
              <w:t>1</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95"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3</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72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0"/>
              <w:jc w:val="left"/>
              <w:rPr>
                <w:spacing w:val="0"/>
              </w:rPr>
            </w:pPr>
            <w:r>
              <w:rPr>
                <w:spacing w:val="0"/>
              </w:rPr>
              <w:t> </w:t>
            </w:r>
          </w:p>
        </w:tc>
      </w:tr>
      <w:tr>
        <w:trPr/>
        <w:tc>
          <w:tcPr>
            <w:tcW w:w="72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liabilities</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right"/>
              <w:rPr>
                <w:spacing w:val="0"/>
              </w:rPr>
            </w:pPr>
            <w:r>
              <w:rPr>
                <w:spacing w:val="0"/>
              </w:rPr>
              <w:t>21,125</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16,589</w:t>
            </w:r>
          </w:p>
        </w:tc>
        <w:tc>
          <w:tcPr>
            <w:tcW w:w="170" w:type="dxa"/>
            <w:tcBorders/>
            <w:vAlign w:val="center"/>
          </w:tcPr>
          <w:p>
            <w:pPr>
              <w:pStyle w:val="TableContents"/>
              <w:bidi w:val="0"/>
              <w:spacing w:before="0" w:after="0"/>
              <w:jc w:val="left"/>
              <w:rPr>
                <w:spacing w:val="0"/>
              </w:rPr>
            </w:pPr>
            <w:r>
              <w:rPr>
                <w:spacing w:val="0"/>
              </w:rPr>
              <w:t> </w:t>
            </w:r>
          </w:p>
        </w:tc>
      </w:tr>
      <w:tr>
        <w:trPr/>
        <w:tc>
          <w:tcPr>
            <w:tcW w:w="72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0"/>
              <w:jc w:val="left"/>
              <w:rPr>
                <w:spacing w:val="0"/>
              </w:rPr>
            </w:pPr>
            <w:r>
              <w:rPr>
                <w:spacing w:val="0"/>
              </w:rPr>
              <w:t> </w:t>
            </w:r>
          </w:p>
        </w:tc>
      </w:tr>
      <w:tr>
        <w:trPr/>
        <w:tc>
          <w:tcPr>
            <w:tcW w:w="72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Commitments and contingencies (Note 9)</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2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Redeemable convertible preferred stock; aggregate liquidation preference of $329,001 and $337,001 at June 30, 2026 and December 31, 2025, respectively</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right"/>
              <w:rPr>
                <w:spacing w:val="0"/>
              </w:rPr>
            </w:pPr>
            <w:r>
              <w:rPr>
                <w:spacing w:val="0"/>
              </w:rPr>
              <w:t>330,028</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338,028</w:t>
            </w:r>
          </w:p>
        </w:tc>
        <w:tc>
          <w:tcPr>
            <w:tcW w:w="170" w:type="dxa"/>
            <w:tcBorders/>
            <w:vAlign w:val="center"/>
          </w:tcPr>
          <w:p>
            <w:pPr>
              <w:pStyle w:val="TableContents"/>
              <w:bidi w:val="0"/>
              <w:spacing w:before="0" w:after="0"/>
              <w:jc w:val="left"/>
              <w:rPr>
                <w:spacing w:val="0"/>
              </w:rPr>
            </w:pPr>
            <w:r>
              <w:rPr>
                <w:spacing w:val="0"/>
              </w:rPr>
              <w:t> </w:t>
            </w:r>
          </w:p>
        </w:tc>
      </w:tr>
      <w:tr>
        <w:trPr/>
        <w:tc>
          <w:tcPr>
            <w:tcW w:w="72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Stockholders’ deficit:</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2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Common stock, $0.0001 par value; 274,320,131 shares authorized; 22,188,335 and 13,941,901 shares issued and outstanding as of June 30, 2026 and December 31, 2025, respectively</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right"/>
              <w:rPr>
                <w:spacing w:val="0"/>
              </w:rPr>
            </w:pPr>
            <w:r>
              <w:rPr>
                <w:spacing w:val="0"/>
              </w:rPr>
              <w:t>2</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1</w:t>
            </w:r>
          </w:p>
        </w:tc>
        <w:tc>
          <w:tcPr>
            <w:tcW w:w="170" w:type="dxa"/>
            <w:tcBorders/>
            <w:vAlign w:val="center"/>
          </w:tcPr>
          <w:p>
            <w:pPr>
              <w:pStyle w:val="TableContents"/>
              <w:bidi w:val="0"/>
              <w:spacing w:before="0" w:after="0"/>
              <w:jc w:val="left"/>
              <w:rPr>
                <w:spacing w:val="0"/>
              </w:rPr>
            </w:pPr>
            <w:r>
              <w:rPr>
                <w:spacing w:val="0"/>
              </w:rPr>
              <w:t> </w:t>
            </w:r>
          </w:p>
        </w:tc>
      </w:tr>
      <w:tr>
        <w:trPr/>
        <w:tc>
          <w:tcPr>
            <w:tcW w:w="72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Additional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paid-in-capital</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spacing w:val="0"/>
              </w:rPr>
            </w:pPr>
            <w:r>
              <w:rPr>
                <w:spacing w:val="0"/>
              </w:rPr>
              <w:t>41,722</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95"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29,874</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72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Accumulated other comprehensive income (loss)</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right"/>
              <w:rPr>
                <w:spacing w:val="0"/>
              </w:rPr>
            </w:pPr>
            <w:r>
              <w:rPr>
                <w:spacing w:val="0"/>
              </w:rPr>
              <w:t>(3</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23</w:t>
            </w:r>
          </w:p>
        </w:tc>
        <w:tc>
          <w:tcPr>
            <w:tcW w:w="170" w:type="dxa"/>
            <w:tcBorders/>
            <w:vAlign w:val="center"/>
          </w:tcPr>
          <w:p>
            <w:pPr>
              <w:pStyle w:val="TableContents"/>
              <w:bidi w:val="0"/>
              <w:spacing w:before="0" w:after="0"/>
              <w:jc w:val="left"/>
              <w:rPr>
                <w:spacing w:val="0"/>
              </w:rPr>
            </w:pPr>
            <w:r>
              <w:rPr>
                <w:spacing w:val="0"/>
              </w:rPr>
              <w:t> </w:t>
            </w:r>
          </w:p>
        </w:tc>
      </w:tr>
      <w:tr>
        <w:trPr/>
        <w:tc>
          <w:tcPr>
            <w:tcW w:w="72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Accumulated deficit</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spacing w:val="0"/>
              </w:rPr>
            </w:pPr>
            <w:r>
              <w:rPr>
                <w:spacing w:val="0"/>
              </w:rPr>
              <w:t>(341,432</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95"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(295,935</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72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0"/>
              <w:jc w:val="left"/>
              <w:rPr>
                <w:spacing w:val="0"/>
              </w:rPr>
            </w:pPr>
            <w:r>
              <w:rPr>
                <w:spacing w:val="0"/>
              </w:rPr>
              <w:t> </w:t>
            </w:r>
          </w:p>
        </w:tc>
      </w:tr>
      <w:tr>
        <w:trPr/>
        <w:tc>
          <w:tcPr>
            <w:tcW w:w="72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stockholders’ deficit</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right"/>
              <w:rPr>
                <w:spacing w:val="0"/>
              </w:rPr>
            </w:pPr>
            <w:r>
              <w:rPr>
                <w:spacing w:val="0"/>
              </w:rPr>
              <w:t>(299,711</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(266,037</w:t>
            </w:r>
          </w:p>
        </w:tc>
        <w:tc>
          <w:tcPr>
            <w:tcW w:w="170" w:type="dxa"/>
            <w:tcBorders/>
            <w:vAlign w:val="center"/>
          </w:tcPr>
          <w:p>
            <w:pPr>
              <w:pStyle w:val="TableContents"/>
              <w:bidi w:val="0"/>
              <w:spacing w:before="0" w:after="0"/>
              <w:jc w:val="left"/>
              <w:rPr>
                <w:spacing w:val="0"/>
              </w:rPr>
            </w:pPr>
            <w:r>
              <w:rPr>
                <w:spacing w:val="0"/>
              </w:rPr>
              <w:t>) </w:t>
            </w:r>
          </w:p>
        </w:tc>
      </w:tr>
      <w:tr>
        <w:trPr/>
        <w:tc>
          <w:tcPr>
            <w:tcW w:w="72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0"/>
              <w:jc w:val="left"/>
              <w:rPr>
                <w:spacing w:val="0"/>
              </w:rPr>
            </w:pPr>
            <w:r>
              <w:rPr>
                <w:spacing w:val="0"/>
              </w:rPr>
              <w:t> </w:t>
            </w:r>
          </w:p>
        </w:tc>
      </w:tr>
      <w:tr>
        <w:trPr/>
        <w:tc>
          <w:tcPr>
            <w:tcW w:w="72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liabilities, redeemable convertible preferred stock and stockholders’ deficit</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w:t>
            </w:r>
          </w:p>
        </w:tc>
        <w:tc>
          <w:tcPr>
            <w:tcW w:w="875" w:type="dxa"/>
            <w:tcBorders/>
            <w:shd w:fill="CCEEFF" w:val="clear"/>
            <w:vAlign w:val="center"/>
          </w:tcPr>
          <w:p>
            <w:pPr>
              <w:pStyle w:val="TableContents"/>
              <w:bidi w:val="0"/>
              <w:spacing w:before="0" w:after="0"/>
              <w:jc w:val="right"/>
              <w:rPr>
                <w:spacing w:val="0"/>
              </w:rPr>
            </w:pPr>
            <w:r>
              <w:rPr>
                <w:spacing w:val="0"/>
              </w:rPr>
              <w:t>51,442</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95" w:type="dxa"/>
            <w:tcBorders/>
            <w:shd w:fill="CCEEFF" w:val="clear"/>
            <w:vAlign w:val="center"/>
          </w:tcPr>
          <w:p>
            <w:pPr>
              <w:pStyle w:val="TableContents"/>
              <w:bidi w:val="0"/>
              <w:spacing w:before="0" w:after="0"/>
              <w:jc w:val="left"/>
              <w:rPr>
                <w:spacing w:val="0"/>
              </w:rPr>
            </w:pPr>
            <w:r>
              <w:rPr>
                <w:spacing w:val="0"/>
              </w:rPr>
              <w:t>$</w:t>
            </w:r>
          </w:p>
        </w:tc>
        <w:tc>
          <w:tcPr>
            <w:tcW w:w="1220" w:type="dxa"/>
            <w:tcBorders/>
            <w:shd w:fill="CCEEFF" w:val="clear"/>
            <w:vAlign w:val="center"/>
          </w:tcPr>
          <w:p>
            <w:pPr>
              <w:pStyle w:val="TableContents"/>
              <w:bidi w:val="0"/>
              <w:spacing w:before="0" w:after="0"/>
              <w:jc w:val="right"/>
              <w:rPr>
                <w:spacing w:val="0"/>
              </w:rPr>
            </w:pPr>
            <w:r>
              <w:rPr>
                <w:spacing w:val="0"/>
              </w:rPr>
              <w:t>88,580</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72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0"/>
              <w:jc w:val="left"/>
              <w:rPr>
                <w:spacing w:val="0"/>
              </w:rPr>
            </w:pPr>
            <w:r>
              <w:rPr>
                <w:spacing w:val="0"/>
              </w:rPr>
              <w:t> </w:t>
            </w:r>
          </w:p>
        </w:tc>
      </w:tr>
    </w:tbl>
    <w:p>
      <w:pPr>
        <w:pStyle w:val="TextBody"/>
        <w:bidi w:val="0"/>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unaudited condensed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OBSIDIAN THERAPEUTICS SUB, INC. (F/K/A OBSIDIAN THERAPEUTICS,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CONDENSED CONSOLIDATED STATEMENTS OF OPERATIONS AND COMPREHENSIVE LOSS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(AMOUNTS IN THOUSANDS, EXCEPT FOR SHARE AND PER SHARE DATA)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4093"/>
        <w:gridCol w:w="120"/>
        <w:gridCol w:w="149"/>
        <w:gridCol w:w="1179"/>
        <w:gridCol w:w="166"/>
        <w:gridCol w:w="64"/>
        <w:gridCol w:w="149"/>
        <w:gridCol w:w="1179"/>
        <w:gridCol w:w="155"/>
        <w:gridCol w:w="60"/>
        <w:gridCol w:w="141"/>
        <w:gridCol w:w="1109"/>
        <w:gridCol w:w="156"/>
        <w:gridCol w:w="60"/>
        <w:gridCol w:w="141"/>
        <w:gridCol w:w="1109"/>
        <w:gridCol w:w="175"/>
      </w:tblGrid>
      <w:tr>
        <w:trPr/>
        <w:tc>
          <w:tcPr>
            <w:tcW w:w="4093"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49" w:type="dxa"/>
            <w:tcBorders/>
            <w:vAlign w:val="center"/>
          </w:tcPr>
          <w:p>
            <w:pPr>
              <w:pStyle w:val="TableContents"/>
              <w:bidi w:val="0"/>
              <w:spacing w:before="0" w:after="0"/>
              <w:jc w:val="left"/>
              <w:rPr/>
            </w:pPr>
            <w:r>
              <w:rPr/>
              <w:t> </w:t>
            </w:r>
          </w:p>
        </w:tc>
        <w:tc>
          <w:tcPr>
            <w:tcW w:w="1179" w:type="dxa"/>
            <w:tcBorders/>
            <w:vAlign w:val="center"/>
          </w:tcPr>
          <w:p>
            <w:pPr>
              <w:pStyle w:val="TableContents"/>
              <w:bidi w:val="0"/>
              <w:spacing w:before="0" w:after="0"/>
              <w:jc w:val="left"/>
              <w:rPr/>
            </w:pPr>
            <w:r>
              <w:rPr/>
              <w:t> </w:t>
            </w:r>
          </w:p>
        </w:tc>
        <w:tc>
          <w:tcPr>
            <w:tcW w:w="166" w:type="dxa"/>
            <w:tcBorders/>
            <w:vAlign w:val="center"/>
          </w:tcPr>
          <w:p>
            <w:pPr>
              <w:pStyle w:val="TableContents"/>
              <w:bidi w:val="0"/>
              <w:spacing w:before="0" w:after="0"/>
              <w:jc w:val="left"/>
              <w:rPr/>
            </w:pPr>
            <w:r>
              <w:rPr/>
              <w:t> </w:t>
            </w:r>
          </w:p>
        </w:tc>
        <w:tc>
          <w:tcPr>
            <w:tcW w:w="64" w:type="dxa"/>
            <w:tcBorders/>
            <w:vAlign w:val="center"/>
          </w:tcPr>
          <w:p>
            <w:pPr>
              <w:pStyle w:val="TableContents"/>
              <w:bidi w:val="0"/>
              <w:spacing w:before="0" w:after="0"/>
              <w:jc w:val="left"/>
              <w:rPr/>
            </w:pPr>
            <w:r>
              <w:rPr/>
              <w:t> </w:t>
            </w:r>
          </w:p>
        </w:tc>
        <w:tc>
          <w:tcPr>
            <w:tcW w:w="149" w:type="dxa"/>
            <w:tcBorders/>
            <w:vAlign w:val="center"/>
          </w:tcPr>
          <w:p>
            <w:pPr>
              <w:pStyle w:val="TableContents"/>
              <w:bidi w:val="0"/>
              <w:spacing w:before="0" w:after="0"/>
              <w:jc w:val="left"/>
              <w:rPr/>
            </w:pPr>
            <w:r>
              <w:rPr/>
              <w:t> </w:t>
            </w:r>
          </w:p>
        </w:tc>
        <w:tc>
          <w:tcPr>
            <w:tcW w:w="1179"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41" w:type="dxa"/>
            <w:tcBorders/>
            <w:vAlign w:val="center"/>
          </w:tcPr>
          <w:p>
            <w:pPr>
              <w:pStyle w:val="TableContents"/>
              <w:bidi w:val="0"/>
              <w:spacing w:before="0" w:after="0"/>
              <w:jc w:val="left"/>
              <w:rPr/>
            </w:pPr>
            <w:r>
              <w:rPr/>
              <w:t> </w:t>
            </w:r>
          </w:p>
        </w:tc>
        <w:tc>
          <w:tcPr>
            <w:tcW w:w="1109" w:type="dxa"/>
            <w:tcBorders/>
            <w:vAlign w:val="center"/>
          </w:tcPr>
          <w:p>
            <w:pPr>
              <w:pStyle w:val="TableContents"/>
              <w:bidi w:val="0"/>
              <w:spacing w:before="0" w:after="0"/>
              <w:jc w:val="left"/>
              <w:rPr/>
            </w:pPr>
            <w:r>
              <w:rPr/>
              <w:t> </w:t>
            </w:r>
          </w:p>
        </w:tc>
        <w:tc>
          <w:tcPr>
            <w:tcW w:w="156"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41" w:type="dxa"/>
            <w:tcBorders/>
            <w:vAlign w:val="center"/>
          </w:tcPr>
          <w:p>
            <w:pPr>
              <w:pStyle w:val="TableContents"/>
              <w:bidi w:val="0"/>
              <w:spacing w:before="0" w:after="0"/>
              <w:jc w:val="left"/>
              <w:rPr/>
            </w:pPr>
            <w:r>
              <w:rPr/>
              <w:t> </w:t>
            </w:r>
          </w:p>
        </w:tc>
        <w:tc>
          <w:tcPr>
            <w:tcW w:w="1109"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r>
      <w:tr>
        <w:trPr/>
        <w:tc>
          <w:tcPr>
            <w:tcW w:w="4093"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886" w:type="dxa"/>
            <w:gridSpan w:val="6"/>
            <w:tcBorders/>
            <w:vAlign w:val="center"/>
          </w:tcPr>
          <w:p>
            <w:pPr>
              <w:pStyle w:val="TableContents"/>
              <w:bidi w:val="0"/>
              <w:spacing w:before="0" w:after="0"/>
              <w:jc w:val="center"/>
              <w:rPr>
                <w:b/>
                <w:spacing w:val="0"/>
              </w:rPr>
            </w:pPr>
            <w:r>
              <w:rPr>
                <w:b/>
                <w:spacing w:val="0"/>
              </w:rPr>
              <w:t>Three months ended June 30,</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716" w:type="dxa"/>
            <w:gridSpan w:val="6"/>
            <w:tcBorders/>
            <w:vAlign w:val="center"/>
          </w:tcPr>
          <w:p>
            <w:pPr>
              <w:pStyle w:val="TableContents"/>
              <w:bidi w:val="0"/>
              <w:spacing w:before="0" w:after="0"/>
              <w:jc w:val="center"/>
              <w:rPr>
                <w:b/>
                <w:spacing w:val="0"/>
              </w:rPr>
            </w:pPr>
            <w:r>
              <w:rPr>
                <w:b/>
                <w:spacing w:val="0"/>
              </w:rPr>
              <w:t>Six months ended June 30,</w:t>
            </w:r>
          </w:p>
        </w:tc>
        <w:tc>
          <w:tcPr>
            <w:tcW w:w="175" w:type="dxa"/>
            <w:tcBorders/>
            <w:vAlign w:val="center"/>
          </w:tcPr>
          <w:p>
            <w:pPr>
              <w:pStyle w:val="TableContents"/>
              <w:bidi w:val="0"/>
              <w:spacing w:before="0" w:after="0"/>
              <w:jc w:val="left"/>
              <w:rPr>
                <w:spacing w:val="0"/>
              </w:rPr>
            </w:pPr>
            <w:r>
              <w:rPr>
                <w:spacing w:val="0"/>
              </w:rPr>
              <w:t> </w:t>
            </w:r>
          </w:p>
        </w:tc>
      </w:tr>
      <w:tr>
        <w:trPr/>
        <w:tc>
          <w:tcPr>
            <w:tcW w:w="4093"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328" w:type="dxa"/>
            <w:gridSpan w:val="2"/>
            <w:tcBorders/>
            <w:vAlign w:val="center"/>
          </w:tcPr>
          <w:p>
            <w:pPr>
              <w:pStyle w:val="TableContents"/>
              <w:bidi w:val="0"/>
              <w:spacing w:before="0" w:after="0"/>
              <w:jc w:val="center"/>
              <w:rPr>
                <w:b/>
                <w:spacing w:val="0"/>
              </w:rPr>
            </w:pPr>
            <w:r>
              <w:rPr>
                <w:b/>
                <w:spacing w:val="0"/>
              </w:rPr>
              <w:t>2026</w:t>
            </w:r>
          </w:p>
        </w:tc>
        <w:tc>
          <w:tcPr>
            <w:tcW w:w="166" w:type="dxa"/>
            <w:tcBorders/>
            <w:vAlign w:val="center"/>
          </w:tcPr>
          <w:p>
            <w:pPr>
              <w:pStyle w:val="TableContents"/>
              <w:bidi w:val="0"/>
              <w:spacing w:before="0" w:after="0"/>
              <w:jc w:val="left"/>
              <w:rPr>
                <w:spacing w:val="0"/>
              </w:rPr>
            </w:pPr>
            <w:r>
              <w:rPr>
                <w:spacing w:val="0"/>
              </w:rPr>
              <w:t> </w:t>
            </w:r>
          </w:p>
        </w:tc>
        <w:tc>
          <w:tcPr>
            <w:tcW w:w="64" w:type="dxa"/>
            <w:tcBorders/>
            <w:vAlign w:val="center"/>
          </w:tcPr>
          <w:p>
            <w:pPr>
              <w:pStyle w:val="TableContents"/>
              <w:bidi w:val="0"/>
              <w:spacing w:before="0" w:after="0"/>
              <w:jc w:val="left"/>
              <w:rPr>
                <w:spacing w:val="0"/>
              </w:rPr>
            </w:pPr>
            <w:r>
              <w:rPr>
                <w:spacing w:val="0"/>
              </w:rPr>
              <w:t> </w:t>
            </w:r>
          </w:p>
        </w:tc>
        <w:tc>
          <w:tcPr>
            <w:tcW w:w="1328" w:type="dxa"/>
            <w:gridSpan w:val="2"/>
            <w:tcBorders/>
            <w:vAlign w:val="center"/>
          </w:tcPr>
          <w:p>
            <w:pPr>
              <w:pStyle w:val="TableContents"/>
              <w:bidi w:val="0"/>
              <w:spacing w:before="0" w:after="0"/>
              <w:jc w:val="center"/>
              <w:rPr>
                <w:b/>
                <w:spacing w:val="0"/>
              </w:rPr>
            </w:pPr>
            <w:r>
              <w:rPr>
                <w:b/>
                <w:spacing w:val="0"/>
              </w:rPr>
              <w:t>2025</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50" w:type="dxa"/>
            <w:gridSpan w:val="2"/>
            <w:tcBorders/>
            <w:vAlign w:val="center"/>
          </w:tcPr>
          <w:p>
            <w:pPr>
              <w:pStyle w:val="TableContents"/>
              <w:bidi w:val="0"/>
              <w:spacing w:before="0" w:after="0"/>
              <w:jc w:val="center"/>
              <w:rPr>
                <w:b/>
                <w:spacing w:val="0"/>
              </w:rPr>
            </w:pPr>
            <w:r>
              <w:rPr>
                <w:b/>
                <w:spacing w:val="0"/>
              </w:rPr>
              <w:t>2026</w:t>
            </w:r>
          </w:p>
        </w:tc>
        <w:tc>
          <w:tcPr>
            <w:tcW w:w="156"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50" w:type="dxa"/>
            <w:gridSpan w:val="2"/>
            <w:tcBorders/>
            <w:vAlign w:val="center"/>
          </w:tcPr>
          <w:p>
            <w:pPr>
              <w:pStyle w:val="TableContents"/>
              <w:bidi w:val="0"/>
              <w:spacing w:before="0" w:after="0"/>
              <w:jc w:val="center"/>
              <w:rPr>
                <w:b/>
                <w:spacing w:val="0"/>
              </w:rPr>
            </w:pPr>
            <w:r>
              <w:rPr>
                <w:b/>
                <w:spacing w:val="0"/>
              </w:rPr>
              <w:t>2025</w:t>
            </w:r>
          </w:p>
        </w:tc>
        <w:tc>
          <w:tcPr>
            <w:tcW w:w="175" w:type="dxa"/>
            <w:tcBorders/>
            <w:vAlign w:val="center"/>
          </w:tcPr>
          <w:p>
            <w:pPr>
              <w:pStyle w:val="TableContents"/>
              <w:bidi w:val="0"/>
              <w:spacing w:before="0" w:after="0"/>
              <w:jc w:val="left"/>
              <w:rPr>
                <w:spacing w:val="0"/>
              </w:rPr>
            </w:pPr>
            <w:r>
              <w:rPr>
                <w:spacing w:val="0"/>
              </w:rPr>
              <w:t> </w:t>
            </w:r>
          </w:p>
        </w:tc>
      </w:tr>
      <w:tr>
        <w:trPr/>
        <w:tc>
          <w:tcPr>
            <w:tcW w:w="4093"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expenses: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9"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0"/>
              <w:jc w:val="left"/>
              <w:rPr>
                <w:spacing w:val="0"/>
              </w:rPr>
            </w:pPr>
            <w:r>
              <w:rPr>
                <w:spacing w:val="0"/>
              </w:rPr>
              <w:t> </w:t>
            </w:r>
          </w:p>
        </w:tc>
        <w:tc>
          <w:tcPr>
            <w:tcW w:w="149"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1"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1"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r>
      <w:tr>
        <w:trPr/>
        <w:tc>
          <w:tcPr>
            <w:tcW w:w="4093"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and development</w:t>
            </w:r>
          </w:p>
        </w:tc>
        <w:tc>
          <w:tcPr>
            <w:tcW w:w="120" w:type="dxa"/>
            <w:tcBorders/>
            <w:vAlign w:val="center"/>
          </w:tcPr>
          <w:p>
            <w:pPr>
              <w:pStyle w:val="TableContents"/>
              <w:bidi w:val="0"/>
              <w:spacing w:before="0" w:after="0"/>
              <w:jc w:val="left"/>
              <w:rPr>
                <w:spacing w:val="0"/>
              </w:rPr>
            </w:pPr>
            <w:r>
              <w:rPr>
                <w:spacing w:val="0"/>
              </w:rPr>
              <w:t>  </w:t>
            </w:r>
          </w:p>
        </w:tc>
        <w:tc>
          <w:tcPr>
            <w:tcW w:w="149" w:type="dxa"/>
            <w:tcBorders/>
            <w:vAlign w:val="center"/>
          </w:tcPr>
          <w:p>
            <w:pPr>
              <w:pStyle w:val="TableContents"/>
              <w:bidi w:val="0"/>
              <w:spacing w:before="0" w:after="0"/>
              <w:jc w:val="left"/>
              <w:rPr>
                <w:spacing w:val="0"/>
              </w:rPr>
            </w:pPr>
            <w:r>
              <w:rPr>
                <w:spacing w:val="0"/>
              </w:rPr>
              <w:t> </w:t>
            </w:r>
          </w:p>
        </w:tc>
        <w:tc>
          <w:tcPr>
            <w:tcW w:w="1179" w:type="dxa"/>
            <w:tcBorders/>
            <w:vAlign w:val="center"/>
          </w:tcPr>
          <w:p>
            <w:pPr>
              <w:pStyle w:val="TableContents"/>
              <w:bidi w:val="0"/>
              <w:spacing w:before="0" w:after="0"/>
              <w:jc w:val="right"/>
              <w:rPr>
                <w:spacing w:val="0"/>
              </w:rPr>
            </w:pPr>
            <w:r>
              <w:rPr>
                <w:spacing w:val="0"/>
              </w:rPr>
              <w:t>21,549</w:t>
            </w:r>
          </w:p>
        </w:tc>
        <w:tc>
          <w:tcPr>
            <w:tcW w:w="166" w:type="dxa"/>
            <w:tcBorders/>
            <w:vAlign w:val="center"/>
          </w:tcPr>
          <w:p>
            <w:pPr>
              <w:pStyle w:val="TableContents"/>
              <w:bidi w:val="0"/>
              <w:spacing w:before="0" w:after="0"/>
              <w:jc w:val="left"/>
              <w:rPr>
                <w:spacing w:val="0"/>
              </w:rPr>
            </w:pPr>
            <w:r>
              <w:rPr>
                <w:spacing w:val="0"/>
              </w:rPr>
              <w:t> </w:t>
            </w:r>
          </w:p>
        </w:tc>
        <w:tc>
          <w:tcPr>
            <w:tcW w:w="64" w:type="dxa"/>
            <w:tcBorders/>
            <w:vAlign w:val="center"/>
          </w:tcPr>
          <w:p>
            <w:pPr>
              <w:pStyle w:val="TableContents"/>
              <w:bidi w:val="0"/>
              <w:spacing w:before="0" w:after="0"/>
              <w:jc w:val="left"/>
              <w:rPr>
                <w:spacing w:val="0"/>
              </w:rPr>
            </w:pPr>
            <w:r>
              <w:rPr>
                <w:spacing w:val="0"/>
              </w:rPr>
              <w:t> </w:t>
            </w:r>
          </w:p>
        </w:tc>
        <w:tc>
          <w:tcPr>
            <w:tcW w:w="149" w:type="dxa"/>
            <w:tcBorders/>
            <w:vAlign w:val="center"/>
          </w:tcPr>
          <w:p>
            <w:pPr>
              <w:pStyle w:val="TableContents"/>
              <w:bidi w:val="0"/>
              <w:spacing w:before="0" w:after="0"/>
              <w:jc w:val="left"/>
              <w:rPr>
                <w:spacing w:val="0"/>
              </w:rPr>
            </w:pPr>
            <w:r>
              <w:rPr>
                <w:spacing w:val="0"/>
              </w:rPr>
              <w:t> </w:t>
            </w:r>
          </w:p>
        </w:tc>
        <w:tc>
          <w:tcPr>
            <w:tcW w:w="1179" w:type="dxa"/>
            <w:tcBorders/>
            <w:vAlign w:val="center"/>
          </w:tcPr>
          <w:p>
            <w:pPr>
              <w:pStyle w:val="TableContents"/>
              <w:bidi w:val="0"/>
              <w:spacing w:before="0" w:after="0"/>
              <w:jc w:val="right"/>
              <w:rPr>
                <w:spacing w:val="0"/>
              </w:rPr>
            </w:pPr>
            <w:r>
              <w:rPr>
                <w:spacing w:val="0"/>
              </w:rPr>
              <w:t>22,952</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1" w:type="dxa"/>
            <w:tcBorders/>
            <w:vAlign w:val="center"/>
          </w:tcPr>
          <w:p>
            <w:pPr>
              <w:pStyle w:val="TableContents"/>
              <w:bidi w:val="0"/>
              <w:spacing w:before="0" w:after="0"/>
              <w:jc w:val="left"/>
              <w:rPr>
                <w:spacing w:val="0"/>
              </w:rPr>
            </w:pPr>
            <w:r>
              <w:rPr>
                <w:spacing w:val="0"/>
              </w:rPr>
              <w:t> </w:t>
            </w:r>
          </w:p>
        </w:tc>
        <w:tc>
          <w:tcPr>
            <w:tcW w:w="1109" w:type="dxa"/>
            <w:tcBorders/>
            <w:vAlign w:val="center"/>
          </w:tcPr>
          <w:p>
            <w:pPr>
              <w:pStyle w:val="TableContents"/>
              <w:bidi w:val="0"/>
              <w:spacing w:before="0" w:after="0"/>
              <w:jc w:val="right"/>
              <w:rPr>
                <w:spacing w:val="0"/>
              </w:rPr>
            </w:pPr>
            <w:r>
              <w:rPr>
                <w:spacing w:val="0"/>
              </w:rPr>
              <w:t>37,281</w:t>
            </w:r>
          </w:p>
        </w:tc>
        <w:tc>
          <w:tcPr>
            <w:tcW w:w="156"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1" w:type="dxa"/>
            <w:tcBorders/>
            <w:vAlign w:val="center"/>
          </w:tcPr>
          <w:p>
            <w:pPr>
              <w:pStyle w:val="TableContents"/>
              <w:bidi w:val="0"/>
              <w:spacing w:before="0" w:after="0"/>
              <w:jc w:val="left"/>
              <w:rPr>
                <w:spacing w:val="0"/>
              </w:rPr>
            </w:pPr>
            <w:r>
              <w:rPr>
                <w:spacing w:val="0"/>
              </w:rPr>
              <w:t> </w:t>
            </w:r>
          </w:p>
        </w:tc>
        <w:tc>
          <w:tcPr>
            <w:tcW w:w="1109" w:type="dxa"/>
            <w:tcBorders/>
            <w:vAlign w:val="center"/>
          </w:tcPr>
          <w:p>
            <w:pPr>
              <w:pStyle w:val="TableContents"/>
              <w:bidi w:val="0"/>
              <w:spacing w:before="0" w:after="0"/>
              <w:jc w:val="right"/>
              <w:rPr>
                <w:spacing w:val="0"/>
              </w:rPr>
            </w:pPr>
            <w:r>
              <w:rPr>
                <w:spacing w:val="0"/>
              </w:rPr>
              <w:t>44,078</w:t>
            </w:r>
          </w:p>
        </w:tc>
        <w:tc>
          <w:tcPr>
            <w:tcW w:w="175" w:type="dxa"/>
            <w:tcBorders/>
            <w:vAlign w:val="center"/>
          </w:tcPr>
          <w:p>
            <w:pPr>
              <w:pStyle w:val="TableContents"/>
              <w:bidi w:val="0"/>
              <w:spacing w:before="0" w:after="0"/>
              <w:jc w:val="left"/>
              <w:rPr>
                <w:spacing w:val="0"/>
              </w:rPr>
            </w:pPr>
            <w:r>
              <w:rPr>
                <w:spacing w:val="0"/>
              </w:rPr>
              <w:t> </w:t>
            </w:r>
          </w:p>
        </w:tc>
      </w:tr>
      <w:tr>
        <w:trPr/>
        <w:tc>
          <w:tcPr>
            <w:tcW w:w="4093"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General and administrative</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9" w:type="dxa"/>
            <w:tcBorders/>
            <w:shd w:fill="CCEEFF" w:val="clear"/>
            <w:vAlign w:val="center"/>
          </w:tcPr>
          <w:p>
            <w:pPr>
              <w:pStyle w:val="TableContents"/>
              <w:bidi w:val="0"/>
              <w:spacing w:before="0" w:after="0"/>
              <w:jc w:val="left"/>
              <w:rPr>
                <w:spacing w:val="0"/>
              </w:rPr>
            </w:pPr>
            <w:r>
              <w:rPr>
                <w:spacing w:val="0"/>
              </w:rPr>
              <w:t> </w:t>
            </w:r>
          </w:p>
        </w:tc>
        <w:tc>
          <w:tcPr>
            <w:tcW w:w="1179" w:type="dxa"/>
            <w:tcBorders/>
            <w:shd w:fill="CCEEFF" w:val="clear"/>
            <w:vAlign w:val="center"/>
          </w:tcPr>
          <w:p>
            <w:pPr>
              <w:pStyle w:val="TableContents"/>
              <w:bidi w:val="0"/>
              <w:spacing w:before="0" w:after="0"/>
              <w:jc w:val="right"/>
              <w:rPr>
                <w:spacing w:val="0"/>
              </w:rPr>
            </w:pPr>
            <w:r>
              <w:rPr>
                <w:spacing w:val="0"/>
              </w:rPr>
              <w:t>4,591</w:t>
            </w:r>
          </w:p>
        </w:tc>
        <w:tc>
          <w:tcPr>
            <w:tcW w:w="166" w:type="dxa"/>
            <w:tcBorders/>
            <w:shd w:fill="CCEEFF" w:val="clear"/>
            <w:vAlign w:val="center"/>
          </w:tcPr>
          <w:p>
            <w:pPr>
              <w:pStyle w:val="TableContents"/>
              <w:bidi w:val="0"/>
              <w:spacing w:before="0" w:after="0"/>
              <w:jc w:val="left"/>
              <w:rPr>
                <w:spacing w:val="0"/>
              </w:rPr>
            </w:pPr>
            <w:r>
              <w:rPr>
                <w:spacing w:val="0"/>
              </w:rPr>
              <w:t> </w:t>
            </w:r>
          </w:p>
        </w:tc>
        <w:tc>
          <w:tcPr>
            <w:tcW w:w="64" w:type="dxa"/>
            <w:tcBorders/>
            <w:shd w:fill="CCEEFF" w:val="clear"/>
            <w:vAlign w:val="center"/>
          </w:tcPr>
          <w:p>
            <w:pPr>
              <w:pStyle w:val="TableContents"/>
              <w:bidi w:val="0"/>
              <w:spacing w:before="0" w:after="0"/>
              <w:jc w:val="left"/>
              <w:rPr>
                <w:spacing w:val="0"/>
              </w:rPr>
            </w:pPr>
            <w:r>
              <w:rPr>
                <w:spacing w:val="0"/>
              </w:rPr>
              <w:t> </w:t>
            </w:r>
          </w:p>
        </w:tc>
        <w:tc>
          <w:tcPr>
            <w:tcW w:w="149" w:type="dxa"/>
            <w:tcBorders/>
            <w:shd w:fill="CCEEFF" w:val="clear"/>
            <w:vAlign w:val="center"/>
          </w:tcPr>
          <w:p>
            <w:pPr>
              <w:pStyle w:val="TableContents"/>
              <w:bidi w:val="0"/>
              <w:spacing w:before="0" w:after="0"/>
              <w:jc w:val="left"/>
              <w:rPr>
                <w:spacing w:val="0"/>
              </w:rPr>
            </w:pPr>
            <w:r>
              <w:rPr>
                <w:spacing w:val="0"/>
              </w:rPr>
              <w:t> </w:t>
            </w:r>
          </w:p>
        </w:tc>
        <w:tc>
          <w:tcPr>
            <w:tcW w:w="1179" w:type="dxa"/>
            <w:tcBorders/>
            <w:shd w:fill="CCEEFF" w:val="clear"/>
            <w:vAlign w:val="center"/>
          </w:tcPr>
          <w:p>
            <w:pPr>
              <w:pStyle w:val="TableContents"/>
              <w:bidi w:val="0"/>
              <w:spacing w:before="0" w:after="0"/>
              <w:jc w:val="right"/>
              <w:rPr>
                <w:spacing w:val="0"/>
              </w:rPr>
            </w:pPr>
            <w:r>
              <w:rPr>
                <w:spacing w:val="0"/>
              </w:rPr>
              <w:t>5,307</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1" w:type="dxa"/>
            <w:tcBorders/>
            <w:shd w:fill="CCEEFF" w:val="clear"/>
            <w:vAlign w:val="center"/>
          </w:tcPr>
          <w:p>
            <w:pPr>
              <w:pStyle w:val="TableContents"/>
              <w:bidi w:val="0"/>
              <w:spacing w:before="0" w:after="0"/>
              <w:jc w:val="left"/>
              <w:rPr>
                <w:spacing w:val="0"/>
              </w:rPr>
            </w:pPr>
            <w:r>
              <w:rPr>
                <w:spacing w:val="0"/>
              </w:rPr>
              <w:t> </w:t>
            </w:r>
          </w:p>
        </w:tc>
        <w:tc>
          <w:tcPr>
            <w:tcW w:w="1109" w:type="dxa"/>
            <w:tcBorders/>
            <w:shd w:fill="CCEEFF" w:val="clear"/>
            <w:vAlign w:val="center"/>
          </w:tcPr>
          <w:p>
            <w:pPr>
              <w:pStyle w:val="TableContents"/>
              <w:bidi w:val="0"/>
              <w:spacing w:before="0" w:after="0"/>
              <w:jc w:val="right"/>
              <w:rPr>
                <w:spacing w:val="0"/>
              </w:rPr>
            </w:pPr>
            <w:r>
              <w:rPr>
                <w:spacing w:val="0"/>
              </w:rPr>
              <w:t>9,139</w:t>
            </w:r>
          </w:p>
        </w:tc>
        <w:tc>
          <w:tcPr>
            <w:tcW w:w="156"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1" w:type="dxa"/>
            <w:tcBorders/>
            <w:shd w:fill="CCEEFF" w:val="clear"/>
            <w:vAlign w:val="center"/>
          </w:tcPr>
          <w:p>
            <w:pPr>
              <w:pStyle w:val="TableContents"/>
              <w:bidi w:val="0"/>
              <w:spacing w:before="0" w:after="0"/>
              <w:jc w:val="left"/>
              <w:rPr>
                <w:spacing w:val="0"/>
              </w:rPr>
            </w:pPr>
            <w:r>
              <w:rPr>
                <w:spacing w:val="0"/>
              </w:rPr>
              <w:t> </w:t>
            </w:r>
          </w:p>
        </w:tc>
        <w:tc>
          <w:tcPr>
            <w:tcW w:w="1109" w:type="dxa"/>
            <w:tcBorders/>
            <w:shd w:fill="CCEEFF" w:val="clear"/>
            <w:vAlign w:val="center"/>
          </w:tcPr>
          <w:p>
            <w:pPr>
              <w:pStyle w:val="TableContents"/>
              <w:bidi w:val="0"/>
              <w:spacing w:before="0" w:after="0"/>
              <w:jc w:val="right"/>
              <w:rPr>
                <w:spacing w:val="0"/>
              </w:rPr>
            </w:pPr>
            <w:r>
              <w:rPr>
                <w:spacing w:val="0"/>
              </w:rPr>
              <w:t>10,784</w:t>
            </w:r>
          </w:p>
        </w:tc>
        <w:tc>
          <w:tcPr>
            <w:tcW w:w="175" w:type="dxa"/>
            <w:tcBorders/>
            <w:shd w:fill="CCEEFF" w:val="clear"/>
            <w:vAlign w:val="center"/>
          </w:tcPr>
          <w:p>
            <w:pPr>
              <w:pStyle w:val="TableContents"/>
              <w:bidi w:val="0"/>
              <w:spacing w:before="0" w:after="0"/>
              <w:jc w:val="left"/>
              <w:rPr>
                <w:spacing w:val="0"/>
              </w:rPr>
            </w:pPr>
            <w:r>
              <w:rPr>
                <w:spacing w:val="0"/>
              </w:rPr>
              <w:t> </w:t>
            </w:r>
          </w:p>
        </w:tc>
      </w:tr>
      <w:tr>
        <w:trPr/>
        <w:tc>
          <w:tcPr>
            <w:tcW w:w="409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6" w:type="dxa"/>
            <w:tcBorders/>
            <w:vAlign w:val="center"/>
          </w:tcPr>
          <w:p>
            <w:pPr>
              <w:pStyle w:val="TableContents"/>
              <w:bidi w:val="0"/>
              <w:spacing w:before="0" w:after="0"/>
              <w:jc w:val="left"/>
              <w:rPr>
                <w:spacing w:val="0"/>
              </w:rPr>
            </w:pPr>
            <w:r>
              <w:rPr>
                <w:spacing w:val="0"/>
              </w:rPr>
              <w:t> </w:t>
            </w:r>
          </w:p>
        </w:tc>
        <w:tc>
          <w:tcPr>
            <w:tcW w:w="64" w:type="dxa"/>
            <w:tcBorders/>
            <w:vAlign w:val="center"/>
          </w:tcPr>
          <w:p>
            <w:pPr>
              <w:pStyle w:val="TableContents"/>
              <w:bidi w:val="0"/>
              <w:spacing w:before="0" w:after="0"/>
              <w:jc w:val="left"/>
              <w:rPr>
                <w:spacing w:val="0"/>
              </w:rPr>
            </w:pPr>
            <w:r>
              <w:rPr>
                <w:spacing w:val="0"/>
              </w:rPr>
              <w:t> </w:t>
            </w:r>
          </w:p>
        </w:tc>
        <w:tc>
          <w:tcPr>
            <w:tcW w:w="1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6"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5" w:type="dxa"/>
            <w:tcBorders/>
            <w:vAlign w:val="center"/>
          </w:tcPr>
          <w:p>
            <w:pPr>
              <w:pStyle w:val="TableContents"/>
              <w:bidi w:val="0"/>
              <w:spacing w:before="0" w:after="0"/>
              <w:jc w:val="left"/>
              <w:rPr>
                <w:spacing w:val="0"/>
              </w:rPr>
            </w:pPr>
            <w:r>
              <w:rPr>
                <w:spacing w:val="0"/>
              </w:rPr>
              <w:t> </w:t>
            </w:r>
          </w:p>
        </w:tc>
      </w:tr>
      <w:tr>
        <w:trPr/>
        <w:tc>
          <w:tcPr>
            <w:tcW w:w="4093"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operating expenses</w:t>
            </w:r>
          </w:p>
        </w:tc>
        <w:tc>
          <w:tcPr>
            <w:tcW w:w="120" w:type="dxa"/>
            <w:tcBorders/>
            <w:vAlign w:val="center"/>
          </w:tcPr>
          <w:p>
            <w:pPr>
              <w:pStyle w:val="TableContents"/>
              <w:bidi w:val="0"/>
              <w:spacing w:before="0" w:after="0"/>
              <w:jc w:val="left"/>
              <w:rPr>
                <w:spacing w:val="0"/>
              </w:rPr>
            </w:pPr>
            <w:r>
              <w:rPr>
                <w:spacing w:val="0"/>
              </w:rPr>
              <w:t>  </w:t>
            </w:r>
          </w:p>
        </w:tc>
        <w:tc>
          <w:tcPr>
            <w:tcW w:w="149" w:type="dxa"/>
            <w:tcBorders/>
            <w:vAlign w:val="center"/>
          </w:tcPr>
          <w:p>
            <w:pPr>
              <w:pStyle w:val="TableContents"/>
              <w:bidi w:val="0"/>
              <w:spacing w:before="0" w:after="0"/>
              <w:jc w:val="left"/>
              <w:rPr>
                <w:spacing w:val="0"/>
              </w:rPr>
            </w:pPr>
            <w:r>
              <w:rPr>
                <w:spacing w:val="0"/>
              </w:rPr>
              <w:t> </w:t>
            </w:r>
          </w:p>
        </w:tc>
        <w:tc>
          <w:tcPr>
            <w:tcW w:w="1179" w:type="dxa"/>
            <w:tcBorders/>
            <w:vAlign w:val="center"/>
          </w:tcPr>
          <w:p>
            <w:pPr>
              <w:pStyle w:val="TableContents"/>
              <w:bidi w:val="0"/>
              <w:spacing w:before="0" w:after="0"/>
              <w:jc w:val="right"/>
              <w:rPr>
                <w:spacing w:val="0"/>
              </w:rPr>
            </w:pPr>
            <w:r>
              <w:rPr>
                <w:spacing w:val="0"/>
              </w:rPr>
              <w:t>26,140</w:t>
            </w:r>
          </w:p>
        </w:tc>
        <w:tc>
          <w:tcPr>
            <w:tcW w:w="166" w:type="dxa"/>
            <w:tcBorders/>
            <w:vAlign w:val="center"/>
          </w:tcPr>
          <w:p>
            <w:pPr>
              <w:pStyle w:val="TableContents"/>
              <w:bidi w:val="0"/>
              <w:spacing w:before="0" w:after="0"/>
              <w:jc w:val="left"/>
              <w:rPr>
                <w:spacing w:val="0"/>
              </w:rPr>
            </w:pPr>
            <w:r>
              <w:rPr>
                <w:spacing w:val="0"/>
              </w:rPr>
              <w:t> </w:t>
            </w:r>
          </w:p>
        </w:tc>
        <w:tc>
          <w:tcPr>
            <w:tcW w:w="64" w:type="dxa"/>
            <w:tcBorders/>
            <w:vAlign w:val="center"/>
          </w:tcPr>
          <w:p>
            <w:pPr>
              <w:pStyle w:val="TableContents"/>
              <w:bidi w:val="0"/>
              <w:spacing w:before="0" w:after="0"/>
              <w:jc w:val="left"/>
              <w:rPr>
                <w:spacing w:val="0"/>
              </w:rPr>
            </w:pPr>
            <w:r>
              <w:rPr>
                <w:spacing w:val="0"/>
              </w:rPr>
              <w:t> </w:t>
            </w:r>
          </w:p>
        </w:tc>
        <w:tc>
          <w:tcPr>
            <w:tcW w:w="149" w:type="dxa"/>
            <w:tcBorders/>
            <w:vAlign w:val="center"/>
          </w:tcPr>
          <w:p>
            <w:pPr>
              <w:pStyle w:val="TableContents"/>
              <w:bidi w:val="0"/>
              <w:spacing w:before="0" w:after="0"/>
              <w:jc w:val="left"/>
              <w:rPr>
                <w:spacing w:val="0"/>
              </w:rPr>
            </w:pPr>
            <w:r>
              <w:rPr>
                <w:spacing w:val="0"/>
              </w:rPr>
              <w:t> </w:t>
            </w:r>
          </w:p>
        </w:tc>
        <w:tc>
          <w:tcPr>
            <w:tcW w:w="1179" w:type="dxa"/>
            <w:tcBorders/>
            <w:vAlign w:val="center"/>
          </w:tcPr>
          <w:p>
            <w:pPr>
              <w:pStyle w:val="TableContents"/>
              <w:bidi w:val="0"/>
              <w:spacing w:before="0" w:after="0"/>
              <w:jc w:val="right"/>
              <w:rPr>
                <w:spacing w:val="0"/>
              </w:rPr>
            </w:pPr>
            <w:r>
              <w:rPr>
                <w:spacing w:val="0"/>
              </w:rPr>
              <w:t>28,259</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1" w:type="dxa"/>
            <w:tcBorders/>
            <w:vAlign w:val="center"/>
          </w:tcPr>
          <w:p>
            <w:pPr>
              <w:pStyle w:val="TableContents"/>
              <w:bidi w:val="0"/>
              <w:spacing w:before="0" w:after="0"/>
              <w:jc w:val="left"/>
              <w:rPr>
                <w:spacing w:val="0"/>
              </w:rPr>
            </w:pPr>
            <w:r>
              <w:rPr>
                <w:spacing w:val="0"/>
              </w:rPr>
              <w:t> </w:t>
            </w:r>
          </w:p>
        </w:tc>
        <w:tc>
          <w:tcPr>
            <w:tcW w:w="1109" w:type="dxa"/>
            <w:tcBorders/>
            <w:vAlign w:val="center"/>
          </w:tcPr>
          <w:p>
            <w:pPr>
              <w:pStyle w:val="TableContents"/>
              <w:bidi w:val="0"/>
              <w:spacing w:before="0" w:after="0"/>
              <w:jc w:val="right"/>
              <w:rPr>
                <w:spacing w:val="0"/>
              </w:rPr>
            </w:pPr>
            <w:r>
              <w:rPr>
                <w:spacing w:val="0"/>
              </w:rPr>
              <w:t>46,420</w:t>
            </w:r>
          </w:p>
        </w:tc>
        <w:tc>
          <w:tcPr>
            <w:tcW w:w="156"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1" w:type="dxa"/>
            <w:tcBorders/>
            <w:vAlign w:val="center"/>
          </w:tcPr>
          <w:p>
            <w:pPr>
              <w:pStyle w:val="TableContents"/>
              <w:bidi w:val="0"/>
              <w:spacing w:before="0" w:after="0"/>
              <w:jc w:val="left"/>
              <w:rPr>
                <w:spacing w:val="0"/>
              </w:rPr>
            </w:pPr>
            <w:r>
              <w:rPr>
                <w:spacing w:val="0"/>
              </w:rPr>
              <w:t> </w:t>
            </w:r>
          </w:p>
        </w:tc>
        <w:tc>
          <w:tcPr>
            <w:tcW w:w="1109" w:type="dxa"/>
            <w:tcBorders/>
            <w:vAlign w:val="center"/>
          </w:tcPr>
          <w:p>
            <w:pPr>
              <w:pStyle w:val="TableContents"/>
              <w:bidi w:val="0"/>
              <w:spacing w:before="0" w:after="0"/>
              <w:jc w:val="right"/>
              <w:rPr>
                <w:spacing w:val="0"/>
              </w:rPr>
            </w:pPr>
            <w:r>
              <w:rPr>
                <w:spacing w:val="0"/>
              </w:rPr>
              <w:t>54,862</w:t>
            </w:r>
          </w:p>
        </w:tc>
        <w:tc>
          <w:tcPr>
            <w:tcW w:w="175" w:type="dxa"/>
            <w:tcBorders/>
            <w:vAlign w:val="center"/>
          </w:tcPr>
          <w:p>
            <w:pPr>
              <w:pStyle w:val="TableContents"/>
              <w:bidi w:val="0"/>
              <w:spacing w:before="0" w:after="0"/>
              <w:jc w:val="left"/>
              <w:rPr>
                <w:spacing w:val="0"/>
              </w:rPr>
            </w:pPr>
            <w:r>
              <w:rPr>
                <w:spacing w:val="0"/>
              </w:rPr>
              <w:t> </w:t>
            </w:r>
          </w:p>
        </w:tc>
      </w:tr>
      <w:tr>
        <w:trPr/>
        <w:tc>
          <w:tcPr>
            <w:tcW w:w="409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6" w:type="dxa"/>
            <w:tcBorders/>
            <w:vAlign w:val="center"/>
          </w:tcPr>
          <w:p>
            <w:pPr>
              <w:pStyle w:val="TableContents"/>
              <w:bidi w:val="0"/>
              <w:spacing w:before="0" w:after="0"/>
              <w:jc w:val="left"/>
              <w:rPr>
                <w:spacing w:val="0"/>
              </w:rPr>
            </w:pPr>
            <w:r>
              <w:rPr>
                <w:spacing w:val="0"/>
              </w:rPr>
              <w:t> </w:t>
            </w:r>
          </w:p>
        </w:tc>
        <w:tc>
          <w:tcPr>
            <w:tcW w:w="64" w:type="dxa"/>
            <w:tcBorders/>
            <w:vAlign w:val="center"/>
          </w:tcPr>
          <w:p>
            <w:pPr>
              <w:pStyle w:val="TableContents"/>
              <w:bidi w:val="0"/>
              <w:spacing w:before="0" w:after="0"/>
              <w:jc w:val="left"/>
              <w:rPr>
                <w:spacing w:val="0"/>
              </w:rPr>
            </w:pPr>
            <w:r>
              <w:rPr>
                <w:spacing w:val="0"/>
              </w:rPr>
              <w:t> </w:t>
            </w:r>
          </w:p>
        </w:tc>
        <w:tc>
          <w:tcPr>
            <w:tcW w:w="1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6"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5" w:type="dxa"/>
            <w:tcBorders/>
            <w:vAlign w:val="center"/>
          </w:tcPr>
          <w:p>
            <w:pPr>
              <w:pStyle w:val="TableContents"/>
              <w:bidi w:val="0"/>
              <w:spacing w:before="0" w:after="0"/>
              <w:jc w:val="left"/>
              <w:rPr>
                <w:spacing w:val="0"/>
              </w:rPr>
            </w:pPr>
            <w:r>
              <w:rPr>
                <w:spacing w:val="0"/>
              </w:rPr>
              <w:t> </w:t>
            </w:r>
          </w:p>
        </w:tc>
      </w:tr>
      <w:tr>
        <w:trPr/>
        <w:tc>
          <w:tcPr>
            <w:tcW w:w="4093"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Loss from operations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9" w:type="dxa"/>
            <w:tcBorders/>
            <w:shd w:fill="CCEEFF" w:val="clear"/>
            <w:vAlign w:val="center"/>
          </w:tcPr>
          <w:p>
            <w:pPr>
              <w:pStyle w:val="TableContents"/>
              <w:bidi w:val="0"/>
              <w:spacing w:before="0" w:after="0"/>
              <w:jc w:val="left"/>
              <w:rPr>
                <w:spacing w:val="0"/>
              </w:rPr>
            </w:pPr>
            <w:r>
              <w:rPr>
                <w:spacing w:val="0"/>
              </w:rPr>
              <w:t> </w:t>
            </w:r>
          </w:p>
        </w:tc>
        <w:tc>
          <w:tcPr>
            <w:tcW w:w="1179" w:type="dxa"/>
            <w:tcBorders/>
            <w:shd w:fill="CCEEFF" w:val="clear"/>
            <w:vAlign w:val="center"/>
          </w:tcPr>
          <w:p>
            <w:pPr>
              <w:pStyle w:val="TableContents"/>
              <w:bidi w:val="0"/>
              <w:spacing w:before="0" w:after="0"/>
              <w:jc w:val="right"/>
              <w:rPr>
                <w:spacing w:val="0"/>
              </w:rPr>
            </w:pPr>
            <w:r>
              <w:rPr>
                <w:spacing w:val="0"/>
              </w:rPr>
              <w:t>(26,140</w:t>
            </w:r>
          </w:p>
        </w:tc>
        <w:tc>
          <w:tcPr>
            <w:tcW w:w="166" w:type="dxa"/>
            <w:tcBorders/>
            <w:shd w:fill="CCEEFF" w:val="clear"/>
            <w:vAlign w:val="center"/>
          </w:tcPr>
          <w:p>
            <w:pPr>
              <w:pStyle w:val="TableContents"/>
              <w:bidi w:val="0"/>
              <w:spacing w:before="0" w:after="0"/>
              <w:jc w:val="left"/>
              <w:rPr>
                <w:spacing w:val="0"/>
              </w:rPr>
            </w:pPr>
            <w:r>
              <w:rPr>
                <w:spacing w:val="0"/>
              </w:rPr>
              <w:t>) </w:t>
            </w:r>
          </w:p>
        </w:tc>
        <w:tc>
          <w:tcPr>
            <w:tcW w:w="64" w:type="dxa"/>
            <w:tcBorders/>
            <w:shd w:fill="CCEEFF" w:val="clear"/>
            <w:vAlign w:val="center"/>
          </w:tcPr>
          <w:p>
            <w:pPr>
              <w:pStyle w:val="TableContents"/>
              <w:bidi w:val="0"/>
              <w:spacing w:before="0" w:after="0"/>
              <w:jc w:val="left"/>
              <w:rPr>
                <w:spacing w:val="0"/>
              </w:rPr>
            </w:pPr>
            <w:r>
              <w:rPr>
                <w:spacing w:val="0"/>
              </w:rPr>
              <w:t> </w:t>
            </w:r>
          </w:p>
        </w:tc>
        <w:tc>
          <w:tcPr>
            <w:tcW w:w="149" w:type="dxa"/>
            <w:tcBorders/>
            <w:shd w:fill="CCEEFF" w:val="clear"/>
            <w:vAlign w:val="center"/>
          </w:tcPr>
          <w:p>
            <w:pPr>
              <w:pStyle w:val="TableContents"/>
              <w:bidi w:val="0"/>
              <w:spacing w:before="0" w:after="0"/>
              <w:jc w:val="left"/>
              <w:rPr>
                <w:spacing w:val="0"/>
              </w:rPr>
            </w:pPr>
            <w:r>
              <w:rPr>
                <w:spacing w:val="0"/>
              </w:rPr>
              <w:t> </w:t>
            </w:r>
          </w:p>
        </w:tc>
        <w:tc>
          <w:tcPr>
            <w:tcW w:w="1179" w:type="dxa"/>
            <w:tcBorders/>
            <w:shd w:fill="CCEEFF" w:val="clear"/>
            <w:vAlign w:val="center"/>
          </w:tcPr>
          <w:p>
            <w:pPr>
              <w:pStyle w:val="TableContents"/>
              <w:bidi w:val="0"/>
              <w:spacing w:before="0" w:after="0"/>
              <w:jc w:val="right"/>
              <w:rPr>
                <w:spacing w:val="0"/>
              </w:rPr>
            </w:pPr>
            <w:r>
              <w:rPr>
                <w:spacing w:val="0"/>
              </w:rPr>
              <w:t>(28,259</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1" w:type="dxa"/>
            <w:tcBorders/>
            <w:shd w:fill="CCEEFF" w:val="clear"/>
            <w:vAlign w:val="center"/>
          </w:tcPr>
          <w:p>
            <w:pPr>
              <w:pStyle w:val="TableContents"/>
              <w:bidi w:val="0"/>
              <w:spacing w:before="0" w:after="0"/>
              <w:jc w:val="left"/>
              <w:rPr>
                <w:spacing w:val="0"/>
              </w:rPr>
            </w:pPr>
            <w:r>
              <w:rPr>
                <w:spacing w:val="0"/>
              </w:rPr>
              <w:t> </w:t>
            </w:r>
          </w:p>
        </w:tc>
        <w:tc>
          <w:tcPr>
            <w:tcW w:w="1109" w:type="dxa"/>
            <w:tcBorders/>
            <w:shd w:fill="CCEEFF" w:val="clear"/>
            <w:vAlign w:val="center"/>
          </w:tcPr>
          <w:p>
            <w:pPr>
              <w:pStyle w:val="TableContents"/>
              <w:bidi w:val="0"/>
              <w:spacing w:before="0" w:after="0"/>
              <w:jc w:val="right"/>
              <w:rPr>
                <w:spacing w:val="0"/>
              </w:rPr>
            </w:pPr>
            <w:r>
              <w:rPr>
                <w:spacing w:val="0"/>
              </w:rPr>
              <w:t>(46,420</w:t>
            </w:r>
          </w:p>
        </w:tc>
        <w:tc>
          <w:tcPr>
            <w:tcW w:w="156"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1" w:type="dxa"/>
            <w:tcBorders/>
            <w:shd w:fill="CCEEFF" w:val="clear"/>
            <w:vAlign w:val="center"/>
          </w:tcPr>
          <w:p>
            <w:pPr>
              <w:pStyle w:val="TableContents"/>
              <w:bidi w:val="0"/>
              <w:spacing w:before="0" w:after="0"/>
              <w:jc w:val="left"/>
              <w:rPr>
                <w:spacing w:val="0"/>
              </w:rPr>
            </w:pPr>
            <w:r>
              <w:rPr>
                <w:spacing w:val="0"/>
              </w:rPr>
              <w:t> </w:t>
            </w:r>
          </w:p>
        </w:tc>
        <w:tc>
          <w:tcPr>
            <w:tcW w:w="1109" w:type="dxa"/>
            <w:tcBorders/>
            <w:shd w:fill="CCEEFF" w:val="clear"/>
            <w:vAlign w:val="center"/>
          </w:tcPr>
          <w:p>
            <w:pPr>
              <w:pStyle w:val="TableContents"/>
              <w:bidi w:val="0"/>
              <w:spacing w:before="0" w:after="0"/>
              <w:jc w:val="right"/>
              <w:rPr>
                <w:spacing w:val="0"/>
              </w:rPr>
            </w:pPr>
            <w:r>
              <w:rPr>
                <w:spacing w:val="0"/>
              </w:rPr>
              <w:t>(54,862</w:t>
            </w:r>
          </w:p>
        </w:tc>
        <w:tc>
          <w:tcPr>
            <w:tcW w:w="175" w:type="dxa"/>
            <w:tcBorders/>
            <w:shd w:fill="CCEEFF" w:val="clear"/>
            <w:vAlign w:val="center"/>
          </w:tcPr>
          <w:p>
            <w:pPr>
              <w:pStyle w:val="TableContents"/>
              <w:bidi w:val="0"/>
              <w:spacing w:before="0" w:after="0"/>
              <w:jc w:val="left"/>
              <w:rPr>
                <w:spacing w:val="0"/>
              </w:rPr>
            </w:pPr>
            <w:r>
              <w:rPr>
                <w:spacing w:val="0"/>
              </w:rPr>
              <w:t>) </w:t>
            </w:r>
          </w:p>
        </w:tc>
      </w:tr>
      <w:tr>
        <w:trPr/>
        <w:tc>
          <w:tcPr>
            <w:tcW w:w="409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6" w:type="dxa"/>
            <w:tcBorders/>
            <w:vAlign w:val="center"/>
          </w:tcPr>
          <w:p>
            <w:pPr>
              <w:pStyle w:val="TableContents"/>
              <w:bidi w:val="0"/>
              <w:spacing w:before="0" w:after="0"/>
              <w:jc w:val="left"/>
              <w:rPr>
                <w:spacing w:val="0"/>
              </w:rPr>
            </w:pPr>
            <w:r>
              <w:rPr>
                <w:spacing w:val="0"/>
              </w:rPr>
              <w:t> </w:t>
            </w:r>
          </w:p>
        </w:tc>
        <w:tc>
          <w:tcPr>
            <w:tcW w:w="64" w:type="dxa"/>
            <w:tcBorders/>
            <w:vAlign w:val="center"/>
          </w:tcPr>
          <w:p>
            <w:pPr>
              <w:pStyle w:val="TableContents"/>
              <w:bidi w:val="0"/>
              <w:spacing w:before="0" w:after="0"/>
              <w:jc w:val="left"/>
              <w:rPr>
                <w:spacing w:val="0"/>
              </w:rPr>
            </w:pPr>
            <w:r>
              <w:rPr>
                <w:spacing w:val="0"/>
              </w:rPr>
              <w:t> </w:t>
            </w:r>
          </w:p>
        </w:tc>
        <w:tc>
          <w:tcPr>
            <w:tcW w:w="1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6"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5" w:type="dxa"/>
            <w:tcBorders/>
            <w:vAlign w:val="center"/>
          </w:tcPr>
          <w:p>
            <w:pPr>
              <w:pStyle w:val="TableContents"/>
              <w:bidi w:val="0"/>
              <w:spacing w:before="0" w:after="0"/>
              <w:jc w:val="left"/>
              <w:rPr>
                <w:spacing w:val="0"/>
              </w:rPr>
            </w:pPr>
            <w:r>
              <w:rPr>
                <w:spacing w:val="0"/>
              </w:rPr>
              <w:t> </w:t>
            </w:r>
          </w:p>
        </w:tc>
      </w:tr>
      <w:tr>
        <w:trPr/>
        <w:tc>
          <w:tcPr>
            <w:tcW w:w="4093"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income, net:</w:t>
            </w:r>
          </w:p>
        </w:tc>
        <w:tc>
          <w:tcPr>
            <w:tcW w:w="120" w:type="dxa"/>
            <w:tcBorders/>
            <w:vAlign w:val="center"/>
          </w:tcPr>
          <w:p>
            <w:pPr>
              <w:pStyle w:val="TableContents"/>
              <w:bidi w:val="0"/>
              <w:spacing w:before="0" w:after="0"/>
              <w:jc w:val="left"/>
              <w:rPr>
                <w:spacing w:val="0"/>
              </w:rPr>
            </w:pPr>
            <w:r>
              <w:rPr>
                <w:spacing w:val="0"/>
              </w:rPr>
              <w:t>  </w:t>
            </w:r>
          </w:p>
        </w:tc>
        <w:tc>
          <w:tcPr>
            <w:tcW w:w="149"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0"/>
              <w:jc w:val="left"/>
              <w:rPr>
                <w:spacing w:val="0"/>
              </w:rPr>
            </w:pPr>
            <w:r>
              <w:rPr>
                <w:spacing w:val="0"/>
              </w:rPr>
              <w:t> </w:t>
            </w:r>
          </w:p>
        </w:tc>
        <w:tc>
          <w:tcPr>
            <w:tcW w:w="149"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41"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41"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r>
      <w:tr>
        <w:trPr/>
        <w:tc>
          <w:tcPr>
            <w:tcW w:w="4093"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and other income</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9" w:type="dxa"/>
            <w:tcBorders/>
            <w:shd w:fill="CCEEFF" w:val="clear"/>
            <w:vAlign w:val="center"/>
          </w:tcPr>
          <w:p>
            <w:pPr>
              <w:pStyle w:val="TableContents"/>
              <w:bidi w:val="0"/>
              <w:spacing w:before="0" w:after="0"/>
              <w:jc w:val="left"/>
              <w:rPr>
                <w:spacing w:val="0"/>
              </w:rPr>
            </w:pPr>
            <w:r>
              <w:rPr>
                <w:spacing w:val="0"/>
              </w:rPr>
              <w:t> </w:t>
            </w:r>
          </w:p>
        </w:tc>
        <w:tc>
          <w:tcPr>
            <w:tcW w:w="1179" w:type="dxa"/>
            <w:tcBorders/>
            <w:shd w:fill="CCEEFF" w:val="clear"/>
            <w:vAlign w:val="center"/>
          </w:tcPr>
          <w:p>
            <w:pPr>
              <w:pStyle w:val="TableContents"/>
              <w:bidi w:val="0"/>
              <w:spacing w:before="0" w:after="0"/>
              <w:jc w:val="right"/>
              <w:rPr>
                <w:spacing w:val="0"/>
              </w:rPr>
            </w:pPr>
            <w:r>
              <w:rPr>
                <w:spacing w:val="0"/>
              </w:rPr>
              <w:t>276</w:t>
            </w:r>
          </w:p>
        </w:tc>
        <w:tc>
          <w:tcPr>
            <w:tcW w:w="166" w:type="dxa"/>
            <w:tcBorders/>
            <w:shd w:fill="CCEEFF" w:val="clear"/>
            <w:vAlign w:val="center"/>
          </w:tcPr>
          <w:p>
            <w:pPr>
              <w:pStyle w:val="TableContents"/>
              <w:bidi w:val="0"/>
              <w:spacing w:before="0" w:after="0"/>
              <w:jc w:val="left"/>
              <w:rPr>
                <w:spacing w:val="0"/>
              </w:rPr>
            </w:pPr>
            <w:r>
              <w:rPr>
                <w:spacing w:val="0"/>
              </w:rPr>
              <w:t> </w:t>
            </w:r>
          </w:p>
        </w:tc>
        <w:tc>
          <w:tcPr>
            <w:tcW w:w="64" w:type="dxa"/>
            <w:tcBorders/>
            <w:shd w:fill="CCEEFF" w:val="clear"/>
            <w:vAlign w:val="center"/>
          </w:tcPr>
          <w:p>
            <w:pPr>
              <w:pStyle w:val="TableContents"/>
              <w:bidi w:val="0"/>
              <w:spacing w:before="0" w:after="0"/>
              <w:jc w:val="left"/>
              <w:rPr>
                <w:spacing w:val="0"/>
              </w:rPr>
            </w:pPr>
            <w:r>
              <w:rPr>
                <w:spacing w:val="0"/>
              </w:rPr>
              <w:t> </w:t>
            </w:r>
          </w:p>
        </w:tc>
        <w:tc>
          <w:tcPr>
            <w:tcW w:w="149" w:type="dxa"/>
            <w:tcBorders/>
            <w:shd w:fill="CCEEFF" w:val="clear"/>
            <w:vAlign w:val="center"/>
          </w:tcPr>
          <w:p>
            <w:pPr>
              <w:pStyle w:val="TableContents"/>
              <w:bidi w:val="0"/>
              <w:spacing w:before="0" w:after="0"/>
              <w:jc w:val="left"/>
              <w:rPr>
                <w:spacing w:val="0"/>
              </w:rPr>
            </w:pPr>
            <w:r>
              <w:rPr>
                <w:spacing w:val="0"/>
              </w:rPr>
              <w:t> </w:t>
            </w:r>
          </w:p>
        </w:tc>
        <w:tc>
          <w:tcPr>
            <w:tcW w:w="1179" w:type="dxa"/>
            <w:tcBorders/>
            <w:shd w:fill="CCEEFF" w:val="clear"/>
            <w:vAlign w:val="center"/>
          </w:tcPr>
          <w:p>
            <w:pPr>
              <w:pStyle w:val="TableContents"/>
              <w:bidi w:val="0"/>
              <w:spacing w:before="0" w:after="0"/>
              <w:jc w:val="right"/>
              <w:rPr>
                <w:spacing w:val="0"/>
              </w:rPr>
            </w:pPr>
            <w:r>
              <w:rPr>
                <w:spacing w:val="0"/>
              </w:rPr>
              <w:t>1,363</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1" w:type="dxa"/>
            <w:tcBorders/>
            <w:shd w:fill="CCEEFF" w:val="clear"/>
            <w:vAlign w:val="center"/>
          </w:tcPr>
          <w:p>
            <w:pPr>
              <w:pStyle w:val="TableContents"/>
              <w:bidi w:val="0"/>
              <w:spacing w:before="0" w:after="0"/>
              <w:jc w:val="left"/>
              <w:rPr>
                <w:spacing w:val="0"/>
              </w:rPr>
            </w:pPr>
            <w:r>
              <w:rPr>
                <w:spacing w:val="0"/>
              </w:rPr>
              <w:t> </w:t>
            </w:r>
          </w:p>
        </w:tc>
        <w:tc>
          <w:tcPr>
            <w:tcW w:w="1109" w:type="dxa"/>
            <w:tcBorders/>
            <w:shd w:fill="CCEEFF" w:val="clear"/>
            <w:vAlign w:val="center"/>
          </w:tcPr>
          <w:p>
            <w:pPr>
              <w:pStyle w:val="TableContents"/>
              <w:bidi w:val="0"/>
              <w:spacing w:before="0" w:after="0"/>
              <w:jc w:val="right"/>
              <w:rPr>
                <w:spacing w:val="0"/>
              </w:rPr>
            </w:pPr>
            <w:r>
              <w:rPr>
                <w:spacing w:val="0"/>
              </w:rPr>
              <w:t>923</w:t>
            </w:r>
          </w:p>
        </w:tc>
        <w:tc>
          <w:tcPr>
            <w:tcW w:w="156"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1" w:type="dxa"/>
            <w:tcBorders/>
            <w:shd w:fill="CCEEFF" w:val="clear"/>
            <w:vAlign w:val="center"/>
          </w:tcPr>
          <w:p>
            <w:pPr>
              <w:pStyle w:val="TableContents"/>
              <w:bidi w:val="0"/>
              <w:spacing w:before="0" w:after="0"/>
              <w:jc w:val="left"/>
              <w:rPr>
                <w:spacing w:val="0"/>
              </w:rPr>
            </w:pPr>
            <w:r>
              <w:rPr>
                <w:spacing w:val="0"/>
              </w:rPr>
              <w:t> </w:t>
            </w:r>
          </w:p>
        </w:tc>
        <w:tc>
          <w:tcPr>
            <w:tcW w:w="1109" w:type="dxa"/>
            <w:tcBorders/>
            <w:shd w:fill="CCEEFF" w:val="clear"/>
            <w:vAlign w:val="center"/>
          </w:tcPr>
          <w:p>
            <w:pPr>
              <w:pStyle w:val="TableContents"/>
              <w:bidi w:val="0"/>
              <w:spacing w:before="0" w:after="0"/>
              <w:jc w:val="right"/>
              <w:rPr>
                <w:spacing w:val="0"/>
              </w:rPr>
            </w:pPr>
            <w:r>
              <w:rPr>
                <w:spacing w:val="0"/>
              </w:rPr>
              <w:t>2,980</w:t>
            </w:r>
          </w:p>
        </w:tc>
        <w:tc>
          <w:tcPr>
            <w:tcW w:w="175" w:type="dxa"/>
            <w:tcBorders/>
            <w:shd w:fill="CCEEFF" w:val="clear"/>
            <w:vAlign w:val="center"/>
          </w:tcPr>
          <w:p>
            <w:pPr>
              <w:pStyle w:val="TableContents"/>
              <w:bidi w:val="0"/>
              <w:spacing w:before="0" w:after="0"/>
              <w:jc w:val="left"/>
              <w:rPr>
                <w:spacing w:val="0"/>
              </w:rPr>
            </w:pPr>
            <w:r>
              <w:rPr>
                <w:spacing w:val="0"/>
              </w:rPr>
              <w:t> </w:t>
            </w:r>
          </w:p>
        </w:tc>
      </w:tr>
      <w:tr>
        <w:trPr/>
        <w:tc>
          <w:tcPr>
            <w:tcW w:w="409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6" w:type="dxa"/>
            <w:tcBorders/>
            <w:vAlign w:val="center"/>
          </w:tcPr>
          <w:p>
            <w:pPr>
              <w:pStyle w:val="TableContents"/>
              <w:bidi w:val="0"/>
              <w:spacing w:before="0" w:after="0"/>
              <w:jc w:val="left"/>
              <w:rPr>
                <w:spacing w:val="0"/>
              </w:rPr>
            </w:pPr>
            <w:r>
              <w:rPr>
                <w:spacing w:val="0"/>
              </w:rPr>
              <w:t> </w:t>
            </w:r>
          </w:p>
        </w:tc>
        <w:tc>
          <w:tcPr>
            <w:tcW w:w="64" w:type="dxa"/>
            <w:tcBorders/>
            <w:vAlign w:val="center"/>
          </w:tcPr>
          <w:p>
            <w:pPr>
              <w:pStyle w:val="TableContents"/>
              <w:bidi w:val="0"/>
              <w:spacing w:before="0" w:after="0"/>
              <w:jc w:val="left"/>
              <w:rPr>
                <w:spacing w:val="0"/>
              </w:rPr>
            </w:pPr>
            <w:r>
              <w:rPr>
                <w:spacing w:val="0"/>
              </w:rPr>
              <w:t> </w:t>
            </w:r>
          </w:p>
        </w:tc>
        <w:tc>
          <w:tcPr>
            <w:tcW w:w="1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6"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5" w:type="dxa"/>
            <w:tcBorders/>
            <w:vAlign w:val="center"/>
          </w:tcPr>
          <w:p>
            <w:pPr>
              <w:pStyle w:val="TableContents"/>
              <w:bidi w:val="0"/>
              <w:spacing w:before="0" w:after="0"/>
              <w:jc w:val="left"/>
              <w:rPr>
                <w:spacing w:val="0"/>
              </w:rPr>
            </w:pPr>
            <w:r>
              <w:rPr>
                <w:spacing w:val="0"/>
              </w:rPr>
              <w:t> </w:t>
            </w:r>
          </w:p>
        </w:tc>
      </w:tr>
      <w:tr>
        <w:trPr/>
        <w:tc>
          <w:tcPr>
            <w:tcW w:w="4093"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other income</w:t>
            </w:r>
          </w:p>
        </w:tc>
        <w:tc>
          <w:tcPr>
            <w:tcW w:w="120" w:type="dxa"/>
            <w:tcBorders/>
            <w:vAlign w:val="center"/>
          </w:tcPr>
          <w:p>
            <w:pPr>
              <w:pStyle w:val="TableContents"/>
              <w:bidi w:val="0"/>
              <w:spacing w:before="0" w:after="0"/>
              <w:jc w:val="left"/>
              <w:rPr>
                <w:spacing w:val="0"/>
              </w:rPr>
            </w:pPr>
            <w:r>
              <w:rPr>
                <w:spacing w:val="0"/>
              </w:rPr>
              <w:t>  </w:t>
            </w:r>
          </w:p>
        </w:tc>
        <w:tc>
          <w:tcPr>
            <w:tcW w:w="149" w:type="dxa"/>
            <w:tcBorders/>
            <w:vAlign w:val="center"/>
          </w:tcPr>
          <w:p>
            <w:pPr>
              <w:pStyle w:val="TableContents"/>
              <w:bidi w:val="0"/>
              <w:spacing w:before="0" w:after="0"/>
              <w:jc w:val="left"/>
              <w:rPr>
                <w:spacing w:val="0"/>
              </w:rPr>
            </w:pPr>
            <w:r>
              <w:rPr>
                <w:spacing w:val="0"/>
              </w:rPr>
              <w:t> </w:t>
            </w:r>
          </w:p>
        </w:tc>
        <w:tc>
          <w:tcPr>
            <w:tcW w:w="1179" w:type="dxa"/>
            <w:tcBorders/>
            <w:vAlign w:val="center"/>
          </w:tcPr>
          <w:p>
            <w:pPr>
              <w:pStyle w:val="TableContents"/>
              <w:bidi w:val="0"/>
              <w:spacing w:before="0" w:after="0"/>
              <w:jc w:val="right"/>
              <w:rPr>
                <w:spacing w:val="0"/>
              </w:rPr>
            </w:pPr>
            <w:r>
              <w:rPr>
                <w:spacing w:val="0"/>
              </w:rPr>
              <w:t>276</w:t>
            </w:r>
          </w:p>
        </w:tc>
        <w:tc>
          <w:tcPr>
            <w:tcW w:w="166" w:type="dxa"/>
            <w:tcBorders/>
            <w:vAlign w:val="center"/>
          </w:tcPr>
          <w:p>
            <w:pPr>
              <w:pStyle w:val="TableContents"/>
              <w:bidi w:val="0"/>
              <w:spacing w:before="0" w:after="0"/>
              <w:jc w:val="left"/>
              <w:rPr>
                <w:spacing w:val="0"/>
              </w:rPr>
            </w:pPr>
            <w:r>
              <w:rPr>
                <w:spacing w:val="0"/>
              </w:rPr>
              <w:t> </w:t>
            </w:r>
          </w:p>
        </w:tc>
        <w:tc>
          <w:tcPr>
            <w:tcW w:w="64" w:type="dxa"/>
            <w:tcBorders/>
            <w:vAlign w:val="center"/>
          </w:tcPr>
          <w:p>
            <w:pPr>
              <w:pStyle w:val="TableContents"/>
              <w:bidi w:val="0"/>
              <w:spacing w:before="0" w:after="0"/>
              <w:jc w:val="left"/>
              <w:rPr>
                <w:spacing w:val="0"/>
              </w:rPr>
            </w:pPr>
            <w:r>
              <w:rPr>
                <w:spacing w:val="0"/>
              </w:rPr>
              <w:t> </w:t>
            </w:r>
          </w:p>
        </w:tc>
        <w:tc>
          <w:tcPr>
            <w:tcW w:w="149" w:type="dxa"/>
            <w:tcBorders/>
            <w:vAlign w:val="center"/>
          </w:tcPr>
          <w:p>
            <w:pPr>
              <w:pStyle w:val="TableContents"/>
              <w:bidi w:val="0"/>
              <w:spacing w:before="0" w:after="0"/>
              <w:jc w:val="left"/>
              <w:rPr>
                <w:spacing w:val="0"/>
              </w:rPr>
            </w:pPr>
            <w:r>
              <w:rPr>
                <w:spacing w:val="0"/>
              </w:rPr>
              <w:t> </w:t>
            </w:r>
          </w:p>
        </w:tc>
        <w:tc>
          <w:tcPr>
            <w:tcW w:w="1179" w:type="dxa"/>
            <w:tcBorders/>
            <w:vAlign w:val="center"/>
          </w:tcPr>
          <w:p>
            <w:pPr>
              <w:pStyle w:val="TableContents"/>
              <w:bidi w:val="0"/>
              <w:spacing w:before="0" w:after="0"/>
              <w:jc w:val="right"/>
              <w:rPr>
                <w:spacing w:val="0"/>
              </w:rPr>
            </w:pPr>
            <w:r>
              <w:rPr>
                <w:spacing w:val="0"/>
              </w:rPr>
              <w:t>1,363</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1" w:type="dxa"/>
            <w:tcBorders/>
            <w:vAlign w:val="center"/>
          </w:tcPr>
          <w:p>
            <w:pPr>
              <w:pStyle w:val="TableContents"/>
              <w:bidi w:val="0"/>
              <w:spacing w:before="0" w:after="0"/>
              <w:jc w:val="left"/>
              <w:rPr>
                <w:spacing w:val="0"/>
              </w:rPr>
            </w:pPr>
            <w:r>
              <w:rPr>
                <w:spacing w:val="0"/>
              </w:rPr>
              <w:t> </w:t>
            </w:r>
          </w:p>
        </w:tc>
        <w:tc>
          <w:tcPr>
            <w:tcW w:w="1109" w:type="dxa"/>
            <w:tcBorders/>
            <w:vAlign w:val="center"/>
          </w:tcPr>
          <w:p>
            <w:pPr>
              <w:pStyle w:val="TableContents"/>
              <w:bidi w:val="0"/>
              <w:spacing w:before="0" w:after="0"/>
              <w:jc w:val="right"/>
              <w:rPr>
                <w:spacing w:val="0"/>
              </w:rPr>
            </w:pPr>
            <w:r>
              <w:rPr>
                <w:spacing w:val="0"/>
              </w:rPr>
              <w:t>923</w:t>
            </w:r>
          </w:p>
        </w:tc>
        <w:tc>
          <w:tcPr>
            <w:tcW w:w="156"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1" w:type="dxa"/>
            <w:tcBorders/>
            <w:vAlign w:val="center"/>
          </w:tcPr>
          <w:p>
            <w:pPr>
              <w:pStyle w:val="TableContents"/>
              <w:bidi w:val="0"/>
              <w:spacing w:before="0" w:after="0"/>
              <w:jc w:val="left"/>
              <w:rPr>
                <w:spacing w:val="0"/>
              </w:rPr>
            </w:pPr>
            <w:r>
              <w:rPr>
                <w:spacing w:val="0"/>
              </w:rPr>
              <w:t> </w:t>
            </w:r>
          </w:p>
        </w:tc>
        <w:tc>
          <w:tcPr>
            <w:tcW w:w="1109" w:type="dxa"/>
            <w:tcBorders/>
            <w:vAlign w:val="center"/>
          </w:tcPr>
          <w:p>
            <w:pPr>
              <w:pStyle w:val="TableContents"/>
              <w:bidi w:val="0"/>
              <w:spacing w:before="0" w:after="0"/>
              <w:jc w:val="right"/>
              <w:rPr>
                <w:spacing w:val="0"/>
              </w:rPr>
            </w:pPr>
            <w:r>
              <w:rPr>
                <w:spacing w:val="0"/>
              </w:rPr>
              <w:t>2,980</w:t>
            </w:r>
          </w:p>
        </w:tc>
        <w:tc>
          <w:tcPr>
            <w:tcW w:w="175" w:type="dxa"/>
            <w:tcBorders/>
            <w:vAlign w:val="center"/>
          </w:tcPr>
          <w:p>
            <w:pPr>
              <w:pStyle w:val="TableContents"/>
              <w:bidi w:val="0"/>
              <w:spacing w:before="0" w:after="0"/>
              <w:jc w:val="left"/>
              <w:rPr>
                <w:spacing w:val="0"/>
              </w:rPr>
            </w:pPr>
            <w:r>
              <w:rPr>
                <w:spacing w:val="0"/>
              </w:rPr>
              <w:t> </w:t>
            </w:r>
          </w:p>
        </w:tc>
      </w:tr>
      <w:tr>
        <w:trPr/>
        <w:tc>
          <w:tcPr>
            <w:tcW w:w="409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6" w:type="dxa"/>
            <w:tcBorders/>
            <w:vAlign w:val="center"/>
          </w:tcPr>
          <w:p>
            <w:pPr>
              <w:pStyle w:val="TableContents"/>
              <w:bidi w:val="0"/>
              <w:spacing w:before="0" w:after="0"/>
              <w:jc w:val="left"/>
              <w:rPr>
                <w:spacing w:val="0"/>
              </w:rPr>
            </w:pPr>
            <w:r>
              <w:rPr>
                <w:spacing w:val="0"/>
              </w:rPr>
              <w:t> </w:t>
            </w:r>
          </w:p>
        </w:tc>
        <w:tc>
          <w:tcPr>
            <w:tcW w:w="64" w:type="dxa"/>
            <w:tcBorders/>
            <w:vAlign w:val="center"/>
          </w:tcPr>
          <w:p>
            <w:pPr>
              <w:pStyle w:val="TableContents"/>
              <w:bidi w:val="0"/>
              <w:spacing w:before="0" w:after="0"/>
              <w:jc w:val="left"/>
              <w:rPr>
                <w:spacing w:val="0"/>
              </w:rPr>
            </w:pPr>
            <w:r>
              <w:rPr>
                <w:spacing w:val="0"/>
              </w:rPr>
              <w:t> </w:t>
            </w:r>
          </w:p>
        </w:tc>
        <w:tc>
          <w:tcPr>
            <w:tcW w:w="1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6"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5" w:type="dxa"/>
            <w:tcBorders/>
            <w:vAlign w:val="center"/>
          </w:tcPr>
          <w:p>
            <w:pPr>
              <w:pStyle w:val="TableContents"/>
              <w:bidi w:val="0"/>
              <w:spacing w:before="0" w:after="0"/>
              <w:jc w:val="left"/>
              <w:rPr>
                <w:spacing w:val="0"/>
              </w:rPr>
            </w:pPr>
            <w:r>
              <w:rPr>
                <w:spacing w:val="0"/>
              </w:rPr>
              <w:t> </w:t>
            </w:r>
          </w:p>
        </w:tc>
      </w:tr>
      <w:tr>
        <w:trPr/>
        <w:tc>
          <w:tcPr>
            <w:tcW w:w="4093"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Loss before income tax expense</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9" w:type="dxa"/>
            <w:tcBorders/>
            <w:shd w:fill="CCEEFF" w:val="clear"/>
            <w:vAlign w:val="center"/>
          </w:tcPr>
          <w:p>
            <w:pPr>
              <w:pStyle w:val="TableContents"/>
              <w:bidi w:val="0"/>
              <w:spacing w:before="0" w:after="0"/>
              <w:jc w:val="left"/>
              <w:rPr>
                <w:spacing w:val="0"/>
              </w:rPr>
            </w:pPr>
            <w:r>
              <w:rPr>
                <w:spacing w:val="0"/>
              </w:rPr>
              <w:t> </w:t>
            </w:r>
          </w:p>
        </w:tc>
        <w:tc>
          <w:tcPr>
            <w:tcW w:w="1179" w:type="dxa"/>
            <w:tcBorders/>
            <w:shd w:fill="CCEEFF" w:val="clear"/>
            <w:vAlign w:val="center"/>
          </w:tcPr>
          <w:p>
            <w:pPr>
              <w:pStyle w:val="TableContents"/>
              <w:bidi w:val="0"/>
              <w:spacing w:before="0" w:after="0"/>
              <w:jc w:val="right"/>
              <w:rPr>
                <w:spacing w:val="0"/>
              </w:rPr>
            </w:pPr>
            <w:r>
              <w:rPr>
                <w:spacing w:val="0"/>
              </w:rPr>
              <w:t>(25,864</w:t>
            </w:r>
          </w:p>
        </w:tc>
        <w:tc>
          <w:tcPr>
            <w:tcW w:w="166" w:type="dxa"/>
            <w:tcBorders/>
            <w:shd w:fill="CCEEFF" w:val="clear"/>
            <w:vAlign w:val="center"/>
          </w:tcPr>
          <w:p>
            <w:pPr>
              <w:pStyle w:val="TableContents"/>
              <w:bidi w:val="0"/>
              <w:spacing w:before="0" w:after="0"/>
              <w:jc w:val="left"/>
              <w:rPr>
                <w:spacing w:val="0"/>
              </w:rPr>
            </w:pPr>
            <w:r>
              <w:rPr>
                <w:spacing w:val="0"/>
              </w:rPr>
              <w:t>) </w:t>
            </w:r>
          </w:p>
        </w:tc>
        <w:tc>
          <w:tcPr>
            <w:tcW w:w="64" w:type="dxa"/>
            <w:tcBorders/>
            <w:shd w:fill="CCEEFF" w:val="clear"/>
            <w:vAlign w:val="center"/>
          </w:tcPr>
          <w:p>
            <w:pPr>
              <w:pStyle w:val="TableContents"/>
              <w:bidi w:val="0"/>
              <w:spacing w:before="0" w:after="0"/>
              <w:jc w:val="left"/>
              <w:rPr>
                <w:spacing w:val="0"/>
              </w:rPr>
            </w:pPr>
            <w:r>
              <w:rPr>
                <w:spacing w:val="0"/>
              </w:rPr>
              <w:t> </w:t>
            </w:r>
          </w:p>
        </w:tc>
        <w:tc>
          <w:tcPr>
            <w:tcW w:w="149" w:type="dxa"/>
            <w:tcBorders/>
            <w:shd w:fill="CCEEFF" w:val="clear"/>
            <w:vAlign w:val="center"/>
          </w:tcPr>
          <w:p>
            <w:pPr>
              <w:pStyle w:val="TableContents"/>
              <w:bidi w:val="0"/>
              <w:spacing w:before="0" w:after="0"/>
              <w:jc w:val="left"/>
              <w:rPr>
                <w:spacing w:val="0"/>
              </w:rPr>
            </w:pPr>
            <w:r>
              <w:rPr>
                <w:spacing w:val="0"/>
              </w:rPr>
              <w:t> </w:t>
            </w:r>
          </w:p>
        </w:tc>
        <w:tc>
          <w:tcPr>
            <w:tcW w:w="1179" w:type="dxa"/>
            <w:tcBorders/>
            <w:shd w:fill="CCEEFF" w:val="clear"/>
            <w:vAlign w:val="center"/>
          </w:tcPr>
          <w:p>
            <w:pPr>
              <w:pStyle w:val="TableContents"/>
              <w:bidi w:val="0"/>
              <w:spacing w:before="0" w:after="0"/>
              <w:jc w:val="right"/>
              <w:rPr>
                <w:spacing w:val="0"/>
              </w:rPr>
            </w:pPr>
            <w:r>
              <w:rPr>
                <w:spacing w:val="0"/>
              </w:rPr>
              <w:t>(26,896</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1" w:type="dxa"/>
            <w:tcBorders/>
            <w:shd w:fill="CCEEFF" w:val="clear"/>
            <w:vAlign w:val="center"/>
          </w:tcPr>
          <w:p>
            <w:pPr>
              <w:pStyle w:val="TableContents"/>
              <w:bidi w:val="0"/>
              <w:spacing w:before="0" w:after="0"/>
              <w:jc w:val="left"/>
              <w:rPr>
                <w:spacing w:val="0"/>
              </w:rPr>
            </w:pPr>
            <w:r>
              <w:rPr>
                <w:spacing w:val="0"/>
              </w:rPr>
              <w:t> </w:t>
            </w:r>
          </w:p>
        </w:tc>
        <w:tc>
          <w:tcPr>
            <w:tcW w:w="1109" w:type="dxa"/>
            <w:tcBorders/>
            <w:shd w:fill="CCEEFF" w:val="clear"/>
            <w:vAlign w:val="center"/>
          </w:tcPr>
          <w:p>
            <w:pPr>
              <w:pStyle w:val="TableContents"/>
              <w:bidi w:val="0"/>
              <w:spacing w:before="0" w:after="0"/>
              <w:jc w:val="right"/>
              <w:rPr>
                <w:spacing w:val="0"/>
              </w:rPr>
            </w:pPr>
            <w:r>
              <w:rPr>
                <w:spacing w:val="0"/>
              </w:rPr>
              <w:t>(45,497</w:t>
            </w:r>
          </w:p>
        </w:tc>
        <w:tc>
          <w:tcPr>
            <w:tcW w:w="156"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1" w:type="dxa"/>
            <w:tcBorders/>
            <w:shd w:fill="CCEEFF" w:val="clear"/>
            <w:vAlign w:val="center"/>
          </w:tcPr>
          <w:p>
            <w:pPr>
              <w:pStyle w:val="TableContents"/>
              <w:bidi w:val="0"/>
              <w:spacing w:before="0" w:after="0"/>
              <w:jc w:val="left"/>
              <w:rPr>
                <w:spacing w:val="0"/>
              </w:rPr>
            </w:pPr>
            <w:r>
              <w:rPr>
                <w:spacing w:val="0"/>
              </w:rPr>
              <w:t> </w:t>
            </w:r>
          </w:p>
        </w:tc>
        <w:tc>
          <w:tcPr>
            <w:tcW w:w="1109" w:type="dxa"/>
            <w:tcBorders/>
            <w:shd w:fill="CCEEFF" w:val="clear"/>
            <w:vAlign w:val="center"/>
          </w:tcPr>
          <w:p>
            <w:pPr>
              <w:pStyle w:val="TableContents"/>
              <w:bidi w:val="0"/>
              <w:spacing w:before="0" w:after="0"/>
              <w:jc w:val="right"/>
              <w:rPr>
                <w:spacing w:val="0"/>
              </w:rPr>
            </w:pPr>
            <w:r>
              <w:rPr>
                <w:spacing w:val="0"/>
              </w:rPr>
              <w:t>(51,882</w:t>
            </w:r>
          </w:p>
        </w:tc>
        <w:tc>
          <w:tcPr>
            <w:tcW w:w="175" w:type="dxa"/>
            <w:tcBorders/>
            <w:shd w:fill="CCEEFF" w:val="clear"/>
            <w:vAlign w:val="center"/>
          </w:tcPr>
          <w:p>
            <w:pPr>
              <w:pStyle w:val="TableContents"/>
              <w:bidi w:val="0"/>
              <w:spacing w:before="0" w:after="0"/>
              <w:jc w:val="left"/>
              <w:rPr>
                <w:spacing w:val="0"/>
              </w:rPr>
            </w:pPr>
            <w:r>
              <w:rPr>
                <w:spacing w:val="0"/>
              </w:rPr>
              <w:t>) </w:t>
            </w:r>
          </w:p>
        </w:tc>
      </w:tr>
      <w:tr>
        <w:trPr/>
        <w:tc>
          <w:tcPr>
            <w:tcW w:w="409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6" w:type="dxa"/>
            <w:tcBorders/>
            <w:vAlign w:val="center"/>
          </w:tcPr>
          <w:p>
            <w:pPr>
              <w:pStyle w:val="TableContents"/>
              <w:bidi w:val="0"/>
              <w:spacing w:before="0" w:after="0"/>
              <w:jc w:val="left"/>
              <w:rPr>
                <w:spacing w:val="0"/>
              </w:rPr>
            </w:pPr>
            <w:r>
              <w:rPr>
                <w:spacing w:val="0"/>
              </w:rPr>
              <w:t> </w:t>
            </w:r>
          </w:p>
        </w:tc>
        <w:tc>
          <w:tcPr>
            <w:tcW w:w="64" w:type="dxa"/>
            <w:tcBorders/>
            <w:vAlign w:val="center"/>
          </w:tcPr>
          <w:p>
            <w:pPr>
              <w:pStyle w:val="TableContents"/>
              <w:bidi w:val="0"/>
              <w:spacing w:before="0" w:after="0"/>
              <w:jc w:val="left"/>
              <w:rPr>
                <w:spacing w:val="0"/>
              </w:rPr>
            </w:pPr>
            <w:r>
              <w:rPr>
                <w:spacing w:val="0"/>
              </w:rPr>
              <w:t> </w:t>
            </w:r>
          </w:p>
        </w:tc>
        <w:tc>
          <w:tcPr>
            <w:tcW w:w="1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6"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5" w:type="dxa"/>
            <w:tcBorders/>
            <w:vAlign w:val="center"/>
          </w:tcPr>
          <w:p>
            <w:pPr>
              <w:pStyle w:val="TableContents"/>
              <w:bidi w:val="0"/>
              <w:spacing w:before="0" w:after="0"/>
              <w:jc w:val="left"/>
              <w:rPr>
                <w:spacing w:val="0"/>
              </w:rPr>
            </w:pPr>
            <w:r>
              <w:rPr>
                <w:spacing w:val="0"/>
              </w:rPr>
              <w:t> </w:t>
            </w:r>
          </w:p>
        </w:tc>
      </w:tr>
      <w:tr>
        <w:trPr/>
        <w:tc>
          <w:tcPr>
            <w:tcW w:w="4093"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Income tax benefit (expense)</w:t>
            </w:r>
          </w:p>
        </w:tc>
        <w:tc>
          <w:tcPr>
            <w:tcW w:w="120" w:type="dxa"/>
            <w:tcBorders/>
            <w:vAlign w:val="center"/>
          </w:tcPr>
          <w:p>
            <w:pPr>
              <w:pStyle w:val="TableContents"/>
              <w:bidi w:val="0"/>
              <w:spacing w:before="0" w:after="0"/>
              <w:jc w:val="left"/>
              <w:rPr>
                <w:spacing w:val="0"/>
              </w:rPr>
            </w:pPr>
            <w:r>
              <w:rPr>
                <w:spacing w:val="0"/>
              </w:rPr>
              <w:t>  </w:t>
            </w:r>
          </w:p>
        </w:tc>
        <w:tc>
          <w:tcPr>
            <w:tcW w:w="149" w:type="dxa"/>
            <w:tcBorders/>
            <w:vAlign w:val="center"/>
          </w:tcPr>
          <w:p>
            <w:pPr>
              <w:pStyle w:val="TableContents"/>
              <w:bidi w:val="0"/>
              <w:spacing w:before="0" w:after="0"/>
              <w:jc w:val="left"/>
              <w:rPr>
                <w:spacing w:val="0"/>
              </w:rPr>
            </w:pPr>
            <w:r>
              <w:rPr>
                <w:spacing w:val="0"/>
              </w:rPr>
              <w:t> </w:t>
            </w:r>
          </w:p>
        </w:tc>
        <w:tc>
          <w:tcPr>
            <w:tcW w:w="1179" w:type="dxa"/>
            <w:tcBorders/>
            <w:vAlign w:val="center"/>
          </w:tcPr>
          <w:p>
            <w:pPr>
              <w:pStyle w:val="TableContents"/>
              <w:bidi w:val="0"/>
              <w:spacing w:before="0" w:after="0"/>
              <w:jc w:val="right"/>
              <w:rPr>
                <w:spacing w:val="0"/>
              </w:rPr>
            </w:pPr>
            <w:r>
              <w:rPr>
                <w:spacing w:val="0"/>
              </w:rPr>
              <w:t>— </w:t>
            </w:r>
          </w:p>
        </w:tc>
        <w:tc>
          <w:tcPr>
            <w:tcW w:w="166" w:type="dxa"/>
            <w:tcBorders/>
            <w:vAlign w:val="center"/>
          </w:tcPr>
          <w:p>
            <w:pPr>
              <w:pStyle w:val="TableContents"/>
              <w:bidi w:val="0"/>
              <w:spacing w:before="0" w:after="0"/>
              <w:jc w:val="left"/>
              <w:rPr>
                <w:spacing w:val="0"/>
              </w:rPr>
            </w:pPr>
            <w:r>
              <w:rPr>
                <w:spacing w:val="0"/>
              </w:rPr>
              <w:t> </w:t>
            </w:r>
          </w:p>
        </w:tc>
        <w:tc>
          <w:tcPr>
            <w:tcW w:w="64" w:type="dxa"/>
            <w:tcBorders/>
            <w:vAlign w:val="center"/>
          </w:tcPr>
          <w:p>
            <w:pPr>
              <w:pStyle w:val="TableContents"/>
              <w:bidi w:val="0"/>
              <w:spacing w:before="0" w:after="0"/>
              <w:jc w:val="left"/>
              <w:rPr>
                <w:spacing w:val="0"/>
              </w:rPr>
            </w:pPr>
            <w:r>
              <w:rPr>
                <w:spacing w:val="0"/>
              </w:rPr>
              <w:t> </w:t>
            </w:r>
          </w:p>
        </w:tc>
        <w:tc>
          <w:tcPr>
            <w:tcW w:w="149" w:type="dxa"/>
            <w:tcBorders/>
            <w:vAlign w:val="center"/>
          </w:tcPr>
          <w:p>
            <w:pPr>
              <w:pStyle w:val="TableContents"/>
              <w:bidi w:val="0"/>
              <w:spacing w:before="0" w:after="0"/>
              <w:jc w:val="left"/>
              <w:rPr>
                <w:spacing w:val="0"/>
              </w:rPr>
            </w:pPr>
            <w:r>
              <w:rPr>
                <w:spacing w:val="0"/>
              </w:rPr>
              <w:t> </w:t>
            </w:r>
          </w:p>
        </w:tc>
        <w:tc>
          <w:tcPr>
            <w:tcW w:w="1179"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1" w:type="dxa"/>
            <w:tcBorders/>
            <w:vAlign w:val="center"/>
          </w:tcPr>
          <w:p>
            <w:pPr>
              <w:pStyle w:val="TableContents"/>
              <w:bidi w:val="0"/>
              <w:spacing w:before="0" w:after="0"/>
              <w:jc w:val="left"/>
              <w:rPr>
                <w:spacing w:val="0"/>
              </w:rPr>
            </w:pPr>
            <w:r>
              <w:rPr>
                <w:spacing w:val="0"/>
              </w:rPr>
              <w:t> </w:t>
            </w:r>
          </w:p>
        </w:tc>
        <w:tc>
          <w:tcPr>
            <w:tcW w:w="1109" w:type="dxa"/>
            <w:tcBorders/>
            <w:vAlign w:val="center"/>
          </w:tcPr>
          <w:p>
            <w:pPr>
              <w:pStyle w:val="TableContents"/>
              <w:bidi w:val="0"/>
              <w:spacing w:before="0" w:after="0"/>
              <w:jc w:val="right"/>
              <w:rPr>
                <w:spacing w:val="0"/>
              </w:rPr>
            </w:pPr>
            <w:r>
              <w:rPr>
                <w:spacing w:val="0"/>
              </w:rPr>
              <w:t>— </w:t>
            </w:r>
          </w:p>
        </w:tc>
        <w:tc>
          <w:tcPr>
            <w:tcW w:w="156"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1" w:type="dxa"/>
            <w:tcBorders/>
            <w:vAlign w:val="center"/>
          </w:tcPr>
          <w:p>
            <w:pPr>
              <w:pStyle w:val="TableContents"/>
              <w:bidi w:val="0"/>
              <w:spacing w:before="0" w:after="0"/>
              <w:jc w:val="left"/>
              <w:rPr>
                <w:spacing w:val="0"/>
              </w:rPr>
            </w:pPr>
            <w:r>
              <w:rPr>
                <w:spacing w:val="0"/>
              </w:rPr>
              <w:t> </w:t>
            </w:r>
          </w:p>
        </w:tc>
        <w:tc>
          <w:tcPr>
            <w:tcW w:w="1109" w:type="dxa"/>
            <w:tcBorders/>
            <w:vAlign w:val="center"/>
          </w:tcPr>
          <w:p>
            <w:pPr>
              <w:pStyle w:val="TableContents"/>
              <w:bidi w:val="0"/>
              <w:spacing w:before="0" w:after="0"/>
              <w:jc w:val="right"/>
              <w:rPr>
                <w:spacing w:val="0"/>
              </w:rPr>
            </w:pPr>
            <w:r>
              <w:rPr>
                <w:spacing w:val="0"/>
              </w:rPr>
              <w:t>— </w:t>
            </w:r>
          </w:p>
        </w:tc>
        <w:tc>
          <w:tcPr>
            <w:tcW w:w="175" w:type="dxa"/>
            <w:tcBorders/>
            <w:vAlign w:val="center"/>
          </w:tcPr>
          <w:p>
            <w:pPr>
              <w:pStyle w:val="TableContents"/>
              <w:bidi w:val="0"/>
              <w:spacing w:before="0" w:after="0"/>
              <w:jc w:val="left"/>
              <w:rPr>
                <w:spacing w:val="0"/>
              </w:rPr>
            </w:pPr>
            <w:r>
              <w:rPr>
                <w:spacing w:val="0"/>
              </w:rPr>
              <w:t> </w:t>
            </w:r>
          </w:p>
        </w:tc>
      </w:tr>
      <w:tr>
        <w:trPr/>
        <w:tc>
          <w:tcPr>
            <w:tcW w:w="409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6" w:type="dxa"/>
            <w:tcBorders/>
            <w:vAlign w:val="center"/>
          </w:tcPr>
          <w:p>
            <w:pPr>
              <w:pStyle w:val="TableContents"/>
              <w:bidi w:val="0"/>
              <w:spacing w:before="0" w:after="0"/>
              <w:jc w:val="left"/>
              <w:rPr>
                <w:spacing w:val="0"/>
              </w:rPr>
            </w:pPr>
            <w:r>
              <w:rPr>
                <w:spacing w:val="0"/>
              </w:rPr>
              <w:t> </w:t>
            </w:r>
          </w:p>
        </w:tc>
        <w:tc>
          <w:tcPr>
            <w:tcW w:w="64" w:type="dxa"/>
            <w:tcBorders/>
            <w:vAlign w:val="center"/>
          </w:tcPr>
          <w:p>
            <w:pPr>
              <w:pStyle w:val="TableContents"/>
              <w:bidi w:val="0"/>
              <w:spacing w:before="0" w:after="0"/>
              <w:jc w:val="left"/>
              <w:rPr>
                <w:spacing w:val="0"/>
              </w:rPr>
            </w:pPr>
            <w:r>
              <w:rPr>
                <w:spacing w:val="0"/>
              </w:rPr>
              <w:t> </w:t>
            </w:r>
          </w:p>
        </w:tc>
        <w:tc>
          <w:tcPr>
            <w:tcW w:w="1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6"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5" w:type="dxa"/>
            <w:tcBorders/>
            <w:vAlign w:val="center"/>
          </w:tcPr>
          <w:p>
            <w:pPr>
              <w:pStyle w:val="TableContents"/>
              <w:bidi w:val="0"/>
              <w:spacing w:before="0" w:after="0"/>
              <w:jc w:val="left"/>
              <w:rPr>
                <w:spacing w:val="0"/>
              </w:rPr>
            </w:pPr>
            <w:r>
              <w:rPr>
                <w:spacing w:val="0"/>
              </w:rPr>
              <w:t> </w:t>
            </w:r>
          </w:p>
        </w:tc>
      </w:tr>
      <w:tr>
        <w:trPr/>
        <w:tc>
          <w:tcPr>
            <w:tcW w:w="4093"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9" w:type="dxa"/>
            <w:tcBorders/>
            <w:shd w:fill="CCEEFF" w:val="clear"/>
            <w:vAlign w:val="center"/>
          </w:tcPr>
          <w:p>
            <w:pPr>
              <w:pStyle w:val="TableContents"/>
              <w:bidi w:val="0"/>
              <w:spacing w:before="0" w:after="0"/>
              <w:jc w:val="left"/>
              <w:rPr>
                <w:spacing w:val="0"/>
              </w:rPr>
            </w:pPr>
            <w:r>
              <w:rPr>
                <w:spacing w:val="0"/>
              </w:rPr>
              <w:t>$</w:t>
            </w:r>
          </w:p>
        </w:tc>
        <w:tc>
          <w:tcPr>
            <w:tcW w:w="1179" w:type="dxa"/>
            <w:tcBorders/>
            <w:shd w:fill="CCEEFF" w:val="clear"/>
            <w:vAlign w:val="center"/>
          </w:tcPr>
          <w:p>
            <w:pPr>
              <w:pStyle w:val="TableContents"/>
              <w:bidi w:val="0"/>
              <w:spacing w:before="0" w:after="0"/>
              <w:jc w:val="right"/>
              <w:rPr>
                <w:spacing w:val="0"/>
              </w:rPr>
            </w:pPr>
            <w:r>
              <w:rPr>
                <w:spacing w:val="0"/>
              </w:rPr>
              <w:t>(25,864</w:t>
            </w:r>
          </w:p>
        </w:tc>
        <w:tc>
          <w:tcPr>
            <w:tcW w:w="166" w:type="dxa"/>
            <w:tcBorders/>
            <w:shd w:fill="CCEEFF" w:val="clear"/>
            <w:vAlign w:val="center"/>
          </w:tcPr>
          <w:p>
            <w:pPr>
              <w:pStyle w:val="TableContents"/>
              <w:bidi w:val="0"/>
              <w:spacing w:before="0" w:after="0"/>
              <w:jc w:val="left"/>
              <w:rPr>
                <w:spacing w:val="0"/>
              </w:rPr>
            </w:pPr>
            <w:r>
              <w:rPr>
                <w:spacing w:val="0"/>
              </w:rPr>
              <w:t>) </w:t>
            </w:r>
          </w:p>
        </w:tc>
        <w:tc>
          <w:tcPr>
            <w:tcW w:w="64" w:type="dxa"/>
            <w:tcBorders/>
            <w:shd w:fill="CCEEFF" w:val="clear"/>
            <w:vAlign w:val="center"/>
          </w:tcPr>
          <w:p>
            <w:pPr>
              <w:pStyle w:val="TableContents"/>
              <w:bidi w:val="0"/>
              <w:spacing w:before="0" w:after="0"/>
              <w:jc w:val="left"/>
              <w:rPr>
                <w:spacing w:val="0"/>
              </w:rPr>
            </w:pPr>
            <w:r>
              <w:rPr>
                <w:spacing w:val="0"/>
              </w:rPr>
              <w:t> </w:t>
            </w:r>
          </w:p>
        </w:tc>
        <w:tc>
          <w:tcPr>
            <w:tcW w:w="149" w:type="dxa"/>
            <w:tcBorders/>
            <w:shd w:fill="CCEEFF" w:val="clear"/>
            <w:vAlign w:val="center"/>
          </w:tcPr>
          <w:p>
            <w:pPr>
              <w:pStyle w:val="TableContents"/>
              <w:bidi w:val="0"/>
              <w:spacing w:before="0" w:after="0"/>
              <w:jc w:val="left"/>
              <w:rPr>
                <w:spacing w:val="0"/>
              </w:rPr>
            </w:pPr>
            <w:r>
              <w:rPr>
                <w:spacing w:val="0"/>
              </w:rPr>
              <w:t>$</w:t>
            </w:r>
          </w:p>
        </w:tc>
        <w:tc>
          <w:tcPr>
            <w:tcW w:w="1179" w:type="dxa"/>
            <w:tcBorders/>
            <w:shd w:fill="CCEEFF" w:val="clear"/>
            <w:vAlign w:val="center"/>
          </w:tcPr>
          <w:p>
            <w:pPr>
              <w:pStyle w:val="TableContents"/>
              <w:bidi w:val="0"/>
              <w:spacing w:before="0" w:after="0"/>
              <w:jc w:val="right"/>
              <w:rPr>
                <w:spacing w:val="0"/>
              </w:rPr>
            </w:pPr>
            <w:r>
              <w:rPr>
                <w:spacing w:val="0"/>
              </w:rPr>
              <w:t>(26,896</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1" w:type="dxa"/>
            <w:tcBorders/>
            <w:shd w:fill="CCEEFF" w:val="clear"/>
            <w:vAlign w:val="center"/>
          </w:tcPr>
          <w:p>
            <w:pPr>
              <w:pStyle w:val="TableContents"/>
              <w:bidi w:val="0"/>
              <w:spacing w:before="0" w:after="0"/>
              <w:jc w:val="left"/>
              <w:rPr>
                <w:spacing w:val="0"/>
              </w:rPr>
            </w:pPr>
            <w:r>
              <w:rPr>
                <w:spacing w:val="0"/>
              </w:rPr>
              <w:t>$</w:t>
            </w:r>
          </w:p>
        </w:tc>
        <w:tc>
          <w:tcPr>
            <w:tcW w:w="1109" w:type="dxa"/>
            <w:tcBorders/>
            <w:shd w:fill="CCEEFF" w:val="clear"/>
            <w:vAlign w:val="center"/>
          </w:tcPr>
          <w:p>
            <w:pPr>
              <w:pStyle w:val="TableContents"/>
              <w:bidi w:val="0"/>
              <w:spacing w:before="0" w:after="0"/>
              <w:jc w:val="right"/>
              <w:rPr>
                <w:spacing w:val="0"/>
              </w:rPr>
            </w:pPr>
            <w:r>
              <w:rPr>
                <w:spacing w:val="0"/>
              </w:rPr>
              <w:t>(45,497</w:t>
            </w:r>
          </w:p>
        </w:tc>
        <w:tc>
          <w:tcPr>
            <w:tcW w:w="156"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1" w:type="dxa"/>
            <w:tcBorders/>
            <w:shd w:fill="CCEEFF" w:val="clear"/>
            <w:vAlign w:val="center"/>
          </w:tcPr>
          <w:p>
            <w:pPr>
              <w:pStyle w:val="TableContents"/>
              <w:bidi w:val="0"/>
              <w:spacing w:before="0" w:after="0"/>
              <w:jc w:val="left"/>
              <w:rPr>
                <w:spacing w:val="0"/>
              </w:rPr>
            </w:pPr>
            <w:r>
              <w:rPr>
                <w:spacing w:val="0"/>
              </w:rPr>
              <w:t>$</w:t>
            </w:r>
          </w:p>
        </w:tc>
        <w:tc>
          <w:tcPr>
            <w:tcW w:w="1109" w:type="dxa"/>
            <w:tcBorders/>
            <w:shd w:fill="CCEEFF" w:val="clear"/>
            <w:vAlign w:val="center"/>
          </w:tcPr>
          <w:p>
            <w:pPr>
              <w:pStyle w:val="TableContents"/>
              <w:bidi w:val="0"/>
              <w:spacing w:before="0" w:after="0"/>
              <w:jc w:val="right"/>
              <w:rPr>
                <w:spacing w:val="0"/>
              </w:rPr>
            </w:pPr>
            <w:r>
              <w:rPr>
                <w:spacing w:val="0"/>
              </w:rPr>
              <w:t>(51,882</w:t>
            </w:r>
          </w:p>
        </w:tc>
        <w:tc>
          <w:tcPr>
            <w:tcW w:w="175" w:type="dxa"/>
            <w:tcBorders/>
            <w:shd w:fill="CCEEFF" w:val="clear"/>
            <w:vAlign w:val="center"/>
          </w:tcPr>
          <w:p>
            <w:pPr>
              <w:pStyle w:val="TableContents"/>
              <w:bidi w:val="0"/>
              <w:spacing w:before="0" w:after="0"/>
              <w:jc w:val="left"/>
              <w:rPr>
                <w:spacing w:val="0"/>
              </w:rPr>
            </w:pPr>
            <w:r>
              <w:rPr>
                <w:spacing w:val="0"/>
              </w:rPr>
              <w:t>) </w:t>
            </w:r>
          </w:p>
        </w:tc>
      </w:tr>
      <w:tr>
        <w:trPr/>
        <w:tc>
          <w:tcPr>
            <w:tcW w:w="409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4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6" w:type="dxa"/>
            <w:tcBorders/>
            <w:vAlign w:val="center"/>
          </w:tcPr>
          <w:p>
            <w:pPr>
              <w:pStyle w:val="TableContents"/>
              <w:bidi w:val="0"/>
              <w:spacing w:before="0" w:after="0"/>
              <w:jc w:val="left"/>
              <w:rPr>
                <w:spacing w:val="0"/>
              </w:rPr>
            </w:pPr>
            <w:r>
              <w:rPr>
                <w:spacing w:val="0"/>
              </w:rPr>
              <w:t> </w:t>
            </w:r>
          </w:p>
        </w:tc>
        <w:tc>
          <w:tcPr>
            <w:tcW w:w="64" w:type="dxa"/>
            <w:tcBorders/>
            <w:vAlign w:val="center"/>
          </w:tcPr>
          <w:p>
            <w:pPr>
              <w:pStyle w:val="TableContents"/>
              <w:bidi w:val="0"/>
              <w:spacing w:before="0" w:after="0"/>
              <w:jc w:val="left"/>
              <w:rPr>
                <w:spacing w:val="0"/>
              </w:rPr>
            </w:pPr>
            <w:r>
              <w:rPr>
                <w:spacing w:val="0"/>
              </w:rPr>
              <w:t> </w:t>
            </w:r>
          </w:p>
        </w:tc>
        <w:tc>
          <w:tcPr>
            <w:tcW w:w="14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6"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5" w:type="dxa"/>
            <w:tcBorders/>
            <w:vAlign w:val="center"/>
          </w:tcPr>
          <w:p>
            <w:pPr>
              <w:pStyle w:val="TableContents"/>
              <w:bidi w:val="0"/>
              <w:spacing w:before="0" w:after="0"/>
              <w:jc w:val="left"/>
              <w:rPr>
                <w:spacing w:val="0"/>
              </w:rPr>
            </w:pPr>
            <w:r>
              <w:rPr>
                <w:spacing w:val="0"/>
              </w:rPr>
              <w:t> </w:t>
            </w:r>
          </w:p>
        </w:tc>
      </w:tr>
      <w:tr>
        <w:trPr/>
        <w:tc>
          <w:tcPr>
            <w:tcW w:w="4093"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comprehensive income (loss):</w:t>
            </w:r>
          </w:p>
        </w:tc>
        <w:tc>
          <w:tcPr>
            <w:tcW w:w="120" w:type="dxa"/>
            <w:tcBorders/>
            <w:vAlign w:val="center"/>
          </w:tcPr>
          <w:p>
            <w:pPr>
              <w:pStyle w:val="TableContents"/>
              <w:bidi w:val="0"/>
              <w:spacing w:before="0" w:after="0"/>
              <w:jc w:val="left"/>
              <w:rPr>
                <w:spacing w:val="0"/>
              </w:rPr>
            </w:pPr>
            <w:r>
              <w:rPr>
                <w:spacing w:val="0"/>
              </w:rPr>
              <w:t>  </w:t>
            </w:r>
          </w:p>
        </w:tc>
        <w:tc>
          <w:tcPr>
            <w:tcW w:w="149"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0"/>
              <w:jc w:val="left"/>
              <w:rPr>
                <w:spacing w:val="0"/>
              </w:rPr>
            </w:pPr>
            <w:r>
              <w:rPr>
                <w:spacing w:val="0"/>
              </w:rPr>
              <w:t> </w:t>
            </w:r>
          </w:p>
        </w:tc>
        <w:tc>
          <w:tcPr>
            <w:tcW w:w="149"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41"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41"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r>
      <w:tr>
        <w:trPr/>
        <w:tc>
          <w:tcPr>
            <w:tcW w:w="4093"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Unrealized gain (loss) on marketable securities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9" w:type="dxa"/>
            <w:tcBorders/>
            <w:shd w:fill="CCEEFF" w:val="clear"/>
            <w:vAlign w:val="center"/>
          </w:tcPr>
          <w:p>
            <w:pPr>
              <w:pStyle w:val="TableContents"/>
              <w:bidi w:val="0"/>
              <w:spacing w:before="0" w:after="0"/>
              <w:jc w:val="left"/>
              <w:rPr>
                <w:spacing w:val="0"/>
              </w:rPr>
            </w:pPr>
            <w:r>
              <w:rPr>
                <w:spacing w:val="0"/>
              </w:rPr>
              <w:t> </w:t>
            </w:r>
          </w:p>
        </w:tc>
        <w:tc>
          <w:tcPr>
            <w:tcW w:w="1179" w:type="dxa"/>
            <w:tcBorders/>
            <w:shd w:fill="CCEEFF" w:val="clear"/>
            <w:vAlign w:val="center"/>
          </w:tcPr>
          <w:p>
            <w:pPr>
              <w:pStyle w:val="TableContents"/>
              <w:bidi w:val="0"/>
              <w:spacing w:before="0" w:after="0"/>
              <w:jc w:val="right"/>
              <w:rPr>
                <w:spacing w:val="0"/>
              </w:rPr>
            </w:pPr>
            <w:r>
              <w:rPr>
                <w:spacing w:val="0"/>
              </w:rPr>
              <w:t>2</w:t>
            </w:r>
          </w:p>
        </w:tc>
        <w:tc>
          <w:tcPr>
            <w:tcW w:w="166" w:type="dxa"/>
            <w:tcBorders/>
            <w:shd w:fill="CCEEFF" w:val="clear"/>
            <w:vAlign w:val="center"/>
          </w:tcPr>
          <w:p>
            <w:pPr>
              <w:pStyle w:val="TableContents"/>
              <w:bidi w:val="0"/>
              <w:spacing w:before="0" w:after="0"/>
              <w:jc w:val="left"/>
              <w:rPr>
                <w:spacing w:val="0"/>
              </w:rPr>
            </w:pPr>
            <w:r>
              <w:rPr>
                <w:spacing w:val="0"/>
              </w:rPr>
              <w:t> </w:t>
            </w:r>
          </w:p>
        </w:tc>
        <w:tc>
          <w:tcPr>
            <w:tcW w:w="64" w:type="dxa"/>
            <w:tcBorders/>
            <w:shd w:fill="CCEEFF" w:val="clear"/>
            <w:vAlign w:val="center"/>
          </w:tcPr>
          <w:p>
            <w:pPr>
              <w:pStyle w:val="TableContents"/>
              <w:bidi w:val="0"/>
              <w:spacing w:before="0" w:after="0"/>
              <w:jc w:val="left"/>
              <w:rPr>
                <w:spacing w:val="0"/>
              </w:rPr>
            </w:pPr>
            <w:r>
              <w:rPr>
                <w:spacing w:val="0"/>
              </w:rPr>
              <w:t> </w:t>
            </w:r>
          </w:p>
        </w:tc>
        <w:tc>
          <w:tcPr>
            <w:tcW w:w="149" w:type="dxa"/>
            <w:tcBorders/>
            <w:shd w:fill="CCEEFF" w:val="clear"/>
            <w:vAlign w:val="center"/>
          </w:tcPr>
          <w:p>
            <w:pPr>
              <w:pStyle w:val="TableContents"/>
              <w:bidi w:val="0"/>
              <w:spacing w:before="0" w:after="0"/>
              <w:jc w:val="left"/>
              <w:rPr>
                <w:spacing w:val="0"/>
              </w:rPr>
            </w:pPr>
            <w:r>
              <w:rPr>
                <w:spacing w:val="0"/>
              </w:rPr>
              <w:t> </w:t>
            </w:r>
          </w:p>
        </w:tc>
        <w:tc>
          <w:tcPr>
            <w:tcW w:w="1179" w:type="dxa"/>
            <w:tcBorders/>
            <w:shd w:fill="CCEEFF" w:val="clear"/>
            <w:vAlign w:val="center"/>
          </w:tcPr>
          <w:p>
            <w:pPr>
              <w:pStyle w:val="TableContents"/>
              <w:bidi w:val="0"/>
              <w:spacing w:before="0" w:after="0"/>
              <w:jc w:val="right"/>
              <w:rPr>
                <w:spacing w:val="0"/>
              </w:rPr>
            </w:pPr>
            <w:r>
              <w:rPr>
                <w:spacing w:val="0"/>
              </w:rPr>
              <w:t>(11</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1" w:type="dxa"/>
            <w:tcBorders/>
            <w:shd w:fill="CCEEFF" w:val="clear"/>
            <w:vAlign w:val="center"/>
          </w:tcPr>
          <w:p>
            <w:pPr>
              <w:pStyle w:val="TableContents"/>
              <w:bidi w:val="0"/>
              <w:spacing w:before="0" w:after="0"/>
              <w:jc w:val="left"/>
              <w:rPr>
                <w:spacing w:val="0"/>
              </w:rPr>
            </w:pPr>
            <w:r>
              <w:rPr>
                <w:spacing w:val="0"/>
              </w:rPr>
              <w:t> </w:t>
            </w:r>
          </w:p>
        </w:tc>
        <w:tc>
          <w:tcPr>
            <w:tcW w:w="1109" w:type="dxa"/>
            <w:tcBorders/>
            <w:shd w:fill="CCEEFF" w:val="clear"/>
            <w:vAlign w:val="center"/>
          </w:tcPr>
          <w:p>
            <w:pPr>
              <w:pStyle w:val="TableContents"/>
              <w:bidi w:val="0"/>
              <w:spacing w:before="0" w:after="0"/>
              <w:jc w:val="right"/>
              <w:rPr>
                <w:spacing w:val="0"/>
              </w:rPr>
            </w:pPr>
            <w:r>
              <w:rPr>
                <w:spacing w:val="0"/>
              </w:rPr>
              <w:t>(26</w:t>
            </w:r>
          </w:p>
        </w:tc>
        <w:tc>
          <w:tcPr>
            <w:tcW w:w="156"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1" w:type="dxa"/>
            <w:tcBorders/>
            <w:shd w:fill="CCEEFF" w:val="clear"/>
            <w:vAlign w:val="center"/>
          </w:tcPr>
          <w:p>
            <w:pPr>
              <w:pStyle w:val="TableContents"/>
              <w:bidi w:val="0"/>
              <w:spacing w:before="0" w:after="0"/>
              <w:jc w:val="left"/>
              <w:rPr>
                <w:spacing w:val="0"/>
              </w:rPr>
            </w:pPr>
            <w:r>
              <w:rPr>
                <w:spacing w:val="0"/>
              </w:rPr>
              <w:t> </w:t>
            </w:r>
          </w:p>
        </w:tc>
        <w:tc>
          <w:tcPr>
            <w:tcW w:w="1109" w:type="dxa"/>
            <w:tcBorders/>
            <w:shd w:fill="CCEEFF" w:val="clear"/>
            <w:vAlign w:val="center"/>
          </w:tcPr>
          <w:p>
            <w:pPr>
              <w:pStyle w:val="TableContents"/>
              <w:bidi w:val="0"/>
              <w:spacing w:before="0" w:after="0"/>
              <w:jc w:val="right"/>
              <w:rPr>
                <w:spacing w:val="0"/>
              </w:rPr>
            </w:pPr>
            <w:r>
              <w:rPr>
                <w:spacing w:val="0"/>
              </w:rPr>
              <w:t>(11</w:t>
            </w:r>
          </w:p>
        </w:tc>
        <w:tc>
          <w:tcPr>
            <w:tcW w:w="175" w:type="dxa"/>
            <w:tcBorders/>
            <w:shd w:fill="CCEEFF" w:val="clear"/>
            <w:vAlign w:val="center"/>
          </w:tcPr>
          <w:p>
            <w:pPr>
              <w:pStyle w:val="TableContents"/>
              <w:bidi w:val="0"/>
              <w:spacing w:before="0" w:after="0"/>
              <w:jc w:val="left"/>
              <w:rPr>
                <w:spacing w:val="0"/>
              </w:rPr>
            </w:pPr>
            <w:r>
              <w:rPr>
                <w:spacing w:val="0"/>
              </w:rPr>
              <w:t>) </w:t>
            </w:r>
          </w:p>
        </w:tc>
      </w:tr>
      <w:tr>
        <w:trPr/>
        <w:tc>
          <w:tcPr>
            <w:tcW w:w="409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6" w:type="dxa"/>
            <w:tcBorders/>
            <w:vAlign w:val="center"/>
          </w:tcPr>
          <w:p>
            <w:pPr>
              <w:pStyle w:val="TableContents"/>
              <w:bidi w:val="0"/>
              <w:spacing w:before="0" w:after="0"/>
              <w:jc w:val="left"/>
              <w:rPr>
                <w:spacing w:val="0"/>
              </w:rPr>
            </w:pPr>
            <w:r>
              <w:rPr>
                <w:spacing w:val="0"/>
              </w:rPr>
              <w:t> </w:t>
            </w:r>
          </w:p>
        </w:tc>
        <w:tc>
          <w:tcPr>
            <w:tcW w:w="64" w:type="dxa"/>
            <w:tcBorders/>
            <w:vAlign w:val="center"/>
          </w:tcPr>
          <w:p>
            <w:pPr>
              <w:pStyle w:val="TableContents"/>
              <w:bidi w:val="0"/>
              <w:spacing w:before="0" w:after="0"/>
              <w:jc w:val="left"/>
              <w:rPr>
                <w:spacing w:val="0"/>
              </w:rPr>
            </w:pPr>
            <w:r>
              <w:rPr>
                <w:spacing w:val="0"/>
              </w:rPr>
              <w:t> </w:t>
            </w:r>
          </w:p>
        </w:tc>
        <w:tc>
          <w:tcPr>
            <w:tcW w:w="1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6"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5" w:type="dxa"/>
            <w:tcBorders/>
            <w:vAlign w:val="center"/>
          </w:tcPr>
          <w:p>
            <w:pPr>
              <w:pStyle w:val="TableContents"/>
              <w:bidi w:val="0"/>
              <w:spacing w:before="0" w:after="0"/>
              <w:jc w:val="left"/>
              <w:rPr>
                <w:spacing w:val="0"/>
              </w:rPr>
            </w:pPr>
            <w:r>
              <w:rPr>
                <w:spacing w:val="0"/>
              </w:rPr>
              <w:t> </w:t>
            </w:r>
          </w:p>
        </w:tc>
      </w:tr>
      <w:tr>
        <w:trPr/>
        <w:tc>
          <w:tcPr>
            <w:tcW w:w="4093"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other comprehensive income (loss)</w:t>
            </w:r>
          </w:p>
        </w:tc>
        <w:tc>
          <w:tcPr>
            <w:tcW w:w="120" w:type="dxa"/>
            <w:tcBorders/>
            <w:vAlign w:val="center"/>
          </w:tcPr>
          <w:p>
            <w:pPr>
              <w:pStyle w:val="TableContents"/>
              <w:bidi w:val="0"/>
              <w:spacing w:before="0" w:after="0"/>
              <w:jc w:val="left"/>
              <w:rPr>
                <w:spacing w:val="0"/>
              </w:rPr>
            </w:pPr>
            <w:r>
              <w:rPr>
                <w:spacing w:val="0"/>
              </w:rPr>
              <w:t>  </w:t>
            </w:r>
          </w:p>
        </w:tc>
        <w:tc>
          <w:tcPr>
            <w:tcW w:w="149" w:type="dxa"/>
            <w:tcBorders/>
            <w:vAlign w:val="center"/>
          </w:tcPr>
          <w:p>
            <w:pPr>
              <w:pStyle w:val="TableContents"/>
              <w:bidi w:val="0"/>
              <w:spacing w:before="0" w:after="0"/>
              <w:jc w:val="left"/>
              <w:rPr>
                <w:spacing w:val="0"/>
              </w:rPr>
            </w:pPr>
            <w:r>
              <w:rPr>
                <w:spacing w:val="0"/>
              </w:rPr>
              <w:t> </w:t>
            </w:r>
          </w:p>
        </w:tc>
        <w:tc>
          <w:tcPr>
            <w:tcW w:w="1179" w:type="dxa"/>
            <w:tcBorders/>
            <w:vAlign w:val="center"/>
          </w:tcPr>
          <w:p>
            <w:pPr>
              <w:pStyle w:val="TableContents"/>
              <w:bidi w:val="0"/>
              <w:spacing w:before="0" w:after="0"/>
              <w:jc w:val="right"/>
              <w:rPr>
                <w:spacing w:val="0"/>
              </w:rPr>
            </w:pPr>
            <w:r>
              <w:rPr>
                <w:spacing w:val="0"/>
              </w:rPr>
              <w:t>2</w:t>
            </w:r>
          </w:p>
        </w:tc>
        <w:tc>
          <w:tcPr>
            <w:tcW w:w="166" w:type="dxa"/>
            <w:tcBorders/>
            <w:vAlign w:val="center"/>
          </w:tcPr>
          <w:p>
            <w:pPr>
              <w:pStyle w:val="TableContents"/>
              <w:bidi w:val="0"/>
              <w:spacing w:before="0" w:after="0"/>
              <w:jc w:val="left"/>
              <w:rPr>
                <w:spacing w:val="0"/>
              </w:rPr>
            </w:pPr>
            <w:r>
              <w:rPr>
                <w:spacing w:val="0"/>
              </w:rPr>
              <w:t> </w:t>
            </w:r>
          </w:p>
        </w:tc>
        <w:tc>
          <w:tcPr>
            <w:tcW w:w="64" w:type="dxa"/>
            <w:tcBorders/>
            <w:vAlign w:val="center"/>
          </w:tcPr>
          <w:p>
            <w:pPr>
              <w:pStyle w:val="TableContents"/>
              <w:bidi w:val="0"/>
              <w:spacing w:before="0" w:after="0"/>
              <w:jc w:val="left"/>
              <w:rPr>
                <w:spacing w:val="0"/>
              </w:rPr>
            </w:pPr>
            <w:r>
              <w:rPr>
                <w:spacing w:val="0"/>
              </w:rPr>
              <w:t> </w:t>
            </w:r>
          </w:p>
        </w:tc>
        <w:tc>
          <w:tcPr>
            <w:tcW w:w="149" w:type="dxa"/>
            <w:tcBorders/>
            <w:vAlign w:val="center"/>
          </w:tcPr>
          <w:p>
            <w:pPr>
              <w:pStyle w:val="TableContents"/>
              <w:bidi w:val="0"/>
              <w:spacing w:before="0" w:after="0"/>
              <w:jc w:val="left"/>
              <w:rPr>
                <w:spacing w:val="0"/>
              </w:rPr>
            </w:pPr>
            <w:r>
              <w:rPr>
                <w:spacing w:val="0"/>
              </w:rPr>
              <w:t> </w:t>
            </w:r>
          </w:p>
        </w:tc>
        <w:tc>
          <w:tcPr>
            <w:tcW w:w="1179" w:type="dxa"/>
            <w:tcBorders/>
            <w:vAlign w:val="center"/>
          </w:tcPr>
          <w:p>
            <w:pPr>
              <w:pStyle w:val="TableContents"/>
              <w:bidi w:val="0"/>
              <w:spacing w:before="0" w:after="0"/>
              <w:jc w:val="right"/>
              <w:rPr>
                <w:spacing w:val="0"/>
              </w:rPr>
            </w:pPr>
            <w:r>
              <w:rPr>
                <w:spacing w:val="0"/>
              </w:rPr>
              <w:t>(11</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1" w:type="dxa"/>
            <w:tcBorders/>
            <w:vAlign w:val="center"/>
          </w:tcPr>
          <w:p>
            <w:pPr>
              <w:pStyle w:val="TableContents"/>
              <w:bidi w:val="0"/>
              <w:spacing w:before="0" w:after="0"/>
              <w:jc w:val="left"/>
              <w:rPr>
                <w:spacing w:val="0"/>
              </w:rPr>
            </w:pPr>
            <w:r>
              <w:rPr>
                <w:spacing w:val="0"/>
              </w:rPr>
              <w:t> </w:t>
            </w:r>
          </w:p>
        </w:tc>
        <w:tc>
          <w:tcPr>
            <w:tcW w:w="1109" w:type="dxa"/>
            <w:tcBorders/>
            <w:vAlign w:val="center"/>
          </w:tcPr>
          <w:p>
            <w:pPr>
              <w:pStyle w:val="TableContents"/>
              <w:bidi w:val="0"/>
              <w:spacing w:before="0" w:after="0"/>
              <w:jc w:val="right"/>
              <w:rPr>
                <w:spacing w:val="0"/>
              </w:rPr>
            </w:pPr>
            <w:r>
              <w:rPr>
                <w:spacing w:val="0"/>
              </w:rPr>
              <w:t>(26</w:t>
            </w:r>
          </w:p>
        </w:tc>
        <w:tc>
          <w:tcPr>
            <w:tcW w:w="156"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1" w:type="dxa"/>
            <w:tcBorders/>
            <w:vAlign w:val="center"/>
          </w:tcPr>
          <w:p>
            <w:pPr>
              <w:pStyle w:val="TableContents"/>
              <w:bidi w:val="0"/>
              <w:spacing w:before="0" w:after="0"/>
              <w:jc w:val="left"/>
              <w:rPr>
                <w:spacing w:val="0"/>
              </w:rPr>
            </w:pPr>
            <w:r>
              <w:rPr>
                <w:spacing w:val="0"/>
              </w:rPr>
              <w:t> </w:t>
            </w:r>
          </w:p>
        </w:tc>
        <w:tc>
          <w:tcPr>
            <w:tcW w:w="1109" w:type="dxa"/>
            <w:tcBorders/>
            <w:vAlign w:val="center"/>
          </w:tcPr>
          <w:p>
            <w:pPr>
              <w:pStyle w:val="TableContents"/>
              <w:bidi w:val="0"/>
              <w:spacing w:before="0" w:after="0"/>
              <w:jc w:val="right"/>
              <w:rPr>
                <w:spacing w:val="0"/>
              </w:rPr>
            </w:pPr>
            <w:r>
              <w:rPr>
                <w:spacing w:val="0"/>
              </w:rPr>
              <w:t>(11</w:t>
            </w:r>
          </w:p>
        </w:tc>
        <w:tc>
          <w:tcPr>
            <w:tcW w:w="175" w:type="dxa"/>
            <w:tcBorders/>
            <w:vAlign w:val="center"/>
          </w:tcPr>
          <w:p>
            <w:pPr>
              <w:pStyle w:val="TableContents"/>
              <w:bidi w:val="0"/>
              <w:spacing w:before="0" w:after="0"/>
              <w:jc w:val="left"/>
              <w:rPr>
                <w:spacing w:val="0"/>
              </w:rPr>
            </w:pPr>
            <w:r>
              <w:rPr>
                <w:spacing w:val="0"/>
              </w:rPr>
              <w:t>) </w:t>
            </w:r>
          </w:p>
        </w:tc>
      </w:tr>
      <w:tr>
        <w:trPr/>
        <w:tc>
          <w:tcPr>
            <w:tcW w:w="409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6" w:type="dxa"/>
            <w:tcBorders/>
            <w:vAlign w:val="center"/>
          </w:tcPr>
          <w:p>
            <w:pPr>
              <w:pStyle w:val="TableContents"/>
              <w:bidi w:val="0"/>
              <w:spacing w:before="0" w:after="0"/>
              <w:jc w:val="left"/>
              <w:rPr>
                <w:spacing w:val="0"/>
              </w:rPr>
            </w:pPr>
            <w:r>
              <w:rPr>
                <w:spacing w:val="0"/>
              </w:rPr>
              <w:t> </w:t>
            </w:r>
          </w:p>
        </w:tc>
        <w:tc>
          <w:tcPr>
            <w:tcW w:w="64" w:type="dxa"/>
            <w:tcBorders/>
            <w:vAlign w:val="center"/>
          </w:tcPr>
          <w:p>
            <w:pPr>
              <w:pStyle w:val="TableContents"/>
              <w:bidi w:val="0"/>
              <w:spacing w:before="0" w:after="0"/>
              <w:jc w:val="left"/>
              <w:rPr>
                <w:spacing w:val="0"/>
              </w:rPr>
            </w:pPr>
            <w:r>
              <w:rPr>
                <w:spacing w:val="0"/>
              </w:rPr>
              <w:t> </w:t>
            </w:r>
          </w:p>
        </w:tc>
        <w:tc>
          <w:tcPr>
            <w:tcW w:w="1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6"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5" w:type="dxa"/>
            <w:tcBorders/>
            <w:vAlign w:val="center"/>
          </w:tcPr>
          <w:p>
            <w:pPr>
              <w:pStyle w:val="TableContents"/>
              <w:bidi w:val="0"/>
              <w:spacing w:before="0" w:after="0"/>
              <w:jc w:val="left"/>
              <w:rPr>
                <w:spacing w:val="0"/>
              </w:rPr>
            </w:pPr>
            <w:r>
              <w:rPr>
                <w:spacing w:val="0"/>
              </w:rPr>
              <w:t> </w:t>
            </w:r>
          </w:p>
        </w:tc>
      </w:tr>
      <w:tr>
        <w:trPr/>
        <w:tc>
          <w:tcPr>
            <w:tcW w:w="4093"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comprehensive loss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9" w:type="dxa"/>
            <w:tcBorders/>
            <w:shd w:fill="CCEEFF" w:val="clear"/>
            <w:vAlign w:val="center"/>
          </w:tcPr>
          <w:p>
            <w:pPr>
              <w:pStyle w:val="TableContents"/>
              <w:bidi w:val="0"/>
              <w:spacing w:before="0" w:after="0"/>
              <w:jc w:val="left"/>
              <w:rPr>
                <w:spacing w:val="0"/>
              </w:rPr>
            </w:pPr>
            <w:r>
              <w:rPr>
                <w:spacing w:val="0"/>
              </w:rPr>
              <w:t>$</w:t>
            </w:r>
          </w:p>
        </w:tc>
        <w:tc>
          <w:tcPr>
            <w:tcW w:w="1179" w:type="dxa"/>
            <w:tcBorders/>
            <w:shd w:fill="CCEEFF" w:val="clear"/>
            <w:vAlign w:val="center"/>
          </w:tcPr>
          <w:p>
            <w:pPr>
              <w:pStyle w:val="TableContents"/>
              <w:bidi w:val="0"/>
              <w:spacing w:before="0" w:after="0"/>
              <w:jc w:val="right"/>
              <w:rPr>
                <w:spacing w:val="0"/>
              </w:rPr>
            </w:pPr>
            <w:r>
              <w:rPr>
                <w:spacing w:val="0"/>
              </w:rPr>
              <w:t>(25,862</w:t>
            </w:r>
          </w:p>
        </w:tc>
        <w:tc>
          <w:tcPr>
            <w:tcW w:w="166" w:type="dxa"/>
            <w:tcBorders/>
            <w:shd w:fill="CCEEFF" w:val="clear"/>
            <w:vAlign w:val="center"/>
          </w:tcPr>
          <w:p>
            <w:pPr>
              <w:pStyle w:val="TableContents"/>
              <w:bidi w:val="0"/>
              <w:spacing w:before="0" w:after="0"/>
              <w:jc w:val="left"/>
              <w:rPr>
                <w:spacing w:val="0"/>
              </w:rPr>
            </w:pPr>
            <w:r>
              <w:rPr>
                <w:spacing w:val="0"/>
              </w:rPr>
              <w:t>) </w:t>
            </w:r>
          </w:p>
        </w:tc>
        <w:tc>
          <w:tcPr>
            <w:tcW w:w="64" w:type="dxa"/>
            <w:tcBorders/>
            <w:shd w:fill="CCEEFF" w:val="clear"/>
            <w:vAlign w:val="center"/>
          </w:tcPr>
          <w:p>
            <w:pPr>
              <w:pStyle w:val="TableContents"/>
              <w:bidi w:val="0"/>
              <w:spacing w:before="0" w:after="0"/>
              <w:jc w:val="left"/>
              <w:rPr>
                <w:spacing w:val="0"/>
              </w:rPr>
            </w:pPr>
            <w:r>
              <w:rPr>
                <w:spacing w:val="0"/>
              </w:rPr>
              <w:t> </w:t>
            </w:r>
          </w:p>
        </w:tc>
        <w:tc>
          <w:tcPr>
            <w:tcW w:w="149" w:type="dxa"/>
            <w:tcBorders/>
            <w:shd w:fill="CCEEFF" w:val="clear"/>
            <w:vAlign w:val="center"/>
          </w:tcPr>
          <w:p>
            <w:pPr>
              <w:pStyle w:val="TableContents"/>
              <w:bidi w:val="0"/>
              <w:spacing w:before="0" w:after="0"/>
              <w:jc w:val="left"/>
              <w:rPr>
                <w:spacing w:val="0"/>
              </w:rPr>
            </w:pPr>
            <w:r>
              <w:rPr>
                <w:spacing w:val="0"/>
              </w:rPr>
              <w:t>$</w:t>
            </w:r>
          </w:p>
        </w:tc>
        <w:tc>
          <w:tcPr>
            <w:tcW w:w="1179" w:type="dxa"/>
            <w:tcBorders/>
            <w:shd w:fill="CCEEFF" w:val="clear"/>
            <w:vAlign w:val="center"/>
          </w:tcPr>
          <w:p>
            <w:pPr>
              <w:pStyle w:val="TableContents"/>
              <w:bidi w:val="0"/>
              <w:spacing w:before="0" w:after="0"/>
              <w:jc w:val="right"/>
              <w:rPr>
                <w:spacing w:val="0"/>
              </w:rPr>
            </w:pPr>
            <w:r>
              <w:rPr>
                <w:spacing w:val="0"/>
              </w:rPr>
              <w:t>(26,907</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1" w:type="dxa"/>
            <w:tcBorders/>
            <w:shd w:fill="CCEEFF" w:val="clear"/>
            <w:vAlign w:val="center"/>
          </w:tcPr>
          <w:p>
            <w:pPr>
              <w:pStyle w:val="TableContents"/>
              <w:bidi w:val="0"/>
              <w:spacing w:before="0" w:after="0"/>
              <w:jc w:val="left"/>
              <w:rPr>
                <w:spacing w:val="0"/>
              </w:rPr>
            </w:pPr>
            <w:r>
              <w:rPr>
                <w:spacing w:val="0"/>
              </w:rPr>
              <w:t>$</w:t>
            </w:r>
          </w:p>
        </w:tc>
        <w:tc>
          <w:tcPr>
            <w:tcW w:w="1109" w:type="dxa"/>
            <w:tcBorders/>
            <w:shd w:fill="CCEEFF" w:val="clear"/>
            <w:vAlign w:val="center"/>
          </w:tcPr>
          <w:p>
            <w:pPr>
              <w:pStyle w:val="TableContents"/>
              <w:bidi w:val="0"/>
              <w:spacing w:before="0" w:after="0"/>
              <w:jc w:val="right"/>
              <w:rPr>
                <w:spacing w:val="0"/>
              </w:rPr>
            </w:pPr>
            <w:r>
              <w:rPr>
                <w:spacing w:val="0"/>
              </w:rPr>
              <w:t>(45,523</w:t>
            </w:r>
          </w:p>
        </w:tc>
        <w:tc>
          <w:tcPr>
            <w:tcW w:w="156"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1" w:type="dxa"/>
            <w:tcBorders/>
            <w:shd w:fill="CCEEFF" w:val="clear"/>
            <w:vAlign w:val="center"/>
          </w:tcPr>
          <w:p>
            <w:pPr>
              <w:pStyle w:val="TableContents"/>
              <w:bidi w:val="0"/>
              <w:spacing w:before="0" w:after="0"/>
              <w:jc w:val="left"/>
              <w:rPr>
                <w:spacing w:val="0"/>
              </w:rPr>
            </w:pPr>
            <w:r>
              <w:rPr>
                <w:spacing w:val="0"/>
              </w:rPr>
              <w:t>$</w:t>
            </w:r>
          </w:p>
        </w:tc>
        <w:tc>
          <w:tcPr>
            <w:tcW w:w="1109" w:type="dxa"/>
            <w:tcBorders/>
            <w:shd w:fill="CCEEFF" w:val="clear"/>
            <w:vAlign w:val="center"/>
          </w:tcPr>
          <w:p>
            <w:pPr>
              <w:pStyle w:val="TableContents"/>
              <w:bidi w:val="0"/>
              <w:spacing w:before="0" w:after="0"/>
              <w:jc w:val="right"/>
              <w:rPr>
                <w:spacing w:val="0"/>
              </w:rPr>
            </w:pPr>
            <w:r>
              <w:rPr>
                <w:spacing w:val="0"/>
              </w:rPr>
              <w:t>(51,893</w:t>
            </w:r>
          </w:p>
        </w:tc>
        <w:tc>
          <w:tcPr>
            <w:tcW w:w="175" w:type="dxa"/>
            <w:tcBorders/>
            <w:shd w:fill="CCEEFF" w:val="clear"/>
            <w:vAlign w:val="center"/>
          </w:tcPr>
          <w:p>
            <w:pPr>
              <w:pStyle w:val="TableContents"/>
              <w:bidi w:val="0"/>
              <w:spacing w:before="0" w:after="0"/>
              <w:jc w:val="left"/>
              <w:rPr>
                <w:spacing w:val="0"/>
              </w:rPr>
            </w:pPr>
            <w:r>
              <w:rPr>
                <w:spacing w:val="0"/>
              </w:rPr>
              <w:t>) </w:t>
            </w:r>
          </w:p>
        </w:tc>
      </w:tr>
      <w:tr>
        <w:trPr/>
        <w:tc>
          <w:tcPr>
            <w:tcW w:w="409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4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6" w:type="dxa"/>
            <w:tcBorders/>
            <w:vAlign w:val="center"/>
          </w:tcPr>
          <w:p>
            <w:pPr>
              <w:pStyle w:val="TableContents"/>
              <w:bidi w:val="0"/>
              <w:spacing w:before="0" w:after="0"/>
              <w:jc w:val="left"/>
              <w:rPr>
                <w:spacing w:val="0"/>
              </w:rPr>
            </w:pPr>
            <w:r>
              <w:rPr>
                <w:spacing w:val="0"/>
              </w:rPr>
              <w:t> </w:t>
            </w:r>
          </w:p>
        </w:tc>
        <w:tc>
          <w:tcPr>
            <w:tcW w:w="64" w:type="dxa"/>
            <w:tcBorders/>
            <w:vAlign w:val="center"/>
          </w:tcPr>
          <w:p>
            <w:pPr>
              <w:pStyle w:val="TableContents"/>
              <w:bidi w:val="0"/>
              <w:spacing w:before="0" w:after="0"/>
              <w:jc w:val="left"/>
              <w:rPr>
                <w:spacing w:val="0"/>
              </w:rPr>
            </w:pPr>
            <w:r>
              <w:rPr>
                <w:spacing w:val="0"/>
              </w:rPr>
              <w:t> </w:t>
            </w:r>
          </w:p>
        </w:tc>
        <w:tc>
          <w:tcPr>
            <w:tcW w:w="14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6"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5" w:type="dxa"/>
            <w:tcBorders/>
            <w:vAlign w:val="center"/>
          </w:tcPr>
          <w:p>
            <w:pPr>
              <w:pStyle w:val="TableContents"/>
              <w:bidi w:val="0"/>
              <w:spacing w:before="0" w:after="0"/>
              <w:jc w:val="left"/>
              <w:rPr>
                <w:spacing w:val="0"/>
              </w:rPr>
            </w:pPr>
            <w:r>
              <w:rPr>
                <w:spacing w:val="0"/>
              </w:rPr>
              <w:t> </w:t>
            </w:r>
          </w:p>
        </w:tc>
      </w:tr>
      <w:tr>
        <w:trPr/>
        <w:tc>
          <w:tcPr>
            <w:tcW w:w="4093"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 per share attributable to common stockholders, basic and diluted</w:t>
            </w:r>
          </w:p>
        </w:tc>
        <w:tc>
          <w:tcPr>
            <w:tcW w:w="120" w:type="dxa"/>
            <w:tcBorders/>
            <w:vAlign w:val="center"/>
          </w:tcPr>
          <w:p>
            <w:pPr>
              <w:pStyle w:val="TableContents"/>
              <w:bidi w:val="0"/>
              <w:spacing w:before="0" w:after="0"/>
              <w:jc w:val="left"/>
              <w:rPr>
                <w:spacing w:val="0"/>
              </w:rPr>
            </w:pPr>
            <w:r>
              <w:rPr>
                <w:spacing w:val="0"/>
              </w:rPr>
              <w:t>  </w:t>
            </w:r>
          </w:p>
        </w:tc>
        <w:tc>
          <w:tcPr>
            <w:tcW w:w="149" w:type="dxa"/>
            <w:tcBorders/>
            <w:vAlign w:val="center"/>
          </w:tcPr>
          <w:p>
            <w:pPr>
              <w:pStyle w:val="TableContents"/>
              <w:bidi w:val="0"/>
              <w:spacing w:before="0" w:after="0"/>
              <w:jc w:val="left"/>
              <w:rPr>
                <w:spacing w:val="0"/>
              </w:rPr>
            </w:pPr>
            <w:r>
              <w:rPr>
                <w:spacing w:val="0"/>
              </w:rPr>
              <w:t>$</w:t>
            </w:r>
          </w:p>
        </w:tc>
        <w:tc>
          <w:tcPr>
            <w:tcW w:w="1179" w:type="dxa"/>
            <w:tcBorders/>
            <w:vAlign w:val="center"/>
          </w:tcPr>
          <w:p>
            <w:pPr>
              <w:pStyle w:val="TableContents"/>
              <w:bidi w:val="0"/>
              <w:spacing w:before="0" w:after="0"/>
              <w:jc w:val="right"/>
              <w:rPr>
                <w:spacing w:val="0"/>
              </w:rPr>
            </w:pPr>
            <w:r>
              <w:rPr>
                <w:spacing w:val="0"/>
              </w:rPr>
              <w:t>(1.19</w:t>
            </w:r>
          </w:p>
        </w:tc>
        <w:tc>
          <w:tcPr>
            <w:tcW w:w="166" w:type="dxa"/>
            <w:tcBorders/>
            <w:vAlign w:val="center"/>
          </w:tcPr>
          <w:p>
            <w:pPr>
              <w:pStyle w:val="TableContents"/>
              <w:bidi w:val="0"/>
              <w:spacing w:before="0" w:after="0"/>
              <w:jc w:val="left"/>
              <w:rPr>
                <w:spacing w:val="0"/>
              </w:rPr>
            </w:pPr>
            <w:r>
              <w:rPr>
                <w:spacing w:val="0"/>
              </w:rPr>
              <w:t>) </w:t>
            </w:r>
          </w:p>
        </w:tc>
        <w:tc>
          <w:tcPr>
            <w:tcW w:w="64" w:type="dxa"/>
            <w:tcBorders/>
            <w:vAlign w:val="center"/>
          </w:tcPr>
          <w:p>
            <w:pPr>
              <w:pStyle w:val="TableContents"/>
              <w:bidi w:val="0"/>
              <w:spacing w:before="0" w:after="0"/>
              <w:jc w:val="left"/>
              <w:rPr>
                <w:spacing w:val="0"/>
              </w:rPr>
            </w:pPr>
            <w:r>
              <w:rPr>
                <w:spacing w:val="0"/>
              </w:rPr>
              <w:t> </w:t>
            </w:r>
          </w:p>
        </w:tc>
        <w:tc>
          <w:tcPr>
            <w:tcW w:w="149" w:type="dxa"/>
            <w:tcBorders/>
            <w:vAlign w:val="center"/>
          </w:tcPr>
          <w:p>
            <w:pPr>
              <w:pStyle w:val="TableContents"/>
              <w:bidi w:val="0"/>
              <w:spacing w:before="0" w:after="0"/>
              <w:jc w:val="left"/>
              <w:rPr>
                <w:spacing w:val="0"/>
              </w:rPr>
            </w:pPr>
            <w:r>
              <w:rPr>
                <w:spacing w:val="0"/>
              </w:rPr>
              <w:t>$</w:t>
            </w:r>
          </w:p>
        </w:tc>
        <w:tc>
          <w:tcPr>
            <w:tcW w:w="1179" w:type="dxa"/>
            <w:tcBorders/>
            <w:vAlign w:val="center"/>
          </w:tcPr>
          <w:p>
            <w:pPr>
              <w:pStyle w:val="TableContents"/>
              <w:bidi w:val="0"/>
              <w:spacing w:before="0" w:after="0"/>
              <w:jc w:val="right"/>
              <w:rPr>
                <w:spacing w:val="0"/>
              </w:rPr>
            </w:pPr>
            <w:r>
              <w:rPr>
                <w:spacing w:val="0"/>
              </w:rPr>
              <w:t>(1.93</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1" w:type="dxa"/>
            <w:tcBorders/>
            <w:vAlign w:val="center"/>
          </w:tcPr>
          <w:p>
            <w:pPr>
              <w:pStyle w:val="TableContents"/>
              <w:bidi w:val="0"/>
              <w:spacing w:before="0" w:after="0"/>
              <w:jc w:val="left"/>
              <w:rPr>
                <w:spacing w:val="0"/>
              </w:rPr>
            </w:pPr>
            <w:r>
              <w:rPr>
                <w:spacing w:val="0"/>
              </w:rPr>
              <w:t>$</w:t>
            </w:r>
          </w:p>
        </w:tc>
        <w:tc>
          <w:tcPr>
            <w:tcW w:w="1109" w:type="dxa"/>
            <w:tcBorders/>
            <w:vAlign w:val="center"/>
          </w:tcPr>
          <w:p>
            <w:pPr>
              <w:pStyle w:val="TableContents"/>
              <w:bidi w:val="0"/>
              <w:spacing w:before="0" w:after="0"/>
              <w:jc w:val="right"/>
              <w:rPr>
                <w:spacing w:val="0"/>
              </w:rPr>
            </w:pPr>
            <w:r>
              <w:rPr>
                <w:spacing w:val="0"/>
              </w:rPr>
              <w:t>(2.30</w:t>
            </w:r>
          </w:p>
        </w:tc>
        <w:tc>
          <w:tcPr>
            <w:tcW w:w="156"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1" w:type="dxa"/>
            <w:tcBorders/>
            <w:vAlign w:val="center"/>
          </w:tcPr>
          <w:p>
            <w:pPr>
              <w:pStyle w:val="TableContents"/>
              <w:bidi w:val="0"/>
              <w:spacing w:before="0" w:after="0"/>
              <w:jc w:val="left"/>
              <w:rPr>
                <w:spacing w:val="0"/>
              </w:rPr>
            </w:pPr>
            <w:r>
              <w:rPr>
                <w:spacing w:val="0"/>
              </w:rPr>
              <w:t>$</w:t>
            </w:r>
          </w:p>
        </w:tc>
        <w:tc>
          <w:tcPr>
            <w:tcW w:w="1109" w:type="dxa"/>
            <w:tcBorders/>
            <w:vAlign w:val="center"/>
          </w:tcPr>
          <w:p>
            <w:pPr>
              <w:pStyle w:val="TableContents"/>
              <w:bidi w:val="0"/>
              <w:spacing w:before="0" w:after="0"/>
              <w:jc w:val="right"/>
              <w:rPr>
                <w:spacing w:val="0"/>
              </w:rPr>
            </w:pPr>
            <w:r>
              <w:rPr>
                <w:spacing w:val="0"/>
              </w:rPr>
              <w:t>(3.72</w:t>
            </w:r>
          </w:p>
        </w:tc>
        <w:tc>
          <w:tcPr>
            <w:tcW w:w="175" w:type="dxa"/>
            <w:tcBorders/>
            <w:vAlign w:val="center"/>
          </w:tcPr>
          <w:p>
            <w:pPr>
              <w:pStyle w:val="TableContents"/>
              <w:bidi w:val="0"/>
              <w:spacing w:before="0" w:after="0"/>
              <w:jc w:val="left"/>
              <w:rPr>
                <w:spacing w:val="0"/>
              </w:rPr>
            </w:pPr>
            <w:r>
              <w:rPr>
                <w:spacing w:val="0"/>
              </w:rPr>
              <w:t>) </w:t>
            </w:r>
          </w:p>
        </w:tc>
      </w:tr>
      <w:tr>
        <w:trPr/>
        <w:tc>
          <w:tcPr>
            <w:tcW w:w="409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4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6" w:type="dxa"/>
            <w:tcBorders/>
            <w:vAlign w:val="center"/>
          </w:tcPr>
          <w:p>
            <w:pPr>
              <w:pStyle w:val="TableContents"/>
              <w:bidi w:val="0"/>
              <w:spacing w:before="0" w:after="0"/>
              <w:jc w:val="left"/>
              <w:rPr>
                <w:spacing w:val="0"/>
              </w:rPr>
            </w:pPr>
            <w:r>
              <w:rPr>
                <w:spacing w:val="0"/>
              </w:rPr>
              <w:t> </w:t>
            </w:r>
          </w:p>
        </w:tc>
        <w:tc>
          <w:tcPr>
            <w:tcW w:w="64" w:type="dxa"/>
            <w:tcBorders/>
            <w:vAlign w:val="center"/>
          </w:tcPr>
          <w:p>
            <w:pPr>
              <w:pStyle w:val="TableContents"/>
              <w:bidi w:val="0"/>
              <w:spacing w:before="0" w:after="0"/>
              <w:jc w:val="left"/>
              <w:rPr>
                <w:spacing w:val="0"/>
              </w:rPr>
            </w:pPr>
            <w:r>
              <w:rPr>
                <w:spacing w:val="0"/>
              </w:rPr>
              <w:t> </w:t>
            </w:r>
          </w:p>
        </w:tc>
        <w:tc>
          <w:tcPr>
            <w:tcW w:w="14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6"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5" w:type="dxa"/>
            <w:tcBorders/>
            <w:vAlign w:val="center"/>
          </w:tcPr>
          <w:p>
            <w:pPr>
              <w:pStyle w:val="TableContents"/>
              <w:bidi w:val="0"/>
              <w:spacing w:before="0" w:after="0"/>
              <w:jc w:val="left"/>
              <w:rPr>
                <w:spacing w:val="0"/>
              </w:rPr>
            </w:pPr>
            <w:r>
              <w:rPr>
                <w:spacing w:val="0"/>
              </w:rPr>
              <w:t> </w:t>
            </w:r>
          </w:p>
        </w:tc>
      </w:tr>
      <w:tr>
        <w:trPr/>
        <w:tc>
          <w:tcPr>
            <w:tcW w:w="4093"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Weighted-average common shares outstanding, basic and diluted</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9" w:type="dxa"/>
            <w:tcBorders/>
            <w:shd w:fill="CCEEFF" w:val="clear"/>
            <w:vAlign w:val="center"/>
          </w:tcPr>
          <w:p>
            <w:pPr>
              <w:pStyle w:val="TableContents"/>
              <w:bidi w:val="0"/>
              <w:spacing w:before="0" w:after="0"/>
              <w:jc w:val="left"/>
              <w:rPr>
                <w:spacing w:val="0"/>
              </w:rPr>
            </w:pPr>
            <w:r>
              <w:rPr>
                <w:spacing w:val="0"/>
              </w:rPr>
              <w:t> </w:t>
            </w:r>
          </w:p>
        </w:tc>
        <w:tc>
          <w:tcPr>
            <w:tcW w:w="1179" w:type="dxa"/>
            <w:tcBorders/>
            <w:shd w:fill="CCEEFF" w:val="clear"/>
            <w:vAlign w:val="center"/>
          </w:tcPr>
          <w:p>
            <w:pPr>
              <w:pStyle w:val="TableContents"/>
              <w:bidi w:val="0"/>
              <w:spacing w:before="0" w:after="0"/>
              <w:jc w:val="right"/>
              <w:rPr>
                <w:spacing w:val="0"/>
              </w:rPr>
            </w:pPr>
            <w:r>
              <w:rPr>
                <w:spacing w:val="0"/>
              </w:rPr>
              <w:t>21,808,064</w:t>
            </w:r>
          </w:p>
        </w:tc>
        <w:tc>
          <w:tcPr>
            <w:tcW w:w="166" w:type="dxa"/>
            <w:tcBorders/>
            <w:shd w:fill="CCEEFF" w:val="clear"/>
            <w:vAlign w:val="center"/>
          </w:tcPr>
          <w:p>
            <w:pPr>
              <w:pStyle w:val="TableContents"/>
              <w:bidi w:val="0"/>
              <w:spacing w:before="0" w:after="0"/>
              <w:jc w:val="left"/>
              <w:rPr>
                <w:spacing w:val="0"/>
              </w:rPr>
            </w:pPr>
            <w:r>
              <w:rPr>
                <w:spacing w:val="0"/>
              </w:rPr>
              <w:t> </w:t>
            </w:r>
          </w:p>
        </w:tc>
        <w:tc>
          <w:tcPr>
            <w:tcW w:w="64" w:type="dxa"/>
            <w:tcBorders/>
            <w:shd w:fill="CCEEFF" w:val="clear"/>
            <w:vAlign w:val="center"/>
          </w:tcPr>
          <w:p>
            <w:pPr>
              <w:pStyle w:val="TableContents"/>
              <w:bidi w:val="0"/>
              <w:spacing w:before="0" w:after="0"/>
              <w:jc w:val="left"/>
              <w:rPr>
                <w:spacing w:val="0"/>
              </w:rPr>
            </w:pPr>
            <w:r>
              <w:rPr>
                <w:spacing w:val="0"/>
              </w:rPr>
              <w:t> </w:t>
            </w:r>
          </w:p>
        </w:tc>
        <w:tc>
          <w:tcPr>
            <w:tcW w:w="149" w:type="dxa"/>
            <w:tcBorders/>
            <w:shd w:fill="CCEEFF" w:val="clear"/>
            <w:vAlign w:val="center"/>
          </w:tcPr>
          <w:p>
            <w:pPr>
              <w:pStyle w:val="TableContents"/>
              <w:bidi w:val="0"/>
              <w:spacing w:before="0" w:after="0"/>
              <w:jc w:val="left"/>
              <w:rPr>
                <w:spacing w:val="0"/>
              </w:rPr>
            </w:pPr>
            <w:r>
              <w:rPr>
                <w:spacing w:val="0"/>
              </w:rPr>
              <w:t> </w:t>
            </w:r>
          </w:p>
        </w:tc>
        <w:tc>
          <w:tcPr>
            <w:tcW w:w="1179" w:type="dxa"/>
            <w:tcBorders/>
            <w:shd w:fill="CCEEFF" w:val="clear"/>
            <w:vAlign w:val="center"/>
          </w:tcPr>
          <w:p>
            <w:pPr>
              <w:pStyle w:val="TableContents"/>
              <w:bidi w:val="0"/>
              <w:spacing w:before="0" w:after="0"/>
              <w:jc w:val="right"/>
              <w:rPr>
                <w:spacing w:val="0"/>
              </w:rPr>
            </w:pPr>
            <w:r>
              <w:rPr>
                <w:spacing w:val="0"/>
              </w:rPr>
              <w:t>13,939,366</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1" w:type="dxa"/>
            <w:tcBorders/>
            <w:shd w:fill="CCEEFF" w:val="clear"/>
            <w:vAlign w:val="center"/>
          </w:tcPr>
          <w:p>
            <w:pPr>
              <w:pStyle w:val="TableContents"/>
              <w:bidi w:val="0"/>
              <w:spacing w:before="0" w:after="0"/>
              <w:jc w:val="left"/>
              <w:rPr>
                <w:spacing w:val="0"/>
              </w:rPr>
            </w:pPr>
            <w:r>
              <w:rPr>
                <w:spacing w:val="0"/>
              </w:rPr>
              <w:t> </w:t>
            </w:r>
          </w:p>
        </w:tc>
        <w:tc>
          <w:tcPr>
            <w:tcW w:w="1109" w:type="dxa"/>
            <w:tcBorders/>
            <w:shd w:fill="CCEEFF" w:val="clear"/>
            <w:vAlign w:val="center"/>
          </w:tcPr>
          <w:p>
            <w:pPr>
              <w:pStyle w:val="TableContents"/>
              <w:bidi w:val="0"/>
              <w:spacing w:before="0" w:after="0"/>
              <w:jc w:val="right"/>
              <w:rPr>
                <w:spacing w:val="0"/>
              </w:rPr>
            </w:pPr>
            <w:r>
              <w:rPr>
                <w:spacing w:val="0"/>
              </w:rPr>
              <w:t>19,751,933</w:t>
            </w:r>
          </w:p>
        </w:tc>
        <w:tc>
          <w:tcPr>
            <w:tcW w:w="156"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1" w:type="dxa"/>
            <w:tcBorders/>
            <w:shd w:fill="CCEEFF" w:val="clear"/>
            <w:vAlign w:val="center"/>
          </w:tcPr>
          <w:p>
            <w:pPr>
              <w:pStyle w:val="TableContents"/>
              <w:bidi w:val="0"/>
              <w:spacing w:before="0" w:after="0"/>
              <w:jc w:val="left"/>
              <w:rPr>
                <w:spacing w:val="0"/>
              </w:rPr>
            </w:pPr>
            <w:r>
              <w:rPr>
                <w:spacing w:val="0"/>
              </w:rPr>
              <w:t> </w:t>
            </w:r>
          </w:p>
        </w:tc>
        <w:tc>
          <w:tcPr>
            <w:tcW w:w="1109" w:type="dxa"/>
            <w:tcBorders/>
            <w:shd w:fill="CCEEFF" w:val="clear"/>
            <w:vAlign w:val="center"/>
          </w:tcPr>
          <w:p>
            <w:pPr>
              <w:pStyle w:val="TableContents"/>
              <w:bidi w:val="0"/>
              <w:spacing w:before="0" w:after="0"/>
              <w:jc w:val="right"/>
              <w:rPr>
                <w:spacing w:val="0"/>
              </w:rPr>
            </w:pPr>
            <w:r>
              <w:rPr>
                <w:spacing w:val="0"/>
              </w:rPr>
              <w:t>13,931,419</w:t>
            </w:r>
          </w:p>
        </w:tc>
        <w:tc>
          <w:tcPr>
            <w:tcW w:w="175" w:type="dxa"/>
            <w:tcBorders/>
            <w:shd w:fill="CCEEFF" w:val="clear"/>
            <w:vAlign w:val="center"/>
          </w:tcPr>
          <w:p>
            <w:pPr>
              <w:pStyle w:val="TableContents"/>
              <w:bidi w:val="0"/>
              <w:spacing w:before="0" w:after="0"/>
              <w:jc w:val="left"/>
              <w:rPr>
                <w:spacing w:val="0"/>
              </w:rPr>
            </w:pPr>
            <w:r>
              <w:rPr>
                <w:spacing w:val="0"/>
              </w:rPr>
              <w:t> </w:t>
            </w:r>
          </w:p>
        </w:tc>
      </w:tr>
      <w:tr>
        <w:trPr/>
        <w:tc>
          <w:tcPr>
            <w:tcW w:w="409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4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6" w:type="dxa"/>
            <w:tcBorders/>
            <w:vAlign w:val="center"/>
          </w:tcPr>
          <w:p>
            <w:pPr>
              <w:pStyle w:val="TableContents"/>
              <w:bidi w:val="0"/>
              <w:spacing w:before="0" w:after="0"/>
              <w:jc w:val="left"/>
              <w:rPr>
                <w:spacing w:val="0"/>
              </w:rPr>
            </w:pPr>
            <w:r>
              <w:rPr>
                <w:spacing w:val="0"/>
              </w:rPr>
              <w:t> </w:t>
            </w:r>
          </w:p>
        </w:tc>
        <w:tc>
          <w:tcPr>
            <w:tcW w:w="64" w:type="dxa"/>
            <w:tcBorders/>
            <w:vAlign w:val="center"/>
          </w:tcPr>
          <w:p>
            <w:pPr>
              <w:pStyle w:val="TableContents"/>
              <w:bidi w:val="0"/>
              <w:spacing w:before="0" w:after="0"/>
              <w:jc w:val="left"/>
              <w:rPr>
                <w:spacing w:val="0"/>
              </w:rPr>
            </w:pPr>
            <w:r>
              <w:rPr>
                <w:spacing w:val="0"/>
              </w:rPr>
              <w:t> </w:t>
            </w:r>
          </w:p>
        </w:tc>
        <w:tc>
          <w:tcPr>
            <w:tcW w:w="14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6"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5" w:type="dxa"/>
            <w:tcBorders/>
            <w:vAlign w:val="center"/>
          </w:tcPr>
          <w:p>
            <w:pPr>
              <w:pStyle w:val="TableContents"/>
              <w:bidi w:val="0"/>
              <w:spacing w:before="0" w:after="0"/>
              <w:jc w:val="left"/>
              <w:rPr>
                <w:spacing w:val="0"/>
              </w:rPr>
            </w:pPr>
            <w:r>
              <w:rPr>
                <w:spacing w:val="0"/>
              </w:rPr>
              <w:t> </w:t>
            </w:r>
          </w:p>
        </w:tc>
      </w:tr>
    </w:tbl>
    <w:p>
      <w:pPr>
        <w:pStyle w:val="TextBody"/>
        <w:bidi w:val="0"/>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unaudited condensed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OBSIDIAN THERAPEUTICS SUB, INC. (F/K/A OBSIDIAN THERAPEUTICS,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CONDENSED CONSOLIDATED STATEMENTS OF REDEEMABLE CONVERTIBLE PREFERRED STOCK AND STOCKHOLDERS’ DEFICIT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(AMOUNTS IN THOUSANDS, EXCEPT FOR SHARE DATA)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tbl>
      <w:tblPr>
        <w:tblW w:w="12285" w:type="dxa"/>
        <w:jc w:val="left"/>
        <w:tblInd w:w="0" w:type="dxa"/>
        <w:tblLayout w:type="fixed"/>
        <w:tblCellMar>
          <w:top w:w="0" w:type="dxa"/>
          <w:left w:w="0" w:type="dxa"/>
          <w:bottom w:w="0" w:type="dxa"/>
          <w:right w:w="0" w:type="dxa"/>
        </w:tblCellMar>
      </w:tblPr>
      <w:tblGrid>
        <w:gridCol w:w="1175"/>
        <w:gridCol w:w="60"/>
        <w:gridCol w:w="60"/>
        <w:gridCol w:w="1220"/>
        <w:gridCol w:w="155"/>
        <w:gridCol w:w="60"/>
        <w:gridCol w:w="140"/>
        <w:gridCol w:w="800"/>
        <w:gridCol w:w="155"/>
        <w:gridCol w:w="60"/>
        <w:gridCol w:w="60"/>
        <w:gridCol w:w="1100"/>
        <w:gridCol w:w="60"/>
        <w:gridCol w:w="60"/>
        <w:gridCol w:w="301"/>
        <w:gridCol w:w="559"/>
        <w:gridCol w:w="60"/>
        <w:gridCol w:w="60"/>
        <w:gridCol w:w="187"/>
        <w:gridCol w:w="913"/>
        <w:gridCol w:w="60"/>
        <w:gridCol w:w="60"/>
        <w:gridCol w:w="474"/>
        <w:gridCol w:w="1136"/>
        <w:gridCol w:w="155"/>
        <w:gridCol w:w="60"/>
        <w:gridCol w:w="188"/>
        <w:gridCol w:w="1182"/>
        <w:gridCol w:w="155"/>
        <w:gridCol w:w="60"/>
        <w:gridCol w:w="184"/>
        <w:gridCol w:w="1156"/>
        <w:gridCol w:w="170"/>
      </w:tblGrid>
      <w:tr>
        <w:trPr/>
        <w:tc>
          <w:tcPr>
            <w:tcW w:w="117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301" w:type="dxa"/>
            <w:tcBorders/>
            <w:vAlign w:val="center"/>
          </w:tcPr>
          <w:p>
            <w:pPr>
              <w:pStyle w:val="TableContents"/>
              <w:bidi w:val="0"/>
              <w:spacing w:before="0" w:after="0"/>
              <w:jc w:val="left"/>
              <w:rPr/>
            </w:pPr>
            <w:r>
              <w:rPr/>
              <w:t> </w:t>
            </w:r>
          </w:p>
        </w:tc>
        <w:tc>
          <w:tcPr>
            <w:tcW w:w="559"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87" w:type="dxa"/>
            <w:tcBorders/>
            <w:vAlign w:val="center"/>
          </w:tcPr>
          <w:p>
            <w:pPr>
              <w:pStyle w:val="TableContents"/>
              <w:bidi w:val="0"/>
              <w:spacing w:before="0" w:after="0"/>
              <w:jc w:val="left"/>
              <w:rPr/>
            </w:pPr>
            <w:r>
              <w:rPr/>
              <w:t> </w:t>
            </w:r>
          </w:p>
        </w:tc>
        <w:tc>
          <w:tcPr>
            <w:tcW w:w="913"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474"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88" w:type="dxa"/>
            <w:tcBorders/>
            <w:vAlign w:val="center"/>
          </w:tcPr>
          <w:p>
            <w:pPr>
              <w:pStyle w:val="TableContents"/>
              <w:bidi w:val="0"/>
              <w:spacing w:before="0" w:after="0"/>
              <w:jc w:val="left"/>
              <w:rPr/>
            </w:pPr>
            <w:r>
              <w:rPr/>
              <w:t> </w:t>
            </w:r>
          </w:p>
        </w:tc>
        <w:tc>
          <w:tcPr>
            <w:tcW w:w="1182"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115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r>
      <w:tr>
        <w:trPr/>
        <w:tc>
          <w:tcPr>
            <w:tcW w:w="117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435" w:type="dxa"/>
            <w:gridSpan w:val="6"/>
            <w:tcBorders/>
            <w:vAlign w:val="center"/>
          </w:tcPr>
          <w:p>
            <w:pPr>
              <w:pStyle w:val="TableContents"/>
              <w:bidi w:val="0"/>
              <w:spacing w:before="0" w:after="0"/>
              <w:jc w:val="center"/>
              <w:rPr>
                <w:b/>
                <w:spacing w:val="0"/>
              </w:rPr>
            </w:pPr>
            <w:r>
              <w:rPr>
                <w:b/>
                <w:spacing w:val="0"/>
              </w:rPr>
              <w:t>Redeemable Convertible</w:t>
              <w:br/>
              <w:t>Preferred Stock</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140" w:type="dxa"/>
            <w:gridSpan w:val="6"/>
            <w:tcBorders/>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0"/>
              <w:jc w:val="left"/>
              <w:rPr>
                <w:spacing w:val="0"/>
              </w:rPr>
            </w:pPr>
            <w:r>
              <w:rPr>
                <w:spacing w:val="0"/>
              </w:rPr>
              <w:t> </w:t>
            </w:r>
          </w:p>
        </w:tc>
        <w:tc>
          <w:tcPr>
            <w:tcW w:w="60" w:type="dxa"/>
            <w:vMerge w:val="restart"/>
            <w:tcBorders/>
            <w:vAlign w:val="center"/>
          </w:tcPr>
          <w:p>
            <w:pPr>
              <w:pStyle w:val="TableContents"/>
              <w:bidi w:val="0"/>
              <w:spacing w:before="0" w:after="0"/>
              <w:jc w:val="left"/>
              <w:rPr>
                <w:spacing w:val="0"/>
              </w:rPr>
            </w:pPr>
            <w:r>
              <w:rPr>
                <w:spacing w:val="0"/>
              </w:rPr>
              <w:t> </w:t>
            </w:r>
          </w:p>
        </w:tc>
        <w:tc>
          <w:tcPr>
            <w:tcW w:w="1100" w:type="dxa"/>
            <w:gridSpan w:val="2"/>
            <w:vMerge w:val="restart"/>
            <w:tcBorders/>
            <w:vAlign w:val="center"/>
          </w:tcPr>
          <w:p>
            <w:pPr>
              <w:pStyle w:val="TableContents"/>
              <w:bidi w:val="0"/>
              <w:spacing w:before="0" w:after="0"/>
              <w:jc w:val="center"/>
              <w:rPr>
                <w:b/>
                <w:spacing w:val="0"/>
              </w:rPr>
            </w:pPr>
            <w:r>
              <w:rPr>
                <w:b/>
                <w:spacing w:val="0"/>
              </w:rPr>
              <w:t>Additional</w:t>
              <w:br/>
              <w:t>Paid in</w:t>
            </w:r>
          </w:p>
          <w:p>
            <w:pPr>
              <w:pStyle w:val="TableContents"/>
              <w:bidi w:val="0"/>
              <w:spacing w:before="0" w:after="0"/>
              <w:jc w:val="center"/>
              <w:rPr/>
            </w:pPr>
            <w:r>
              <w:rPr/>
            </w:r>
          </w:p>
          <w:p>
            <w:pPr>
              <w:pStyle w:val="TableContents"/>
              <w:bidi w:val="0"/>
              <w:spacing w:before="0" w:after="0"/>
              <w:jc w:val="center"/>
              <w:rPr>
                <w:b/>
                <w:spacing w:val="0"/>
              </w:rPr>
            </w:pPr>
            <w:r>
              <w:rPr>
                <w:b/>
                <w:spacing w:val="0"/>
              </w:rPr>
              <w:t>Capital</w:t>
            </w:r>
          </w:p>
        </w:tc>
        <w:tc>
          <w:tcPr>
            <w:tcW w:w="60" w:type="dxa"/>
            <w:vMerge w:val="restart"/>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610" w:type="dxa"/>
            <w:gridSpan w:val="2"/>
            <w:tcBorders/>
            <w:vAlign w:val="center"/>
          </w:tcPr>
          <w:p>
            <w:pPr>
              <w:pStyle w:val="TableContents"/>
              <w:bidi w:val="0"/>
              <w:spacing w:before="0" w:after="0"/>
              <w:jc w:val="center"/>
              <w:rPr>
                <w:b/>
                <w:spacing w:val="0"/>
              </w:rPr>
            </w:pPr>
            <w:r>
              <w:rPr>
                <w:b/>
                <w:spacing w:val="0"/>
              </w:rPr>
              <w:t>Accumulated</w:t>
              <w:br/>
              <w:t>Other</w:t>
              <w:br/>
              <w:t>Comprehensive</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370" w:type="dxa"/>
            <w:gridSpan w:val="2"/>
            <w:tcBorders/>
            <w:vAlign w:val="center"/>
          </w:tcPr>
          <w:p>
            <w:pPr>
              <w:pStyle w:val="TableContents"/>
              <w:bidi w:val="0"/>
              <w:spacing w:before="0" w:after="0"/>
              <w:jc w:val="center"/>
              <w:rPr>
                <w:b/>
                <w:spacing w:val="0"/>
              </w:rPr>
            </w:pPr>
            <w:r>
              <w:rPr>
                <w:b/>
                <w:spacing w:val="0"/>
              </w:rPr>
              <w:t>Accumulated</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340" w:type="dxa"/>
            <w:gridSpan w:val="2"/>
            <w:tcBorders/>
            <w:vAlign w:val="center"/>
          </w:tcPr>
          <w:p>
            <w:pPr>
              <w:pStyle w:val="TableContents"/>
              <w:bidi w:val="0"/>
              <w:spacing w:before="0" w:after="0"/>
              <w:jc w:val="center"/>
              <w:rPr>
                <w:b/>
                <w:spacing w:val="0"/>
              </w:rPr>
            </w:pPr>
            <w:r>
              <w:rPr>
                <w:b/>
                <w:spacing w:val="0"/>
              </w:rPr>
              <w:t>Total</w:t>
              <w:br/>
              <w:t>Stockholders’</w:t>
            </w:r>
          </w:p>
        </w:tc>
        <w:tc>
          <w:tcPr>
            <w:tcW w:w="170" w:type="dxa"/>
            <w:tcBorders/>
            <w:vAlign w:val="center"/>
          </w:tcPr>
          <w:p>
            <w:pPr>
              <w:pStyle w:val="TableContents"/>
              <w:bidi w:val="0"/>
              <w:spacing w:before="0" w:after="0"/>
              <w:jc w:val="left"/>
              <w:rPr>
                <w:spacing w:val="0"/>
              </w:rPr>
            </w:pPr>
            <w:r>
              <w:rPr>
                <w:spacing w:val="0"/>
              </w:rPr>
              <w:t> </w:t>
            </w:r>
          </w:p>
        </w:tc>
      </w:tr>
      <w:tr>
        <w:trPr/>
        <w:tc>
          <w:tcPr>
            <w:tcW w:w="117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80" w:type="dxa"/>
            <w:gridSpan w:val="2"/>
            <w:tcBorders/>
            <w:vAlign w:val="center"/>
          </w:tcPr>
          <w:p>
            <w:pPr>
              <w:pStyle w:val="TableContents"/>
              <w:bidi w:val="0"/>
              <w:spacing w:before="0" w:after="0"/>
              <w:jc w:val="center"/>
              <w:rPr>
                <w:b/>
                <w:spacing w:val="0"/>
              </w:rPr>
            </w:pPr>
            <w:r>
              <w:rPr>
                <w:b/>
                <w:spacing w:val="0"/>
              </w:rPr>
              <w:t>Shares</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940" w:type="dxa"/>
            <w:gridSpan w:val="2"/>
            <w:tcBorders/>
            <w:vAlign w:val="center"/>
          </w:tcPr>
          <w:p>
            <w:pPr>
              <w:pStyle w:val="TableContents"/>
              <w:bidi w:val="0"/>
              <w:spacing w:before="0" w:after="0"/>
              <w:jc w:val="center"/>
              <w:rPr>
                <w:b/>
                <w:spacing w:val="0"/>
              </w:rPr>
            </w:pPr>
            <w:r>
              <w:rPr>
                <w:b/>
                <w:spacing w:val="0"/>
              </w:rPr>
              <w:t>Amount</w:t>
            </w:r>
          </w:p>
        </w:tc>
        <w:tc>
          <w:tcPr>
            <w:tcW w:w="155" w:type="dxa"/>
            <w:tcBorders>
              <w:right w:val="single" w:sz="6" w:space="0" w:color="000000"/>
            </w:tcBorders>
            <w:tcMar>
              <w:right w:w="28" w:type="dxa"/>
            </w:tcMar>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60" w:type="dxa"/>
            <w:gridSpan w:val="2"/>
            <w:tcBorders/>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0"/>
              <w:jc w:val="left"/>
              <w:rPr>
                <w:spacing w:val="0"/>
              </w:rPr>
            </w:pPr>
            <w:r>
              <w:rPr>
                <w:spacing w:val="0"/>
              </w:rPr>
              <w:t> </w:t>
            </w:r>
          </w:p>
        </w:tc>
        <w:tc>
          <w:tcPr>
            <w:tcW w:w="60" w:type="dxa"/>
            <w:vMerge w:val="continue"/>
            <w:tcBorders/>
            <w:vAlign w:val="center"/>
          </w:tcPr>
          <w:p>
            <w:pPr>
              <w:pStyle w:val="Normal"/>
              <w:bidi w:val="0"/>
              <w:jc w:val="left"/>
              <w:rPr/>
            </w:pPr>
            <w:r>
              <w:rPr/>
            </w:r>
          </w:p>
        </w:tc>
        <w:tc>
          <w:tcPr>
            <w:tcW w:w="1100"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0"/>
              <w:jc w:val="left"/>
              <w:rPr>
                <w:spacing w:val="0"/>
              </w:rPr>
            </w:pPr>
            <w:r>
              <w:rPr>
                <w:spacing w:val="0"/>
              </w:rPr>
              <w:t> </w:t>
            </w:r>
          </w:p>
        </w:tc>
        <w:tc>
          <w:tcPr>
            <w:tcW w:w="1610" w:type="dxa"/>
            <w:gridSpan w:val="2"/>
            <w:tcBorders/>
            <w:vAlign w:val="center"/>
          </w:tcPr>
          <w:p>
            <w:pPr>
              <w:pStyle w:val="TableContents"/>
              <w:bidi w:val="0"/>
              <w:spacing w:before="0" w:after="0"/>
              <w:jc w:val="center"/>
              <w:rPr>
                <w:b/>
                <w:spacing w:val="0"/>
              </w:rPr>
            </w:pPr>
            <w:r>
              <w:rPr>
                <w:b/>
                <w:spacing w:val="0"/>
              </w:rPr>
              <w:t>Income (Loss)</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370" w:type="dxa"/>
            <w:gridSpan w:val="2"/>
            <w:tcBorders/>
            <w:vAlign w:val="center"/>
          </w:tcPr>
          <w:p>
            <w:pPr>
              <w:pStyle w:val="TableContents"/>
              <w:bidi w:val="0"/>
              <w:spacing w:before="0" w:after="0"/>
              <w:jc w:val="center"/>
              <w:rPr>
                <w:b/>
                <w:spacing w:val="0"/>
              </w:rPr>
            </w:pPr>
            <w:r>
              <w:rPr>
                <w:b/>
                <w:spacing w:val="0"/>
              </w:rPr>
              <w:t>Deficit</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340" w:type="dxa"/>
            <w:gridSpan w:val="2"/>
            <w:tcBorders/>
            <w:vAlign w:val="center"/>
          </w:tcPr>
          <w:p>
            <w:pPr>
              <w:pStyle w:val="TableContents"/>
              <w:bidi w:val="0"/>
              <w:spacing w:before="0" w:after="0"/>
              <w:jc w:val="center"/>
              <w:rPr>
                <w:b/>
                <w:spacing w:val="0"/>
              </w:rPr>
            </w:pPr>
            <w:r>
              <w:rPr>
                <w:b/>
                <w:spacing w:val="0"/>
              </w:rPr>
              <w:t>Deficit</w:t>
            </w:r>
          </w:p>
        </w:tc>
        <w:tc>
          <w:tcPr>
            <w:tcW w:w="170" w:type="dxa"/>
            <w:tcBorders/>
            <w:vAlign w:val="center"/>
          </w:tcPr>
          <w:p>
            <w:pPr>
              <w:pStyle w:val="TableContents"/>
              <w:bidi w:val="0"/>
              <w:spacing w:before="0" w:after="0"/>
              <w:jc w:val="left"/>
              <w:rPr>
                <w:spacing w:val="0"/>
              </w:rPr>
            </w:pPr>
            <w:r>
              <w:rPr>
                <w:spacing w:val="0"/>
              </w:rPr>
              <w:t> </w:t>
            </w:r>
          </w:p>
        </w:tc>
      </w:tr>
      <w:tr>
        <w:trPr/>
        <w:tc>
          <w:tcPr>
            <w:tcW w:w="11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Balances at December 31, 2025</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215,038,192</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w:t>
            </w:r>
          </w:p>
        </w:tc>
        <w:tc>
          <w:tcPr>
            <w:tcW w:w="800" w:type="dxa"/>
            <w:tcBorders/>
            <w:shd w:fill="CCEEFF" w:val="clear"/>
            <w:vAlign w:val="center"/>
          </w:tcPr>
          <w:p>
            <w:pPr>
              <w:pStyle w:val="TableContents"/>
              <w:bidi w:val="0"/>
              <w:spacing w:before="0" w:after="0"/>
              <w:jc w:val="right"/>
              <w:rPr>
                <w:spacing w:val="0"/>
              </w:rPr>
            </w:pPr>
            <w:r>
              <w:rPr>
                <w:spacing w:val="0"/>
              </w:rPr>
              <w:t>338,028</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00" w:type="dxa"/>
            <w:tcBorders/>
            <w:shd w:fill="CCEEFF" w:val="clear"/>
            <w:vAlign w:val="center"/>
          </w:tcPr>
          <w:p>
            <w:pPr>
              <w:pStyle w:val="TableContents"/>
              <w:bidi w:val="0"/>
              <w:spacing w:before="0" w:after="0"/>
              <w:jc w:val="right"/>
              <w:rPr>
                <w:spacing w:val="0"/>
              </w:rPr>
            </w:pPr>
            <w:r>
              <w:rPr>
                <w:spacing w:val="0"/>
              </w:rPr>
              <w:t>13,941,901</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w:t>
            </w:r>
          </w:p>
        </w:tc>
        <w:tc>
          <w:tcPr>
            <w:tcW w:w="559" w:type="dxa"/>
            <w:tcBorders/>
            <w:shd w:fill="CCEEFF" w:val="clear"/>
            <w:vAlign w:val="center"/>
          </w:tcPr>
          <w:p>
            <w:pPr>
              <w:pStyle w:val="TableContents"/>
              <w:bidi w:val="0"/>
              <w:spacing w:before="0" w:after="0"/>
              <w:jc w:val="right"/>
              <w:rPr>
                <w:spacing w:val="0"/>
              </w:rPr>
            </w:pPr>
            <w:r>
              <w:rPr>
                <w:spacing w:val="0"/>
              </w:rPr>
              <w:t>1</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7" w:type="dxa"/>
            <w:tcBorders/>
            <w:shd w:fill="CCEEFF" w:val="clear"/>
            <w:vAlign w:val="center"/>
          </w:tcPr>
          <w:p>
            <w:pPr>
              <w:pStyle w:val="TableContents"/>
              <w:bidi w:val="0"/>
              <w:spacing w:before="0" w:after="0"/>
              <w:jc w:val="left"/>
              <w:rPr>
                <w:spacing w:val="0"/>
              </w:rPr>
            </w:pPr>
            <w:r>
              <w:rPr>
                <w:spacing w:val="0"/>
              </w:rPr>
              <w:t>$</w:t>
            </w:r>
          </w:p>
        </w:tc>
        <w:tc>
          <w:tcPr>
            <w:tcW w:w="913" w:type="dxa"/>
            <w:tcBorders/>
            <w:shd w:fill="CCEEFF" w:val="clear"/>
            <w:vAlign w:val="center"/>
          </w:tcPr>
          <w:p>
            <w:pPr>
              <w:pStyle w:val="TableContents"/>
              <w:bidi w:val="0"/>
              <w:spacing w:before="0" w:after="0"/>
              <w:jc w:val="right"/>
              <w:rPr>
                <w:spacing w:val="0"/>
              </w:rPr>
            </w:pPr>
            <w:r>
              <w:rPr>
                <w:spacing w:val="0"/>
              </w:rPr>
              <w:t>29,874</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474" w:type="dxa"/>
            <w:tcBorders/>
            <w:shd w:fill="CCEEFF" w:val="clear"/>
            <w:vAlign w:val="center"/>
          </w:tcPr>
          <w:p>
            <w:pPr>
              <w:pStyle w:val="TableContents"/>
              <w:bidi w:val="0"/>
              <w:spacing w:before="0" w:after="0"/>
              <w:jc w:val="left"/>
              <w:rPr>
                <w:spacing w:val="0"/>
              </w:rPr>
            </w:pPr>
            <w:r>
              <w:rPr>
                <w:spacing w:val="0"/>
              </w:rPr>
              <w:t>$</w:t>
            </w:r>
          </w:p>
        </w:tc>
        <w:tc>
          <w:tcPr>
            <w:tcW w:w="1136" w:type="dxa"/>
            <w:tcBorders/>
            <w:shd w:fill="CCEEFF" w:val="clear"/>
            <w:vAlign w:val="center"/>
          </w:tcPr>
          <w:p>
            <w:pPr>
              <w:pStyle w:val="TableContents"/>
              <w:bidi w:val="0"/>
              <w:spacing w:before="0" w:after="0"/>
              <w:jc w:val="right"/>
              <w:rPr>
                <w:spacing w:val="0"/>
              </w:rPr>
            </w:pPr>
            <w:r>
              <w:rPr>
                <w:spacing w:val="0"/>
              </w:rPr>
              <w:t>23</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8" w:type="dxa"/>
            <w:tcBorders/>
            <w:shd w:fill="CCEEFF" w:val="clear"/>
            <w:vAlign w:val="center"/>
          </w:tcPr>
          <w:p>
            <w:pPr>
              <w:pStyle w:val="TableContents"/>
              <w:bidi w:val="0"/>
              <w:spacing w:before="0" w:after="0"/>
              <w:jc w:val="left"/>
              <w:rPr>
                <w:spacing w:val="0"/>
              </w:rPr>
            </w:pPr>
            <w:r>
              <w:rPr>
                <w:spacing w:val="0"/>
              </w:rPr>
              <w:t>$</w:t>
            </w:r>
          </w:p>
        </w:tc>
        <w:tc>
          <w:tcPr>
            <w:tcW w:w="1182" w:type="dxa"/>
            <w:tcBorders/>
            <w:shd w:fill="CCEEFF" w:val="clear"/>
            <w:vAlign w:val="center"/>
          </w:tcPr>
          <w:p>
            <w:pPr>
              <w:pStyle w:val="TableContents"/>
              <w:bidi w:val="0"/>
              <w:spacing w:before="0" w:after="0"/>
              <w:jc w:val="right"/>
              <w:rPr>
                <w:spacing w:val="0"/>
              </w:rPr>
            </w:pPr>
            <w:r>
              <w:rPr>
                <w:spacing w:val="0"/>
              </w:rPr>
              <w:t>(295,935</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4" w:type="dxa"/>
            <w:tcBorders/>
            <w:shd w:fill="CCEEFF" w:val="clear"/>
            <w:vAlign w:val="center"/>
          </w:tcPr>
          <w:p>
            <w:pPr>
              <w:pStyle w:val="TableContents"/>
              <w:bidi w:val="0"/>
              <w:spacing w:before="0" w:after="0"/>
              <w:jc w:val="left"/>
              <w:rPr>
                <w:spacing w:val="0"/>
              </w:rPr>
            </w:pPr>
            <w:r>
              <w:rPr>
                <w:spacing w:val="0"/>
              </w:rPr>
              <w:t>$</w:t>
            </w:r>
          </w:p>
        </w:tc>
        <w:tc>
          <w:tcPr>
            <w:tcW w:w="1156" w:type="dxa"/>
            <w:tcBorders/>
            <w:shd w:fill="CCEEFF" w:val="clear"/>
            <w:vAlign w:val="center"/>
          </w:tcPr>
          <w:p>
            <w:pPr>
              <w:pStyle w:val="TableContents"/>
              <w:bidi w:val="0"/>
              <w:spacing w:before="0" w:after="0"/>
              <w:jc w:val="right"/>
              <w:rPr>
                <w:spacing w:val="0"/>
              </w:rPr>
            </w:pPr>
            <w:r>
              <w:rPr>
                <w:spacing w:val="0"/>
              </w:rPr>
              <w:t>(266,037</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11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Issuance of common stock upon exercise of stock options</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00" w:type="dxa"/>
            <w:tcBorders/>
            <w:vAlign w:val="center"/>
          </w:tcPr>
          <w:p>
            <w:pPr>
              <w:pStyle w:val="TableContents"/>
              <w:bidi w:val="0"/>
              <w:spacing w:before="0" w:after="0"/>
              <w:jc w:val="right"/>
              <w:rPr>
                <w:spacing w:val="0"/>
              </w:rPr>
            </w:pPr>
            <w:r>
              <w:rPr>
                <w:spacing w:val="0"/>
              </w:rPr>
              <w:t>59,937</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rPr>
            </w:pPr>
            <w:r>
              <w:rPr>
                <w:spacing w:val="0"/>
              </w:rPr>
              <w:t> </w:t>
            </w:r>
          </w:p>
        </w:tc>
        <w:tc>
          <w:tcPr>
            <w:tcW w:w="559"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7" w:type="dxa"/>
            <w:tcBorders/>
            <w:vAlign w:val="center"/>
          </w:tcPr>
          <w:p>
            <w:pPr>
              <w:pStyle w:val="TableContents"/>
              <w:bidi w:val="0"/>
              <w:spacing w:before="0" w:after="0"/>
              <w:jc w:val="left"/>
              <w:rPr>
                <w:spacing w:val="0"/>
              </w:rPr>
            </w:pPr>
            <w:r>
              <w:rPr>
                <w:spacing w:val="0"/>
              </w:rPr>
              <w:t> </w:t>
            </w:r>
          </w:p>
        </w:tc>
        <w:tc>
          <w:tcPr>
            <w:tcW w:w="913" w:type="dxa"/>
            <w:tcBorders/>
            <w:vAlign w:val="center"/>
          </w:tcPr>
          <w:p>
            <w:pPr>
              <w:pStyle w:val="TableContents"/>
              <w:bidi w:val="0"/>
              <w:spacing w:before="0" w:after="0"/>
              <w:jc w:val="right"/>
              <w:rPr>
                <w:spacing w:val="0"/>
              </w:rPr>
            </w:pPr>
            <w:r>
              <w:rPr>
                <w:spacing w:val="0"/>
              </w:rPr>
              <w:t>47</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474" w:type="dxa"/>
            <w:tcBorders/>
            <w:vAlign w:val="center"/>
          </w:tcPr>
          <w:p>
            <w:pPr>
              <w:pStyle w:val="TableContents"/>
              <w:bidi w:val="0"/>
              <w:spacing w:before="0" w:after="0"/>
              <w:jc w:val="left"/>
              <w:rPr>
                <w:spacing w:val="0"/>
              </w:rPr>
            </w:pPr>
            <w:r>
              <w:rPr>
                <w:spacing w:val="0"/>
              </w:rPr>
              <w:t> </w:t>
            </w:r>
          </w:p>
        </w:tc>
        <w:tc>
          <w:tcPr>
            <w:tcW w:w="1136"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rPr>
            </w:pPr>
            <w:r>
              <w:rPr>
                <w:spacing w:val="0"/>
              </w:rPr>
              <w:t> </w:t>
            </w:r>
          </w:p>
        </w:tc>
        <w:tc>
          <w:tcPr>
            <w:tcW w:w="1182"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4" w:type="dxa"/>
            <w:tcBorders/>
            <w:vAlign w:val="center"/>
          </w:tcPr>
          <w:p>
            <w:pPr>
              <w:pStyle w:val="TableContents"/>
              <w:bidi w:val="0"/>
              <w:spacing w:before="0" w:after="0"/>
              <w:jc w:val="left"/>
              <w:rPr>
                <w:spacing w:val="0"/>
              </w:rPr>
            </w:pPr>
            <w:r>
              <w:rPr>
                <w:spacing w:val="0"/>
              </w:rPr>
              <w:t> </w:t>
            </w:r>
          </w:p>
        </w:tc>
        <w:tc>
          <w:tcPr>
            <w:tcW w:w="1156" w:type="dxa"/>
            <w:tcBorders/>
            <w:vAlign w:val="center"/>
          </w:tcPr>
          <w:p>
            <w:pPr>
              <w:pStyle w:val="TableContents"/>
              <w:bidi w:val="0"/>
              <w:spacing w:before="0" w:after="0"/>
              <w:jc w:val="right"/>
              <w:rPr>
                <w:spacing w:val="0"/>
              </w:rPr>
            </w:pPr>
            <w:r>
              <w:rPr>
                <w:spacing w:val="0"/>
              </w:rPr>
              <w:t>47</w:t>
            </w:r>
          </w:p>
        </w:tc>
        <w:tc>
          <w:tcPr>
            <w:tcW w:w="170" w:type="dxa"/>
            <w:tcBorders/>
            <w:vAlign w:val="center"/>
          </w:tcPr>
          <w:p>
            <w:pPr>
              <w:pStyle w:val="TableContents"/>
              <w:bidi w:val="0"/>
              <w:spacing w:before="0" w:after="0"/>
              <w:jc w:val="left"/>
              <w:rPr>
                <w:spacing w:val="0"/>
              </w:rPr>
            </w:pPr>
            <w:r>
              <w:rPr>
                <w:spacing w:val="0"/>
              </w:rPr>
              <w:t> </w:t>
            </w:r>
          </w:p>
        </w:tc>
      </w:tr>
      <w:tr>
        <w:trPr/>
        <w:tc>
          <w:tcPr>
            <w:tcW w:w="11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Stock-based compensation</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00"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 </w:t>
            </w:r>
          </w:p>
        </w:tc>
        <w:tc>
          <w:tcPr>
            <w:tcW w:w="559"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7" w:type="dxa"/>
            <w:tcBorders/>
            <w:shd w:fill="CCEEFF" w:val="clear"/>
            <w:vAlign w:val="center"/>
          </w:tcPr>
          <w:p>
            <w:pPr>
              <w:pStyle w:val="TableContents"/>
              <w:bidi w:val="0"/>
              <w:spacing w:before="0" w:after="0"/>
              <w:jc w:val="left"/>
              <w:rPr>
                <w:spacing w:val="0"/>
              </w:rPr>
            </w:pPr>
            <w:r>
              <w:rPr>
                <w:spacing w:val="0"/>
              </w:rPr>
              <w:t> </w:t>
            </w:r>
          </w:p>
        </w:tc>
        <w:tc>
          <w:tcPr>
            <w:tcW w:w="913" w:type="dxa"/>
            <w:tcBorders/>
            <w:shd w:fill="CCEEFF" w:val="clear"/>
            <w:vAlign w:val="center"/>
          </w:tcPr>
          <w:p>
            <w:pPr>
              <w:pStyle w:val="TableContents"/>
              <w:bidi w:val="0"/>
              <w:spacing w:before="0" w:after="0"/>
              <w:jc w:val="right"/>
              <w:rPr>
                <w:spacing w:val="0"/>
              </w:rPr>
            </w:pPr>
            <w:r>
              <w:rPr>
                <w:spacing w:val="0"/>
              </w:rPr>
              <w:t>1,454</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474" w:type="dxa"/>
            <w:tcBorders/>
            <w:shd w:fill="CCEEFF" w:val="clear"/>
            <w:vAlign w:val="center"/>
          </w:tcPr>
          <w:p>
            <w:pPr>
              <w:pStyle w:val="TableContents"/>
              <w:bidi w:val="0"/>
              <w:spacing w:before="0" w:after="0"/>
              <w:jc w:val="left"/>
              <w:rPr>
                <w:spacing w:val="0"/>
              </w:rPr>
            </w:pPr>
            <w:r>
              <w:rPr>
                <w:spacing w:val="0"/>
              </w:rPr>
              <w:t> </w:t>
            </w:r>
          </w:p>
        </w:tc>
        <w:tc>
          <w:tcPr>
            <w:tcW w:w="1136"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8" w:type="dxa"/>
            <w:tcBorders/>
            <w:shd w:fill="CCEEFF" w:val="clear"/>
            <w:vAlign w:val="center"/>
          </w:tcPr>
          <w:p>
            <w:pPr>
              <w:pStyle w:val="TableContents"/>
              <w:bidi w:val="0"/>
              <w:spacing w:before="0" w:after="0"/>
              <w:jc w:val="left"/>
              <w:rPr>
                <w:spacing w:val="0"/>
              </w:rPr>
            </w:pPr>
            <w:r>
              <w:rPr>
                <w:spacing w:val="0"/>
              </w:rPr>
              <w:t> </w:t>
            </w:r>
          </w:p>
        </w:tc>
        <w:tc>
          <w:tcPr>
            <w:tcW w:w="1182"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4" w:type="dxa"/>
            <w:tcBorders/>
            <w:shd w:fill="CCEEFF" w:val="clear"/>
            <w:vAlign w:val="center"/>
          </w:tcPr>
          <w:p>
            <w:pPr>
              <w:pStyle w:val="TableContents"/>
              <w:bidi w:val="0"/>
              <w:spacing w:before="0" w:after="0"/>
              <w:jc w:val="left"/>
              <w:rPr>
                <w:spacing w:val="0"/>
              </w:rPr>
            </w:pPr>
            <w:r>
              <w:rPr>
                <w:spacing w:val="0"/>
              </w:rPr>
              <w:t> </w:t>
            </w:r>
          </w:p>
        </w:tc>
        <w:tc>
          <w:tcPr>
            <w:tcW w:w="1156" w:type="dxa"/>
            <w:tcBorders/>
            <w:shd w:fill="CCEEFF" w:val="clear"/>
            <w:vAlign w:val="center"/>
          </w:tcPr>
          <w:p>
            <w:pPr>
              <w:pStyle w:val="TableContents"/>
              <w:bidi w:val="0"/>
              <w:spacing w:before="0" w:after="0"/>
              <w:jc w:val="right"/>
              <w:rPr>
                <w:spacing w:val="0"/>
              </w:rPr>
            </w:pPr>
            <w:r>
              <w:rPr>
                <w:spacing w:val="0"/>
              </w:rPr>
              <w:t>1,454</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11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Conversion of Series A Preferred Stock</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(7,085,290</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(8,000</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00" w:type="dxa"/>
            <w:tcBorders/>
            <w:vAlign w:val="center"/>
          </w:tcPr>
          <w:p>
            <w:pPr>
              <w:pStyle w:val="TableContents"/>
              <w:bidi w:val="0"/>
              <w:spacing w:before="0" w:after="0"/>
              <w:jc w:val="right"/>
              <w:rPr>
                <w:spacing w:val="0"/>
              </w:rPr>
            </w:pPr>
            <w:r>
              <w:rPr>
                <w:spacing w:val="0"/>
              </w:rPr>
              <w:t>7,085,290</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rPr>
            </w:pPr>
            <w:r>
              <w:rPr>
                <w:spacing w:val="0"/>
              </w:rPr>
              <w:t> </w:t>
            </w:r>
          </w:p>
        </w:tc>
        <w:tc>
          <w:tcPr>
            <w:tcW w:w="559" w:type="dxa"/>
            <w:tcBorders/>
            <w:vAlign w:val="center"/>
          </w:tcPr>
          <w:p>
            <w:pPr>
              <w:pStyle w:val="TableContents"/>
              <w:bidi w:val="0"/>
              <w:spacing w:before="0" w:after="0"/>
              <w:jc w:val="right"/>
              <w:rPr>
                <w:spacing w:val="0"/>
              </w:rPr>
            </w:pPr>
            <w:r>
              <w:rPr>
                <w:spacing w:val="0"/>
              </w:rPr>
              <w:t>1</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7" w:type="dxa"/>
            <w:tcBorders/>
            <w:vAlign w:val="center"/>
          </w:tcPr>
          <w:p>
            <w:pPr>
              <w:pStyle w:val="TableContents"/>
              <w:bidi w:val="0"/>
              <w:spacing w:before="0" w:after="0"/>
              <w:jc w:val="left"/>
              <w:rPr>
                <w:spacing w:val="0"/>
              </w:rPr>
            </w:pPr>
            <w:r>
              <w:rPr>
                <w:spacing w:val="0"/>
              </w:rPr>
              <w:t> </w:t>
            </w:r>
          </w:p>
        </w:tc>
        <w:tc>
          <w:tcPr>
            <w:tcW w:w="913" w:type="dxa"/>
            <w:tcBorders/>
            <w:vAlign w:val="center"/>
          </w:tcPr>
          <w:p>
            <w:pPr>
              <w:pStyle w:val="TableContents"/>
              <w:bidi w:val="0"/>
              <w:spacing w:before="0" w:after="0"/>
              <w:jc w:val="right"/>
              <w:rPr>
                <w:spacing w:val="0"/>
              </w:rPr>
            </w:pPr>
            <w:r>
              <w:rPr>
                <w:spacing w:val="0"/>
              </w:rPr>
              <w:t>7,999</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474" w:type="dxa"/>
            <w:tcBorders/>
            <w:vAlign w:val="center"/>
          </w:tcPr>
          <w:p>
            <w:pPr>
              <w:pStyle w:val="TableContents"/>
              <w:bidi w:val="0"/>
              <w:spacing w:before="0" w:after="0"/>
              <w:jc w:val="left"/>
              <w:rPr>
                <w:spacing w:val="0"/>
              </w:rPr>
            </w:pPr>
            <w:r>
              <w:rPr>
                <w:spacing w:val="0"/>
              </w:rPr>
              <w:t> </w:t>
            </w:r>
          </w:p>
        </w:tc>
        <w:tc>
          <w:tcPr>
            <w:tcW w:w="1136"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rPr>
            </w:pPr>
            <w:r>
              <w:rPr>
                <w:spacing w:val="0"/>
              </w:rPr>
              <w:t> </w:t>
            </w:r>
          </w:p>
        </w:tc>
        <w:tc>
          <w:tcPr>
            <w:tcW w:w="1182"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4" w:type="dxa"/>
            <w:tcBorders/>
            <w:vAlign w:val="center"/>
          </w:tcPr>
          <w:p>
            <w:pPr>
              <w:pStyle w:val="TableContents"/>
              <w:bidi w:val="0"/>
              <w:spacing w:before="0" w:after="0"/>
              <w:jc w:val="left"/>
              <w:rPr>
                <w:spacing w:val="0"/>
              </w:rPr>
            </w:pPr>
            <w:r>
              <w:rPr>
                <w:spacing w:val="0"/>
              </w:rPr>
              <w:t> </w:t>
            </w:r>
          </w:p>
        </w:tc>
        <w:tc>
          <w:tcPr>
            <w:tcW w:w="1156" w:type="dxa"/>
            <w:tcBorders/>
            <w:vAlign w:val="center"/>
          </w:tcPr>
          <w:p>
            <w:pPr>
              <w:pStyle w:val="TableContents"/>
              <w:bidi w:val="0"/>
              <w:spacing w:before="0" w:after="0"/>
              <w:jc w:val="right"/>
              <w:rPr>
                <w:spacing w:val="0"/>
              </w:rPr>
            </w:pPr>
            <w:r>
              <w:rPr>
                <w:spacing w:val="0"/>
              </w:rPr>
              <w:t>8,000</w:t>
            </w:r>
          </w:p>
        </w:tc>
        <w:tc>
          <w:tcPr>
            <w:tcW w:w="170" w:type="dxa"/>
            <w:tcBorders/>
            <w:vAlign w:val="center"/>
          </w:tcPr>
          <w:p>
            <w:pPr>
              <w:pStyle w:val="TableContents"/>
              <w:bidi w:val="0"/>
              <w:spacing w:before="0" w:after="0"/>
              <w:jc w:val="left"/>
              <w:rPr>
                <w:spacing w:val="0"/>
              </w:rPr>
            </w:pPr>
            <w:r>
              <w:rPr>
                <w:spacing w:val="0"/>
              </w:rPr>
              <w:t> </w:t>
            </w:r>
          </w:p>
        </w:tc>
      </w:tr>
      <w:tr>
        <w:trPr/>
        <w:tc>
          <w:tcPr>
            <w:tcW w:w="11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Unrealized gain (loss) on marketable securities</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00"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 </w:t>
            </w:r>
          </w:p>
        </w:tc>
        <w:tc>
          <w:tcPr>
            <w:tcW w:w="559"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7" w:type="dxa"/>
            <w:tcBorders/>
            <w:shd w:fill="CCEEFF" w:val="clear"/>
            <w:vAlign w:val="center"/>
          </w:tcPr>
          <w:p>
            <w:pPr>
              <w:pStyle w:val="TableContents"/>
              <w:bidi w:val="0"/>
              <w:spacing w:before="0" w:after="0"/>
              <w:jc w:val="left"/>
              <w:rPr>
                <w:spacing w:val="0"/>
              </w:rPr>
            </w:pPr>
            <w:r>
              <w:rPr>
                <w:spacing w:val="0"/>
              </w:rPr>
              <w:t> </w:t>
            </w:r>
          </w:p>
        </w:tc>
        <w:tc>
          <w:tcPr>
            <w:tcW w:w="913"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474" w:type="dxa"/>
            <w:tcBorders/>
            <w:shd w:fill="CCEEFF" w:val="clear"/>
            <w:vAlign w:val="center"/>
          </w:tcPr>
          <w:p>
            <w:pPr>
              <w:pStyle w:val="TableContents"/>
              <w:bidi w:val="0"/>
              <w:spacing w:before="0" w:after="0"/>
              <w:jc w:val="left"/>
              <w:rPr>
                <w:spacing w:val="0"/>
              </w:rPr>
            </w:pPr>
            <w:r>
              <w:rPr>
                <w:spacing w:val="0"/>
              </w:rPr>
              <w:t> </w:t>
            </w:r>
          </w:p>
        </w:tc>
        <w:tc>
          <w:tcPr>
            <w:tcW w:w="1136" w:type="dxa"/>
            <w:tcBorders/>
            <w:shd w:fill="CCEEFF" w:val="clear"/>
            <w:vAlign w:val="center"/>
          </w:tcPr>
          <w:p>
            <w:pPr>
              <w:pStyle w:val="TableContents"/>
              <w:bidi w:val="0"/>
              <w:spacing w:before="0" w:after="0"/>
              <w:jc w:val="right"/>
              <w:rPr>
                <w:spacing w:val="0"/>
              </w:rPr>
            </w:pPr>
            <w:r>
              <w:rPr>
                <w:spacing w:val="0"/>
              </w:rPr>
              <w:t>(28</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8" w:type="dxa"/>
            <w:tcBorders/>
            <w:shd w:fill="CCEEFF" w:val="clear"/>
            <w:vAlign w:val="center"/>
          </w:tcPr>
          <w:p>
            <w:pPr>
              <w:pStyle w:val="TableContents"/>
              <w:bidi w:val="0"/>
              <w:spacing w:before="0" w:after="0"/>
              <w:jc w:val="left"/>
              <w:rPr>
                <w:spacing w:val="0"/>
              </w:rPr>
            </w:pPr>
            <w:r>
              <w:rPr>
                <w:spacing w:val="0"/>
              </w:rPr>
              <w:t> </w:t>
            </w:r>
          </w:p>
        </w:tc>
        <w:tc>
          <w:tcPr>
            <w:tcW w:w="1182"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4" w:type="dxa"/>
            <w:tcBorders/>
            <w:shd w:fill="CCEEFF" w:val="clear"/>
            <w:vAlign w:val="center"/>
          </w:tcPr>
          <w:p>
            <w:pPr>
              <w:pStyle w:val="TableContents"/>
              <w:bidi w:val="0"/>
              <w:spacing w:before="0" w:after="0"/>
              <w:jc w:val="left"/>
              <w:rPr>
                <w:spacing w:val="0"/>
              </w:rPr>
            </w:pPr>
            <w:r>
              <w:rPr>
                <w:spacing w:val="0"/>
              </w:rPr>
              <w:t> </w:t>
            </w:r>
          </w:p>
        </w:tc>
        <w:tc>
          <w:tcPr>
            <w:tcW w:w="1156" w:type="dxa"/>
            <w:tcBorders/>
            <w:shd w:fill="CCEEFF" w:val="clear"/>
            <w:vAlign w:val="center"/>
          </w:tcPr>
          <w:p>
            <w:pPr>
              <w:pStyle w:val="TableContents"/>
              <w:bidi w:val="0"/>
              <w:spacing w:before="0" w:after="0"/>
              <w:jc w:val="right"/>
              <w:rPr>
                <w:spacing w:val="0"/>
              </w:rPr>
            </w:pPr>
            <w:r>
              <w:rPr>
                <w:spacing w:val="0"/>
              </w:rPr>
              <w:t>(28</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11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00"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rPr>
            </w:pPr>
            <w:r>
              <w:rPr>
                <w:spacing w:val="0"/>
              </w:rPr>
              <w:t> </w:t>
            </w:r>
          </w:p>
        </w:tc>
        <w:tc>
          <w:tcPr>
            <w:tcW w:w="559"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7" w:type="dxa"/>
            <w:tcBorders/>
            <w:vAlign w:val="center"/>
          </w:tcPr>
          <w:p>
            <w:pPr>
              <w:pStyle w:val="TableContents"/>
              <w:bidi w:val="0"/>
              <w:spacing w:before="0" w:after="0"/>
              <w:jc w:val="left"/>
              <w:rPr>
                <w:spacing w:val="0"/>
              </w:rPr>
            </w:pPr>
            <w:r>
              <w:rPr>
                <w:spacing w:val="0"/>
              </w:rPr>
              <w:t> </w:t>
            </w:r>
          </w:p>
        </w:tc>
        <w:tc>
          <w:tcPr>
            <w:tcW w:w="913"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474" w:type="dxa"/>
            <w:tcBorders/>
            <w:vAlign w:val="center"/>
          </w:tcPr>
          <w:p>
            <w:pPr>
              <w:pStyle w:val="TableContents"/>
              <w:bidi w:val="0"/>
              <w:spacing w:before="0" w:after="0"/>
              <w:jc w:val="left"/>
              <w:rPr>
                <w:spacing w:val="0"/>
              </w:rPr>
            </w:pPr>
            <w:r>
              <w:rPr>
                <w:spacing w:val="0"/>
              </w:rPr>
              <w:t> </w:t>
            </w:r>
          </w:p>
        </w:tc>
        <w:tc>
          <w:tcPr>
            <w:tcW w:w="1136"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rPr>
            </w:pPr>
            <w:r>
              <w:rPr>
                <w:spacing w:val="0"/>
              </w:rPr>
              <w:t> </w:t>
            </w:r>
          </w:p>
        </w:tc>
        <w:tc>
          <w:tcPr>
            <w:tcW w:w="1182" w:type="dxa"/>
            <w:tcBorders/>
            <w:vAlign w:val="center"/>
          </w:tcPr>
          <w:p>
            <w:pPr>
              <w:pStyle w:val="TableContents"/>
              <w:bidi w:val="0"/>
              <w:spacing w:before="0" w:after="0"/>
              <w:jc w:val="right"/>
              <w:rPr>
                <w:spacing w:val="0"/>
              </w:rPr>
            </w:pPr>
            <w:r>
              <w:rPr>
                <w:spacing w:val="0"/>
              </w:rPr>
              <w:t>(19,633</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4" w:type="dxa"/>
            <w:tcBorders/>
            <w:vAlign w:val="center"/>
          </w:tcPr>
          <w:p>
            <w:pPr>
              <w:pStyle w:val="TableContents"/>
              <w:bidi w:val="0"/>
              <w:spacing w:before="0" w:after="0"/>
              <w:jc w:val="left"/>
              <w:rPr>
                <w:spacing w:val="0"/>
              </w:rPr>
            </w:pPr>
            <w:r>
              <w:rPr>
                <w:spacing w:val="0"/>
              </w:rPr>
              <w:t> </w:t>
            </w:r>
          </w:p>
        </w:tc>
        <w:tc>
          <w:tcPr>
            <w:tcW w:w="1156" w:type="dxa"/>
            <w:tcBorders/>
            <w:vAlign w:val="center"/>
          </w:tcPr>
          <w:p>
            <w:pPr>
              <w:pStyle w:val="TableContents"/>
              <w:bidi w:val="0"/>
              <w:spacing w:before="0" w:after="0"/>
              <w:jc w:val="right"/>
              <w:rPr>
                <w:spacing w:val="0"/>
              </w:rPr>
            </w:pPr>
            <w:r>
              <w:rPr>
                <w:spacing w:val="0"/>
              </w:rPr>
              <w:t>(19,633</w:t>
            </w:r>
          </w:p>
        </w:tc>
        <w:tc>
          <w:tcPr>
            <w:tcW w:w="170" w:type="dxa"/>
            <w:tcBorders/>
            <w:vAlign w:val="center"/>
          </w:tcPr>
          <w:p>
            <w:pPr>
              <w:pStyle w:val="TableContents"/>
              <w:bidi w:val="0"/>
              <w:spacing w:before="0" w:after="0"/>
              <w:jc w:val="left"/>
              <w:rPr>
                <w:spacing w:val="0"/>
              </w:rPr>
            </w:pPr>
            <w:r>
              <w:rPr>
                <w:spacing w:val="0"/>
              </w:rPr>
              <w:t>) </w:t>
            </w:r>
          </w:p>
        </w:tc>
      </w:tr>
      <w:tr>
        <w:trPr/>
        <w:tc>
          <w:tcPr>
            <w:tcW w:w="1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4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0"/>
              <w:jc w:val="left"/>
              <w:rPr>
                <w:spacing w:val="0"/>
              </w:rPr>
            </w:pPr>
            <w:r>
              <w:rPr>
                <w:spacing w:val="0"/>
              </w:rPr>
              <w:t> </w:t>
            </w:r>
          </w:p>
        </w:tc>
      </w:tr>
      <w:tr>
        <w:trPr/>
        <w:tc>
          <w:tcPr>
            <w:tcW w:w="11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Balances at March 31, 2026</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207,952,902</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w:t>
            </w:r>
          </w:p>
        </w:tc>
        <w:tc>
          <w:tcPr>
            <w:tcW w:w="800" w:type="dxa"/>
            <w:tcBorders/>
            <w:shd w:fill="CCEEFF" w:val="clear"/>
            <w:vAlign w:val="center"/>
          </w:tcPr>
          <w:p>
            <w:pPr>
              <w:pStyle w:val="TableContents"/>
              <w:bidi w:val="0"/>
              <w:spacing w:before="0" w:after="0"/>
              <w:jc w:val="right"/>
              <w:rPr>
                <w:spacing w:val="0"/>
              </w:rPr>
            </w:pPr>
            <w:r>
              <w:rPr>
                <w:spacing w:val="0"/>
              </w:rPr>
              <w:t>330,028</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00" w:type="dxa"/>
            <w:tcBorders/>
            <w:shd w:fill="CCEEFF" w:val="clear"/>
            <w:vAlign w:val="center"/>
          </w:tcPr>
          <w:p>
            <w:pPr>
              <w:pStyle w:val="TableContents"/>
              <w:bidi w:val="0"/>
              <w:spacing w:before="0" w:after="0"/>
              <w:jc w:val="right"/>
              <w:rPr>
                <w:spacing w:val="0"/>
              </w:rPr>
            </w:pPr>
            <w:r>
              <w:rPr>
                <w:spacing w:val="0"/>
              </w:rPr>
              <w:t>21,087,128</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w:t>
            </w:r>
          </w:p>
        </w:tc>
        <w:tc>
          <w:tcPr>
            <w:tcW w:w="559" w:type="dxa"/>
            <w:tcBorders/>
            <w:shd w:fill="CCEEFF" w:val="clear"/>
            <w:vAlign w:val="center"/>
          </w:tcPr>
          <w:p>
            <w:pPr>
              <w:pStyle w:val="TableContents"/>
              <w:bidi w:val="0"/>
              <w:spacing w:before="0" w:after="0"/>
              <w:jc w:val="right"/>
              <w:rPr>
                <w:spacing w:val="0"/>
              </w:rPr>
            </w:pPr>
            <w:r>
              <w:rPr>
                <w:spacing w:val="0"/>
              </w:rPr>
              <w:t>2</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7" w:type="dxa"/>
            <w:tcBorders/>
            <w:shd w:fill="CCEEFF" w:val="clear"/>
            <w:vAlign w:val="center"/>
          </w:tcPr>
          <w:p>
            <w:pPr>
              <w:pStyle w:val="TableContents"/>
              <w:bidi w:val="0"/>
              <w:spacing w:before="0" w:after="0"/>
              <w:jc w:val="left"/>
              <w:rPr>
                <w:spacing w:val="0"/>
              </w:rPr>
            </w:pPr>
            <w:r>
              <w:rPr>
                <w:spacing w:val="0"/>
              </w:rPr>
              <w:t>$</w:t>
            </w:r>
          </w:p>
        </w:tc>
        <w:tc>
          <w:tcPr>
            <w:tcW w:w="913" w:type="dxa"/>
            <w:tcBorders/>
            <w:shd w:fill="CCEEFF" w:val="clear"/>
            <w:vAlign w:val="center"/>
          </w:tcPr>
          <w:p>
            <w:pPr>
              <w:pStyle w:val="TableContents"/>
              <w:bidi w:val="0"/>
              <w:spacing w:before="0" w:after="0"/>
              <w:jc w:val="right"/>
              <w:rPr>
                <w:spacing w:val="0"/>
              </w:rPr>
            </w:pPr>
            <w:r>
              <w:rPr>
                <w:spacing w:val="0"/>
              </w:rPr>
              <w:t>39,374</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474" w:type="dxa"/>
            <w:tcBorders/>
            <w:shd w:fill="CCEEFF" w:val="clear"/>
            <w:vAlign w:val="center"/>
          </w:tcPr>
          <w:p>
            <w:pPr>
              <w:pStyle w:val="TableContents"/>
              <w:bidi w:val="0"/>
              <w:spacing w:before="0" w:after="0"/>
              <w:jc w:val="left"/>
              <w:rPr>
                <w:spacing w:val="0"/>
              </w:rPr>
            </w:pPr>
            <w:r>
              <w:rPr>
                <w:spacing w:val="0"/>
              </w:rPr>
              <w:t>$</w:t>
            </w:r>
          </w:p>
        </w:tc>
        <w:tc>
          <w:tcPr>
            <w:tcW w:w="1136" w:type="dxa"/>
            <w:tcBorders/>
            <w:shd w:fill="CCEEFF" w:val="clear"/>
            <w:vAlign w:val="center"/>
          </w:tcPr>
          <w:p>
            <w:pPr>
              <w:pStyle w:val="TableContents"/>
              <w:bidi w:val="0"/>
              <w:spacing w:before="0" w:after="0"/>
              <w:jc w:val="right"/>
              <w:rPr>
                <w:spacing w:val="0"/>
              </w:rPr>
            </w:pPr>
            <w:r>
              <w:rPr>
                <w:spacing w:val="0"/>
              </w:rPr>
              <w:t>(5</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8" w:type="dxa"/>
            <w:tcBorders/>
            <w:shd w:fill="CCEEFF" w:val="clear"/>
            <w:vAlign w:val="center"/>
          </w:tcPr>
          <w:p>
            <w:pPr>
              <w:pStyle w:val="TableContents"/>
              <w:bidi w:val="0"/>
              <w:spacing w:before="0" w:after="0"/>
              <w:jc w:val="left"/>
              <w:rPr>
                <w:spacing w:val="0"/>
              </w:rPr>
            </w:pPr>
            <w:r>
              <w:rPr>
                <w:spacing w:val="0"/>
              </w:rPr>
              <w:t>$</w:t>
            </w:r>
          </w:p>
        </w:tc>
        <w:tc>
          <w:tcPr>
            <w:tcW w:w="1182" w:type="dxa"/>
            <w:tcBorders/>
            <w:shd w:fill="CCEEFF" w:val="clear"/>
            <w:vAlign w:val="center"/>
          </w:tcPr>
          <w:p>
            <w:pPr>
              <w:pStyle w:val="TableContents"/>
              <w:bidi w:val="0"/>
              <w:spacing w:before="0" w:after="0"/>
              <w:jc w:val="right"/>
              <w:rPr>
                <w:spacing w:val="0"/>
              </w:rPr>
            </w:pPr>
            <w:r>
              <w:rPr>
                <w:spacing w:val="0"/>
              </w:rPr>
              <w:t>(315,568</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4" w:type="dxa"/>
            <w:tcBorders/>
            <w:shd w:fill="CCEEFF" w:val="clear"/>
            <w:vAlign w:val="center"/>
          </w:tcPr>
          <w:p>
            <w:pPr>
              <w:pStyle w:val="TableContents"/>
              <w:bidi w:val="0"/>
              <w:spacing w:before="0" w:after="0"/>
              <w:jc w:val="left"/>
              <w:rPr>
                <w:spacing w:val="0"/>
              </w:rPr>
            </w:pPr>
            <w:r>
              <w:rPr>
                <w:spacing w:val="0"/>
              </w:rPr>
              <w:t> </w:t>
            </w:r>
          </w:p>
        </w:tc>
        <w:tc>
          <w:tcPr>
            <w:tcW w:w="1156" w:type="dxa"/>
            <w:tcBorders/>
            <w:shd w:fill="CCEEFF" w:val="clear"/>
            <w:vAlign w:val="center"/>
          </w:tcPr>
          <w:p>
            <w:pPr>
              <w:pStyle w:val="TableContents"/>
              <w:bidi w:val="0"/>
              <w:spacing w:before="0" w:after="0"/>
              <w:jc w:val="right"/>
              <w:rPr>
                <w:spacing w:val="0"/>
              </w:rPr>
            </w:pPr>
            <w:r>
              <w:rPr>
                <w:spacing w:val="0"/>
              </w:rPr>
              <w:t>(276,197</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1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4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0"/>
              <w:jc w:val="left"/>
              <w:rPr>
                <w:spacing w:val="0"/>
              </w:rPr>
            </w:pPr>
            <w:r>
              <w:rPr>
                <w:spacing w:val="0"/>
              </w:rPr>
              <w:t> </w:t>
            </w:r>
          </w:p>
        </w:tc>
      </w:tr>
      <w:tr>
        <w:trPr/>
        <w:tc>
          <w:tcPr>
            <w:tcW w:w="11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Issuance of common stock upon exercise of stock options</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00" w:type="dxa"/>
            <w:tcBorders/>
            <w:vAlign w:val="center"/>
          </w:tcPr>
          <w:p>
            <w:pPr>
              <w:pStyle w:val="TableContents"/>
              <w:bidi w:val="0"/>
              <w:spacing w:before="0" w:after="0"/>
              <w:jc w:val="right"/>
              <w:rPr>
                <w:spacing w:val="0"/>
              </w:rPr>
            </w:pPr>
            <w:r>
              <w:rPr>
                <w:spacing w:val="0"/>
              </w:rPr>
              <w:t>1,101,207</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rPr>
            </w:pPr>
            <w:r>
              <w:rPr>
                <w:spacing w:val="0"/>
              </w:rPr>
              <w:t> </w:t>
            </w:r>
          </w:p>
        </w:tc>
        <w:tc>
          <w:tcPr>
            <w:tcW w:w="559"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7" w:type="dxa"/>
            <w:tcBorders/>
            <w:vAlign w:val="center"/>
          </w:tcPr>
          <w:p>
            <w:pPr>
              <w:pStyle w:val="TableContents"/>
              <w:bidi w:val="0"/>
              <w:spacing w:before="0" w:after="0"/>
              <w:jc w:val="left"/>
              <w:rPr>
                <w:spacing w:val="0"/>
              </w:rPr>
            </w:pPr>
            <w:r>
              <w:rPr>
                <w:spacing w:val="0"/>
              </w:rPr>
              <w:t> </w:t>
            </w:r>
          </w:p>
        </w:tc>
        <w:tc>
          <w:tcPr>
            <w:tcW w:w="913" w:type="dxa"/>
            <w:tcBorders/>
            <w:vAlign w:val="center"/>
          </w:tcPr>
          <w:p>
            <w:pPr>
              <w:pStyle w:val="TableContents"/>
              <w:bidi w:val="0"/>
              <w:spacing w:before="0" w:after="0"/>
              <w:jc w:val="right"/>
              <w:rPr>
                <w:spacing w:val="0"/>
              </w:rPr>
            </w:pPr>
            <w:r>
              <w:rPr>
                <w:spacing w:val="0"/>
              </w:rPr>
              <w:t>796</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474" w:type="dxa"/>
            <w:tcBorders/>
            <w:vAlign w:val="center"/>
          </w:tcPr>
          <w:p>
            <w:pPr>
              <w:pStyle w:val="TableContents"/>
              <w:bidi w:val="0"/>
              <w:spacing w:before="0" w:after="0"/>
              <w:jc w:val="left"/>
              <w:rPr>
                <w:spacing w:val="0"/>
              </w:rPr>
            </w:pPr>
            <w:r>
              <w:rPr>
                <w:spacing w:val="0"/>
              </w:rPr>
              <w:t> </w:t>
            </w:r>
          </w:p>
        </w:tc>
        <w:tc>
          <w:tcPr>
            <w:tcW w:w="1136"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rPr>
            </w:pPr>
            <w:r>
              <w:rPr>
                <w:spacing w:val="0"/>
              </w:rPr>
              <w:t> </w:t>
            </w:r>
          </w:p>
        </w:tc>
        <w:tc>
          <w:tcPr>
            <w:tcW w:w="1182"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4" w:type="dxa"/>
            <w:tcBorders/>
            <w:vAlign w:val="center"/>
          </w:tcPr>
          <w:p>
            <w:pPr>
              <w:pStyle w:val="TableContents"/>
              <w:bidi w:val="0"/>
              <w:spacing w:before="0" w:after="0"/>
              <w:jc w:val="left"/>
              <w:rPr>
                <w:spacing w:val="0"/>
              </w:rPr>
            </w:pPr>
            <w:r>
              <w:rPr>
                <w:spacing w:val="0"/>
              </w:rPr>
              <w:t> </w:t>
            </w:r>
          </w:p>
        </w:tc>
        <w:tc>
          <w:tcPr>
            <w:tcW w:w="1156" w:type="dxa"/>
            <w:tcBorders/>
            <w:vAlign w:val="center"/>
          </w:tcPr>
          <w:p>
            <w:pPr>
              <w:pStyle w:val="TableContents"/>
              <w:bidi w:val="0"/>
              <w:spacing w:before="0" w:after="0"/>
              <w:jc w:val="right"/>
              <w:rPr>
                <w:spacing w:val="0"/>
              </w:rPr>
            </w:pPr>
            <w:r>
              <w:rPr>
                <w:spacing w:val="0"/>
              </w:rPr>
              <w:t>796</w:t>
            </w:r>
          </w:p>
        </w:tc>
        <w:tc>
          <w:tcPr>
            <w:tcW w:w="170" w:type="dxa"/>
            <w:tcBorders/>
            <w:vAlign w:val="center"/>
          </w:tcPr>
          <w:p>
            <w:pPr>
              <w:pStyle w:val="TableContents"/>
              <w:bidi w:val="0"/>
              <w:spacing w:before="0" w:after="0"/>
              <w:jc w:val="left"/>
              <w:rPr>
                <w:spacing w:val="0"/>
              </w:rPr>
            </w:pPr>
            <w:r>
              <w:rPr>
                <w:spacing w:val="0"/>
              </w:rPr>
              <w:t> </w:t>
            </w:r>
          </w:p>
        </w:tc>
      </w:tr>
      <w:tr>
        <w:trPr/>
        <w:tc>
          <w:tcPr>
            <w:tcW w:w="11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Stock-based compensation</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00"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 </w:t>
            </w:r>
          </w:p>
        </w:tc>
        <w:tc>
          <w:tcPr>
            <w:tcW w:w="559"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7" w:type="dxa"/>
            <w:tcBorders/>
            <w:shd w:fill="CCEEFF" w:val="clear"/>
            <w:vAlign w:val="center"/>
          </w:tcPr>
          <w:p>
            <w:pPr>
              <w:pStyle w:val="TableContents"/>
              <w:bidi w:val="0"/>
              <w:spacing w:before="0" w:after="0"/>
              <w:jc w:val="left"/>
              <w:rPr>
                <w:spacing w:val="0"/>
              </w:rPr>
            </w:pPr>
            <w:r>
              <w:rPr>
                <w:spacing w:val="0"/>
              </w:rPr>
              <w:t> </w:t>
            </w:r>
          </w:p>
        </w:tc>
        <w:tc>
          <w:tcPr>
            <w:tcW w:w="913" w:type="dxa"/>
            <w:tcBorders/>
            <w:shd w:fill="CCEEFF" w:val="clear"/>
            <w:vAlign w:val="center"/>
          </w:tcPr>
          <w:p>
            <w:pPr>
              <w:pStyle w:val="TableContents"/>
              <w:bidi w:val="0"/>
              <w:spacing w:before="0" w:after="0"/>
              <w:jc w:val="right"/>
              <w:rPr>
                <w:spacing w:val="0"/>
              </w:rPr>
            </w:pPr>
            <w:r>
              <w:rPr>
                <w:spacing w:val="0"/>
              </w:rPr>
              <w:t>1,552</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474" w:type="dxa"/>
            <w:tcBorders/>
            <w:shd w:fill="CCEEFF" w:val="clear"/>
            <w:vAlign w:val="center"/>
          </w:tcPr>
          <w:p>
            <w:pPr>
              <w:pStyle w:val="TableContents"/>
              <w:bidi w:val="0"/>
              <w:spacing w:before="0" w:after="0"/>
              <w:jc w:val="left"/>
              <w:rPr>
                <w:spacing w:val="0"/>
              </w:rPr>
            </w:pPr>
            <w:r>
              <w:rPr>
                <w:spacing w:val="0"/>
              </w:rPr>
              <w:t> </w:t>
            </w:r>
          </w:p>
        </w:tc>
        <w:tc>
          <w:tcPr>
            <w:tcW w:w="1136"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8" w:type="dxa"/>
            <w:tcBorders/>
            <w:shd w:fill="CCEEFF" w:val="clear"/>
            <w:vAlign w:val="center"/>
          </w:tcPr>
          <w:p>
            <w:pPr>
              <w:pStyle w:val="TableContents"/>
              <w:bidi w:val="0"/>
              <w:spacing w:before="0" w:after="0"/>
              <w:jc w:val="left"/>
              <w:rPr>
                <w:spacing w:val="0"/>
              </w:rPr>
            </w:pPr>
            <w:r>
              <w:rPr>
                <w:spacing w:val="0"/>
              </w:rPr>
              <w:t> </w:t>
            </w:r>
          </w:p>
        </w:tc>
        <w:tc>
          <w:tcPr>
            <w:tcW w:w="1182"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4" w:type="dxa"/>
            <w:tcBorders/>
            <w:shd w:fill="CCEEFF" w:val="clear"/>
            <w:vAlign w:val="center"/>
          </w:tcPr>
          <w:p>
            <w:pPr>
              <w:pStyle w:val="TableContents"/>
              <w:bidi w:val="0"/>
              <w:spacing w:before="0" w:after="0"/>
              <w:jc w:val="left"/>
              <w:rPr>
                <w:spacing w:val="0"/>
              </w:rPr>
            </w:pPr>
            <w:r>
              <w:rPr>
                <w:spacing w:val="0"/>
              </w:rPr>
              <w:t> </w:t>
            </w:r>
          </w:p>
        </w:tc>
        <w:tc>
          <w:tcPr>
            <w:tcW w:w="1156" w:type="dxa"/>
            <w:tcBorders/>
            <w:shd w:fill="CCEEFF" w:val="clear"/>
            <w:vAlign w:val="center"/>
          </w:tcPr>
          <w:p>
            <w:pPr>
              <w:pStyle w:val="TableContents"/>
              <w:bidi w:val="0"/>
              <w:spacing w:before="0" w:after="0"/>
              <w:jc w:val="right"/>
              <w:rPr>
                <w:spacing w:val="0"/>
              </w:rPr>
            </w:pPr>
            <w:r>
              <w:rPr>
                <w:spacing w:val="0"/>
              </w:rPr>
              <w:t>1,552</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11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Unrealized gain (loss) on marketable securities</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00"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rPr>
            </w:pPr>
            <w:r>
              <w:rPr>
                <w:spacing w:val="0"/>
              </w:rPr>
              <w:t> </w:t>
            </w:r>
          </w:p>
        </w:tc>
        <w:tc>
          <w:tcPr>
            <w:tcW w:w="559"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7" w:type="dxa"/>
            <w:tcBorders/>
            <w:vAlign w:val="center"/>
          </w:tcPr>
          <w:p>
            <w:pPr>
              <w:pStyle w:val="TableContents"/>
              <w:bidi w:val="0"/>
              <w:spacing w:before="0" w:after="0"/>
              <w:jc w:val="left"/>
              <w:rPr>
                <w:spacing w:val="0"/>
              </w:rPr>
            </w:pPr>
            <w:r>
              <w:rPr>
                <w:spacing w:val="0"/>
              </w:rPr>
              <w:t> </w:t>
            </w:r>
          </w:p>
        </w:tc>
        <w:tc>
          <w:tcPr>
            <w:tcW w:w="913"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474" w:type="dxa"/>
            <w:tcBorders/>
            <w:vAlign w:val="center"/>
          </w:tcPr>
          <w:p>
            <w:pPr>
              <w:pStyle w:val="TableContents"/>
              <w:bidi w:val="0"/>
              <w:spacing w:before="0" w:after="0"/>
              <w:jc w:val="left"/>
              <w:rPr>
                <w:spacing w:val="0"/>
              </w:rPr>
            </w:pPr>
            <w:r>
              <w:rPr>
                <w:spacing w:val="0"/>
              </w:rPr>
              <w:t> </w:t>
            </w:r>
          </w:p>
        </w:tc>
        <w:tc>
          <w:tcPr>
            <w:tcW w:w="1136" w:type="dxa"/>
            <w:tcBorders/>
            <w:vAlign w:val="center"/>
          </w:tcPr>
          <w:p>
            <w:pPr>
              <w:pStyle w:val="TableContents"/>
              <w:bidi w:val="0"/>
              <w:spacing w:before="0" w:after="0"/>
              <w:jc w:val="right"/>
              <w:rPr>
                <w:spacing w:val="0"/>
              </w:rPr>
            </w:pPr>
            <w:r>
              <w:rPr>
                <w:spacing w:val="0"/>
              </w:rPr>
              <w:t>2</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rPr>
            </w:pPr>
            <w:r>
              <w:rPr>
                <w:spacing w:val="0"/>
              </w:rPr>
              <w:t> </w:t>
            </w:r>
          </w:p>
        </w:tc>
        <w:tc>
          <w:tcPr>
            <w:tcW w:w="1182"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4" w:type="dxa"/>
            <w:tcBorders/>
            <w:vAlign w:val="center"/>
          </w:tcPr>
          <w:p>
            <w:pPr>
              <w:pStyle w:val="TableContents"/>
              <w:bidi w:val="0"/>
              <w:spacing w:before="0" w:after="0"/>
              <w:jc w:val="left"/>
              <w:rPr>
                <w:spacing w:val="0"/>
              </w:rPr>
            </w:pPr>
            <w:r>
              <w:rPr>
                <w:spacing w:val="0"/>
              </w:rPr>
              <w:t> </w:t>
            </w:r>
          </w:p>
        </w:tc>
        <w:tc>
          <w:tcPr>
            <w:tcW w:w="1156" w:type="dxa"/>
            <w:tcBorders/>
            <w:vAlign w:val="center"/>
          </w:tcPr>
          <w:p>
            <w:pPr>
              <w:pStyle w:val="TableContents"/>
              <w:bidi w:val="0"/>
              <w:spacing w:before="0" w:after="0"/>
              <w:jc w:val="right"/>
              <w:rPr>
                <w:spacing w:val="0"/>
              </w:rPr>
            </w:pPr>
            <w:r>
              <w:rPr>
                <w:spacing w:val="0"/>
              </w:rPr>
              <w:t>2</w:t>
            </w:r>
          </w:p>
        </w:tc>
        <w:tc>
          <w:tcPr>
            <w:tcW w:w="170" w:type="dxa"/>
            <w:tcBorders/>
            <w:vAlign w:val="center"/>
          </w:tcPr>
          <w:p>
            <w:pPr>
              <w:pStyle w:val="TableContents"/>
              <w:bidi w:val="0"/>
              <w:spacing w:before="0" w:after="0"/>
              <w:jc w:val="left"/>
              <w:rPr>
                <w:spacing w:val="0"/>
              </w:rPr>
            </w:pPr>
            <w:r>
              <w:rPr>
                <w:spacing w:val="0"/>
              </w:rPr>
              <w:t> </w:t>
            </w:r>
          </w:p>
        </w:tc>
      </w:tr>
      <w:tr>
        <w:trPr/>
        <w:tc>
          <w:tcPr>
            <w:tcW w:w="11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00"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 </w:t>
            </w:r>
          </w:p>
        </w:tc>
        <w:tc>
          <w:tcPr>
            <w:tcW w:w="559"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7" w:type="dxa"/>
            <w:tcBorders/>
            <w:shd w:fill="CCEEFF" w:val="clear"/>
            <w:vAlign w:val="center"/>
          </w:tcPr>
          <w:p>
            <w:pPr>
              <w:pStyle w:val="TableContents"/>
              <w:bidi w:val="0"/>
              <w:spacing w:before="0" w:after="0"/>
              <w:jc w:val="left"/>
              <w:rPr>
                <w:spacing w:val="0"/>
              </w:rPr>
            </w:pPr>
            <w:r>
              <w:rPr>
                <w:spacing w:val="0"/>
              </w:rPr>
              <w:t> </w:t>
            </w:r>
          </w:p>
        </w:tc>
        <w:tc>
          <w:tcPr>
            <w:tcW w:w="913"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474" w:type="dxa"/>
            <w:tcBorders/>
            <w:shd w:fill="CCEEFF" w:val="clear"/>
            <w:vAlign w:val="center"/>
          </w:tcPr>
          <w:p>
            <w:pPr>
              <w:pStyle w:val="TableContents"/>
              <w:bidi w:val="0"/>
              <w:spacing w:before="0" w:after="0"/>
              <w:jc w:val="left"/>
              <w:rPr>
                <w:spacing w:val="0"/>
              </w:rPr>
            </w:pPr>
            <w:r>
              <w:rPr>
                <w:spacing w:val="0"/>
              </w:rPr>
              <w:t> </w:t>
            </w:r>
          </w:p>
        </w:tc>
        <w:tc>
          <w:tcPr>
            <w:tcW w:w="1136"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8" w:type="dxa"/>
            <w:tcBorders/>
            <w:shd w:fill="CCEEFF" w:val="clear"/>
            <w:vAlign w:val="center"/>
          </w:tcPr>
          <w:p>
            <w:pPr>
              <w:pStyle w:val="TableContents"/>
              <w:bidi w:val="0"/>
              <w:spacing w:before="0" w:after="0"/>
              <w:jc w:val="left"/>
              <w:rPr>
                <w:spacing w:val="0"/>
              </w:rPr>
            </w:pPr>
            <w:r>
              <w:rPr>
                <w:spacing w:val="0"/>
              </w:rPr>
              <w:t> </w:t>
            </w:r>
          </w:p>
        </w:tc>
        <w:tc>
          <w:tcPr>
            <w:tcW w:w="1182" w:type="dxa"/>
            <w:tcBorders/>
            <w:shd w:fill="CCEEFF" w:val="clear"/>
            <w:vAlign w:val="center"/>
          </w:tcPr>
          <w:p>
            <w:pPr>
              <w:pStyle w:val="TableContents"/>
              <w:bidi w:val="0"/>
              <w:spacing w:before="0" w:after="0"/>
              <w:jc w:val="right"/>
              <w:rPr>
                <w:spacing w:val="0"/>
              </w:rPr>
            </w:pPr>
            <w:r>
              <w:rPr>
                <w:spacing w:val="0"/>
              </w:rPr>
              <w:t>(25,864</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4" w:type="dxa"/>
            <w:tcBorders/>
            <w:shd w:fill="CCEEFF" w:val="clear"/>
            <w:vAlign w:val="center"/>
          </w:tcPr>
          <w:p>
            <w:pPr>
              <w:pStyle w:val="TableContents"/>
              <w:bidi w:val="0"/>
              <w:spacing w:before="0" w:after="0"/>
              <w:jc w:val="left"/>
              <w:rPr>
                <w:spacing w:val="0"/>
              </w:rPr>
            </w:pPr>
            <w:r>
              <w:rPr>
                <w:spacing w:val="0"/>
              </w:rPr>
              <w:t> </w:t>
            </w:r>
          </w:p>
        </w:tc>
        <w:tc>
          <w:tcPr>
            <w:tcW w:w="1156" w:type="dxa"/>
            <w:tcBorders/>
            <w:shd w:fill="CCEEFF" w:val="clear"/>
            <w:vAlign w:val="center"/>
          </w:tcPr>
          <w:p>
            <w:pPr>
              <w:pStyle w:val="TableContents"/>
              <w:bidi w:val="0"/>
              <w:spacing w:before="0" w:after="0"/>
              <w:jc w:val="right"/>
              <w:rPr>
                <w:spacing w:val="0"/>
              </w:rPr>
            </w:pPr>
            <w:r>
              <w:rPr>
                <w:spacing w:val="0"/>
              </w:rPr>
              <w:t>(25,864</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1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4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0"/>
              <w:jc w:val="left"/>
              <w:rPr>
                <w:spacing w:val="0"/>
              </w:rPr>
            </w:pPr>
            <w:r>
              <w:rPr>
                <w:spacing w:val="0"/>
              </w:rPr>
              <w:t> </w:t>
            </w:r>
          </w:p>
        </w:tc>
      </w:tr>
      <w:tr>
        <w:trPr/>
        <w:tc>
          <w:tcPr>
            <w:tcW w:w="11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Balances at June 30, 2026</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207,952,902</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w:t>
            </w:r>
          </w:p>
        </w:tc>
        <w:tc>
          <w:tcPr>
            <w:tcW w:w="800" w:type="dxa"/>
            <w:tcBorders/>
            <w:vAlign w:val="center"/>
          </w:tcPr>
          <w:p>
            <w:pPr>
              <w:pStyle w:val="TableContents"/>
              <w:bidi w:val="0"/>
              <w:spacing w:before="0" w:after="0"/>
              <w:jc w:val="right"/>
              <w:rPr>
                <w:spacing w:val="0"/>
              </w:rPr>
            </w:pPr>
            <w:r>
              <w:rPr>
                <w:spacing w:val="0"/>
              </w:rPr>
              <w:t>330,028</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00" w:type="dxa"/>
            <w:tcBorders/>
            <w:vAlign w:val="center"/>
          </w:tcPr>
          <w:p>
            <w:pPr>
              <w:pStyle w:val="TableContents"/>
              <w:bidi w:val="0"/>
              <w:spacing w:before="0" w:after="0"/>
              <w:jc w:val="right"/>
              <w:rPr>
                <w:spacing w:val="0"/>
              </w:rPr>
            </w:pPr>
            <w:r>
              <w:rPr>
                <w:spacing w:val="0"/>
              </w:rPr>
              <w:t>22,188,335</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rPr>
            </w:pPr>
            <w:r>
              <w:rPr>
                <w:spacing w:val="0"/>
              </w:rPr>
              <w:t>$</w:t>
            </w:r>
          </w:p>
        </w:tc>
        <w:tc>
          <w:tcPr>
            <w:tcW w:w="559" w:type="dxa"/>
            <w:tcBorders/>
            <w:vAlign w:val="center"/>
          </w:tcPr>
          <w:p>
            <w:pPr>
              <w:pStyle w:val="TableContents"/>
              <w:bidi w:val="0"/>
              <w:spacing w:before="0" w:after="0"/>
              <w:jc w:val="right"/>
              <w:rPr>
                <w:spacing w:val="0"/>
              </w:rPr>
            </w:pPr>
            <w:r>
              <w:rPr>
                <w:spacing w:val="0"/>
              </w:rPr>
              <w:t>2</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7" w:type="dxa"/>
            <w:tcBorders/>
            <w:vAlign w:val="center"/>
          </w:tcPr>
          <w:p>
            <w:pPr>
              <w:pStyle w:val="TableContents"/>
              <w:bidi w:val="0"/>
              <w:spacing w:before="0" w:after="0"/>
              <w:jc w:val="left"/>
              <w:rPr>
                <w:spacing w:val="0"/>
              </w:rPr>
            </w:pPr>
            <w:r>
              <w:rPr>
                <w:spacing w:val="0"/>
              </w:rPr>
              <w:t>$</w:t>
            </w:r>
          </w:p>
        </w:tc>
        <w:tc>
          <w:tcPr>
            <w:tcW w:w="913" w:type="dxa"/>
            <w:tcBorders/>
            <w:vAlign w:val="center"/>
          </w:tcPr>
          <w:p>
            <w:pPr>
              <w:pStyle w:val="TableContents"/>
              <w:bidi w:val="0"/>
              <w:spacing w:before="0" w:after="0"/>
              <w:jc w:val="right"/>
              <w:rPr>
                <w:spacing w:val="0"/>
              </w:rPr>
            </w:pPr>
            <w:r>
              <w:rPr>
                <w:spacing w:val="0"/>
              </w:rPr>
              <w:t>41,722</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474" w:type="dxa"/>
            <w:tcBorders/>
            <w:vAlign w:val="center"/>
          </w:tcPr>
          <w:p>
            <w:pPr>
              <w:pStyle w:val="TableContents"/>
              <w:bidi w:val="0"/>
              <w:spacing w:before="0" w:after="0"/>
              <w:jc w:val="left"/>
              <w:rPr>
                <w:spacing w:val="0"/>
              </w:rPr>
            </w:pPr>
            <w:r>
              <w:rPr>
                <w:spacing w:val="0"/>
              </w:rPr>
              <w:t>$</w:t>
            </w:r>
          </w:p>
        </w:tc>
        <w:tc>
          <w:tcPr>
            <w:tcW w:w="1136" w:type="dxa"/>
            <w:tcBorders/>
            <w:vAlign w:val="center"/>
          </w:tcPr>
          <w:p>
            <w:pPr>
              <w:pStyle w:val="TableContents"/>
              <w:bidi w:val="0"/>
              <w:spacing w:before="0" w:after="0"/>
              <w:jc w:val="right"/>
              <w:rPr>
                <w:spacing w:val="0"/>
              </w:rPr>
            </w:pPr>
            <w:r>
              <w:rPr>
                <w:spacing w:val="0"/>
              </w:rPr>
              <w:t>(3</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rPr>
            </w:pPr>
            <w:r>
              <w:rPr>
                <w:spacing w:val="0"/>
              </w:rPr>
              <w:t>$</w:t>
            </w:r>
          </w:p>
        </w:tc>
        <w:tc>
          <w:tcPr>
            <w:tcW w:w="1182" w:type="dxa"/>
            <w:tcBorders/>
            <w:vAlign w:val="center"/>
          </w:tcPr>
          <w:p>
            <w:pPr>
              <w:pStyle w:val="TableContents"/>
              <w:bidi w:val="0"/>
              <w:spacing w:before="0" w:after="0"/>
              <w:jc w:val="right"/>
              <w:rPr>
                <w:spacing w:val="0"/>
              </w:rPr>
            </w:pPr>
            <w:r>
              <w:rPr>
                <w:spacing w:val="0"/>
              </w:rPr>
              <w:t>(341,432</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4" w:type="dxa"/>
            <w:tcBorders/>
            <w:vAlign w:val="center"/>
          </w:tcPr>
          <w:p>
            <w:pPr>
              <w:pStyle w:val="TableContents"/>
              <w:bidi w:val="0"/>
              <w:spacing w:before="0" w:after="0"/>
              <w:jc w:val="left"/>
              <w:rPr>
                <w:spacing w:val="0"/>
              </w:rPr>
            </w:pPr>
            <w:r>
              <w:rPr>
                <w:spacing w:val="0"/>
              </w:rPr>
              <w:t>$</w:t>
            </w:r>
          </w:p>
        </w:tc>
        <w:tc>
          <w:tcPr>
            <w:tcW w:w="1156" w:type="dxa"/>
            <w:tcBorders/>
            <w:vAlign w:val="center"/>
          </w:tcPr>
          <w:p>
            <w:pPr>
              <w:pStyle w:val="TableContents"/>
              <w:bidi w:val="0"/>
              <w:spacing w:before="0" w:after="0"/>
              <w:jc w:val="right"/>
              <w:rPr>
                <w:spacing w:val="0"/>
              </w:rPr>
            </w:pPr>
            <w:r>
              <w:rPr>
                <w:spacing w:val="0"/>
              </w:rPr>
              <w:t>(299,711</w:t>
            </w:r>
          </w:p>
        </w:tc>
        <w:tc>
          <w:tcPr>
            <w:tcW w:w="170" w:type="dxa"/>
            <w:tcBorders/>
            <w:vAlign w:val="center"/>
          </w:tcPr>
          <w:p>
            <w:pPr>
              <w:pStyle w:val="TableContents"/>
              <w:bidi w:val="0"/>
              <w:spacing w:before="0" w:after="0"/>
              <w:jc w:val="left"/>
              <w:rPr>
                <w:spacing w:val="0"/>
              </w:rPr>
            </w:pPr>
            <w:r>
              <w:rPr>
                <w:spacing w:val="0"/>
              </w:rPr>
              <w:t>) </w:t>
            </w:r>
          </w:p>
        </w:tc>
      </w:tr>
      <w:tr>
        <w:trPr/>
        <w:tc>
          <w:tcPr>
            <w:tcW w:w="1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4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0"/>
              <w:jc w:val="left"/>
              <w:rPr>
                <w:spacing w:val="0"/>
              </w:rPr>
            </w:pPr>
            <w:r>
              <w:rPr>
                <w:spacing w:val="0"/>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z w:val="20"/>
        </w:rPr>
      </w:pPr>
      <w:r>
        <w:rPr>
          <w:rFonts w:ascii="Times New Roman" w:hAnsi="Times New Roman"/>
          <w:sz w:val="20"/>
        </w:rPr>
        <w:t xml:space="preserve">F-32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2095" w:type="dxa"/>
        <w:jc w:val="left"/>
        <w:tblInd w:w="0" w:type="dxa"/>
        <w:tblLayout w:type="fixed"/>
        <w:tblCellMar>
          <w:top w:w="0" w:type="dxa"/>
          <w:left w:w="0" w:type="dxa"/>
          <w:bottom w:w="0" w:type="dxa"/>
          <w:right w:w="0" w:type="dxa"/>
        </w:tblCellMar>
      </w:tblPr>
      <w:tblGrid>
        <w:gridCol w:w="1175"/>
        <w:gridCol w:w="60"/>
        <w:gridCol w:w="60"/>
        <w:gridCol w:w="1220"/>
        <w:gridCol w:w="60"/>
        <w:gridCol w:w="60"/>
        <w:gridCol w:w="140"/>
        <w:gridCol w:w="800"/>
        <w:gridCol w:w="60"/>
        <w:gridCol w:w="60"/>
        <w:gridCol w:w="60"/>
        <w:gridCol w:w="1100"/>
        <w:gridCol w:w="60"/>
        <w:gridCol w:w="60"/>
        <w:gridCol w:w="301"/>
        <w:gridCol w:w="559"/>
        <w:gridCol w:w="60"/>
        <w:gridCol w:w="60"/>
        <w:gridCol w:w="187"/>
        <w:gridCol w:w="913"/>
        <w:gridCol w:w="60"/>
        <w:gridCol w:w="60"/>
        <w:gridCol w:w="474"/>
        <w:gridCol w:w="1136"/>
        <w:gridCol w:w="155"/>
        <w:gridCol w:w="60"/>
        <w:gridCol w:w="188"/>
        <w:gridCol w:w="1182"/>
        <w:gridCol w:w="155"/>
        <w:gridCol w:w="60"/>
        <w:gridCol w:w="184"/>
        <w:gridCol w:w="1156"/>
        <w:gridCol w:w="170"/>
      </w:tblGrid>
      <w:tr>
        <w:trPr/>
        <w:tc>
          <w:tcPr>
            <w:tcW w:w="117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301" w:type="dxa"/>
            <w:tcBorders/>
            <w:vAlign w:val="center"/>
          </w:tcPr>
          <w:p>
            <w:pPr>
              <w:pStyle w:val="TableContents"/>
              <w:bidi w:val="0"/>
              <w:spacing w:before="0" w:after="0"/>
              <w:jc w:val="left"/>
              <w:rPr/>
            </w:pPr>
            <w:r>
              <w:rPr/>
              <w:t> </w:t>
            </w:r>
          </w:p>
        </w:tc>
        <w:tc>
          <w:tcPr>
            <w:tcW w:w="559"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87" w:type="dxa"/>
            <w:tcBorders/>
            <w:vAlign w:val="center"/>
          </w:tcPr>
          <w:p>
            <w:pPr>
              <w:pStyle w:val="TableContents"/>
              <w:bidi w:val="0"/>
              <w:spacing w:before="0" w:after="0"/>
              <w:jc w:val="left"/>
              <w:rPr/>
            </w:pPr>
            <w:r>
              <w:rPr/>
              <w:t> </w:t>
            </w:r>
          </w:p>
        </w:tc>
        <w:tc>
          <w:tcPr>
            <w:tcW w:w="913"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474"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88" w:type="dxa"/>
            <w:tcBorders/>
            <w:vAlign w:val="center"/>
          </w:tcPr>
          <w:p>
            <w:pPr>
              <w:pStyle w:val="TableContents"/>
              <w:bidi w:val="0"/>
              <w:spacing w:before="0" w:after="0"/>
              <w:jc w:val="left"/>
              <w:rPr/>
            </w:pPr>
            <w:r>
              <w:rPr/>
              <w:t> </w:t>
            </w:r>
          </w:p>
        </w:tc>
        <w:tc>
          <w:tcPr>
            <w:tcW w:w="1182"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115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r>
      <w:tr>
        <w:trPr/>
        <w:tc>
          <w:tcPr>
            <w:tcW w:w="1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0" w:type="dxa"/>
            <w:gridSpan w:val="6"/>
            <w:tcBorders>
              <w:bottom w:val="single" w:sz="8" w:space="0" w:color="000000"/>
            </w:tcBorders>
            <w:tcMar>
              <w:bottom w:w="28" w:type="dxa"/>
            </w:tcMar>
            <w:vAlign w:val="center"/>
          </w:tcPr>
          <w:p>
            <w:pPr>
              <w:pStyle w:val="TableContents"/>
              <w:bidi w:val="0"/>
              <w:spacing w:before="0" w:after="0"/>
              <w:jc w:val="center"/>
              <w:rPr>
                <w:b/>
              </w:rPr>
            </w:pPr>
            <w:r>
              <w:rPr>
                <w:b/>
              </w:rPr>
              <w:t>Redeemable Convertible</w:t>
              <w:b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0"/>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center"/>
          </w:tcPr>
          <w:p>
            <w:pPr>
              <w:pStyle w:val="TableContents"/>
              <w:bidi w:val="0"/>
              <w:spacing w:before="0" w:after="0"/>
              <w:jc w:val="center"/>
              <w:rPr>
                <w:b/>
              </w:rPr>
            </w:pPr>
            <w:r>
              <w:rPr>
                <w:b/>
              </w:rPr>
              <w:t>Additional</w:t>
              <w:br/>
              <w:t>Paid in</w:t>
            </w:r>
          </w:p>
          <w:p>
            <w:pPr>
              <w:pStyle w:val="TableContents"/>
              <w:bidi w:val="0"/>
              <w:spacing w:before="0" w:after="0"/>
              <w:jc w:val="center"/>
              <w:rPr/>
            </w:pPr>
            <w:r>
              <w:rPr/>
            </w:r>
          </w:p>
          <w:p>
            <w:pPr>
              <w:pStyle w:val="TableContents"/>
              <w:bidi w:val="0"/>
              <w:spacing w:before="0" w:after="0"/>
              <w:jc w:val="center"/>
              <w:rPr>
                <w:b/>
              </w:rPr>
            </w:pPr>
            <w:r>
              <w:rPr>
                <w:b/>
              </w:rPr>
              <w:t>Capital</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610" w:type="dxa"/>
            <w:gridSpan w:val="2"/>
            <w:vMerge w:val="restart"/>
            <w:tcBorders>
              <w:bottom w:val="single" w:sz="8" w:space="0" w:color="000000"/>
            </w:tcBorders>
            <w:tcMar>
              <w:bottom w:w="28" w:type="dxa"/>
            </w:tcMar>
            <w:vAlign w:val="center"/>
          </w:tcPr>
          <w:p>
            <w:pPr>
              <w:pStyle w:val="TableContents"/>
              <w:bidi w:val="0"/>
              <w:spacing w:before="0" w:after="0"/>
              <w:jc w:val="center"/>
              <w:rPr>
                <w:b/>
              </w:rPr>
            </w:pPr>
            <w:r>
              <w:rPr>
                <w:b/>
              </w:rPr>
              <w:t>Accumulated</w:t>
              <w:br/>
              <w:t>Other</w:t>
              <w:br/>
              <w:t>Comprehensive</w:t>
            </w:r>
          </w:p>
          <w:p>
            <w:pPr>
              <w:pStyle w:val="TableContents"/>
              <w:bidi w:val="0"/>
              <w:spacing w:before="0" w:after="0"/>
              <w:jc w:val="center"/>
              <w:rPr/>
            </w:pPr>
            <w:r>
              <w:rPr/>
            </w:r>
          </w:p>
          <w:p>
            <w:pPr>
              <w:pStyle w:val="TableContents"/>
              <w:bidi w:val="0"/>
              <w:spacing w:before="0" w:after="0"/>
              <w:jc w:val="center"/>
              <w:rPr>
                <w:b/>
              </w:rPr>
            </w:pPr>
            <w:r>
              <w:rPr>
                <w:b/>
              </w:rPr>
              <w:t>Income (Loss)</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center"/>
          </w:tcPr>
          <w:p>
            <w:pPr>
              <w:pStyle w:val="TableContents"/>
              <w:bidi w:val="0"/>
              <w:spacing w:before="0" w:after="0"/>
              <w:jc w:val="center"/>
              <w:rPr>
                <w:b/>
              </w:rPr>
            </w:pPr>
            <w:r>
              <w:rPr>
                <w:b/>
              </w:rPr>
              <w:t>Accumulated</w:t>
            </w:r>
          </w:p>
          <w:p>
            <w:pPr>
              <w:pStyle w:val="TableContents"/>
              <w:bidi w:val="0"/>
              <w:spacing w:before="0" w:after="0"/>
              <w:jc w:val="center"/>
              <w:rPr/>
            </w:pPr>
            <w:r>
              <w:rPr/>
            </w:r>
          </w:p>
          <w:p>
            <w:pPr>
              <w:pStyle w:val="TableContents"/>
              <w:bidi w:val="0"/>
              <w:spacing w:before="0" w:after="0"/>
              <w:jc w:val="center"/>
              <w:rPr>
                <w:b/>
              </w:rPr>
            </w:pPr>
            <w:r>
              <w:rPr>
                <w:b/>
              </w:rPr>
              <w:t>Deficit</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40" w:type="dxa"/>
            <w:gridSpan w:val="2"/>
            <w:vMerge w:val="restart"/>
            <w:tcBorders>
              <w:bottom w:val="single" w:sz="8" w:space="0" w:color="000000"/>
            </w:tcBorders>
            <w:tcMar>
              <w:bottom w:w="28" w:type="dxa"/>
            </w:tcMar>
            <w:vAlign w:val="center"/>
          </w:tcPr>
          <w:p>
            <w:pPr>
              <w:pStyle w:val="TableContents"/>
              <w:bidi w:val="0"/>
              <w:spacing w:before="0" w:after="0"/>
              <w:jc w:val="center"/>
              <w:rPr>
                <w:b/>
              </w:rPr>
            </w:pPr>
            <w:r>
              <w:rPr>
                <w:b/>
              </w:rPr>
              <w:t>Total</w:t>
              <w:br/>
              <w:t>Stockholders’</w:t>
            </w:r>
          </w:p>
          <w:p>
            <w:pPr>
              <w:pStyle w:val="TableContents"/>
              <w:bidi w:val="0"/>
              <w:spacing w:before="0" w:after="0"/>
              <w:jc w:val="center"/>
              <w:rPr/>
            </w:pPr>
            <w:r>
              <w:rPr/>
            </w:r>
          </w:p>
          <w:p>
            <w:pPr>
              <w:pStyle w:val="TableContents"/>
              <w:bidi w:val="0"/>
              <w:spacing w:before="0" w:after="0"/>
              <w:jc w:val="center"/>
              <w:rPr>
                <w:b/>
              </w:rPr>
            </w:pPr>
            <w:r>
              <w:rPr>
                <w:b/>
              </w:rPr>
              <w:t>Deficit</w:t>
            </w:r>
          </w:p>
        </w:tc>
        <w:tc>
          <w:tcPr>
            <w:tcW w:w="170" w:type="dxa"/>
            <w:vMerge w:val="restart"/>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80" w:type="dxa"/>
            <w:gridSpan w:val="2"/>
            <w:tcBorders/>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940" w:type="dxa"/>
            <w:gridSpan w:val="2"/>
            <w:tcBorders/>
            <w:vAlign w:val="center"/>
          </w:tcPr>
          <w:p>
            <w:pPr>
              <w:pStyle w:val="TableContents"/>
              <w:bidi w:val="0"/>
              <w:spacing w:before="0" w:after="0"/>
              <w:jc w:val="center"/>
              <w:rPr>
                <w:b/>
                <w:spacing w:val="0"/>
              </w:rPr>
            </w:pPr>
            <w:r>
              <w:rPr>
                <w:b/>
                <w:spacing w:val="0"/>
              </w:rPr>
              <w:t>Amount</w:t>
            </w:r>
          </w:p>
        </w:tc>
        <w:tc>
          <w:tcPr>
            <w:tcW w:w="60" w:type="dxa"/>
            <w:tcBorders>
              <w:right w:val="single" w:sz="6" w:space="0" w:color="000000"/>
            </w:tcBorders>
            <w:tcMar>
              <w:right w:w="28" w:type="dxa"/>
            </w:tcMar>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60" w:type="dxa"/>
            <w:gridSpan w:val="2"/>
            <w:tcBorders/>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0"/>
              <w:jc w:val="left"/>
              <w:rPr>
                <w:spacing w:val="0"/>
              </w:rPr>
            </w:pPr>
            <w:r>
              <w:rPr>
                <w:spacing w:val="0"/>
              </w:rPr>
              <w:t> </w:t>
            </w:r>
          </w:p>
        </w:tc>
        <w:tc>
          <w:tcPr>
            <w:tcW w:w="60" w:type="dxa"/>
            <w:vMerge w:val="continue"/>
            <w:tcBorders/>
            <w:vAlign w:val="center"/>
          </w:tcPr>
          <w:p>
            <w:pPr>
              <w:pStyle w:val="Normal"/>
              <w:bidi w:val="0"/>
              <w:jc w:val="left"/>
              <w:rPr/>
            </w:pPr>
            <w:r>
              <w:rPr/>
            </w:r>
          </w:p>
        </w:tc>
        <w:tc>
          <w:tcPr>
            <w:tcW w:w="110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610" w:type="dxa"/>
            <w:gridSpan w:val="2"/>
            <w:vMerge w:val="continue"/>
            <w:tcBorders/>
            <w:vAlign w:val="center"/>
          </w:tcPr>
          <w:p>
            <w:pPr>
              <w:pStyle w:val="Normal"/>
              <w:bidi w:val="0"/>
              <w:jc w:val="left"/>
              <w:rPr/>
            </w:pPr>
            <w:r>
              <w:rPr/>
            </w:r>
          </w:p>
        </w:tc>
        <w:tc>
          <w:tcPr>
            <w:tcW w:w="155" w:type="dxa"/>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37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340" w:type="dxa"/>
            <w:gridSpan w:val="2"/>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11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Balances at December 31, 2024</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215,038,192</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w:t>
            </w:r>
          </w:p>
        </w:tc>
        <w:tc>
          <w:tcPr>
            <w:tcW w:w="800" w:type="dxa"/>
            <w:tcBorders/>
            <w:shd w:fill="CCEEFF" w:val="clear"/>
            <w:vAlign w:val="center"/>
          </w:tcPr>
          <w:p>
            <w:pPr>
              <w:pStyle w:val="TableContents"/>
              <w:bidi w:val="0"/>
              <w:spacing w:before="0" w:after="0"/>
              <w:jc w:val="right"/>
              <w:rPr>
                <w:spacing w:val="0"/>
              </w:rPr>
            </w:pPr>
            <w:r>
              <w:rPr>
                <w:spacing w:val="0"/>
              </w:rPr>
              <w:t>338,028</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00" w:type="dxa"/>
            <w:tcBorders/>
            <w:shd w:fill="CCEEFF" w:val="clear"/>
            <w:vAlign w:val="center"/>
          </w:tcPr>
          <w:p>
            <w:pPr>
              <w:pStyle w:val="TableContents"/>
              <w:bidi w:val="0"/>
              <w:spacing w:before="0" w:after="0"/>
              <w:jc w:val="right"/>
              <w:rPr>
                <w:spacing w:val="0"/>
              </w:rPr>
            </w:pPr>
            <w:r>
              <w:rPr>
                <w:spacing w:val="0"/>
              </w:rPr>
              <w:t>13,921,755</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w:t>
            </w:r>
          </w:p>
        </w:tc>
        <w:tc>
          <w:tcPr>
            <w:tcW w:w="559" w:type="dxa"/>
            <w:tcBorders/>
            <w:shd w:fill="CCEEFF" w:val="clear"/>
            <w:vAlign w:val="center"/>
          </w:tcPr>
          <w:p>
            <w:pPr>
              <w:pStyle w:val="TableContents"/>
              <w:bidi w:val="0"/>
              <w:spacing w:before="0" w:after="0"/>
              <w:jc w:val="right"/>
              <w:rPr>
                <w:spacing w:val="0"/>
              </w:rPr>
            </w:pPr>
            <w:r>
              <w:rPr>
                <w:spacing w:val="0"/>
              </w:rPr>
              <w:t>1</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7" w:type="dxa"/>
            <w:tcBorders/>
            <w:shd w:fill="CCEEFF" w:val="clear"/>
            <w:vAlign w:val="center"/>
          </w:tcPr>
          <w:p>
            <w:pPr>
              <w:pStyle w:val="TableContents"/>
              <w:bidi w:val="0"/>
              <w:spacing w:before="0" w:after="0"/>
              <w:jc w:val="left"/>
              <w:rPr>
                <w:spacing w:val="0"/>
              </w:rPr>
            </w:pPr>
            <w:r>
              <w:rPr>
                <w:spacing w:val="0"/>
              </w:rPr>
              <w:t>$</w:t>
            </w:r>
          </w:p>
        </w:tc>
        <w:tc>
          <w:tcPr>
            <w:tcW w:w="913" w:type="dxa"/>
            <w:tcBorders/>
            <w:shd w:fill="CCEEFF" w:val="clear"/>
            <w:vAlign w:val="center"/>
          </w:tcPr>
          <w:p>
            <w:pPr>
              <w:pStyle w:val="TableContents"/>
              <w:bidi w:val="0"/>
              <w:spacing w:before="0" w:after="0"/>
              <w:jc w:val="right"/>
              <w:rPr>
                <w:spacing w:val="0"/>
              </w:rPr>
            </w:pPr>
            <w:r>
              <w:rPr>
                <w:spacing w:val="0"/>
              </w:rPr>
              <w:t>20,923</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474" w:type="dxa"/>
            <w:tcBorders/>
            <w:shd w:fill="CCEEFF" w:val="clear"/>
            <w:vAlign w:val="center"/>
          </w:tcPr>
          <w:p>
            <w:pPr>
              <w:pStyle w:val="TableContents"/>
              <w:bidi w:val="0"/>
              <w:spacing w:before="0" w:after="0"/>
              <w:jc w:val="left"/>
              <w:rPr>
                <w:spacing w:val="0"/>
              </w:rPr>
            </w:pPr>
            <w:r>
              <w:rPr>
                <w:spacing w:val="0"/>
              </w:rPr>
              <w:t>$</w:t>
            </w:r>
          </w:p>
        </w:tc>
        <w:tc>
          <w:tcPr>
            <w:tcW w:w="1136" w:type="dxa"/>
            <w:tcBorders/>
            <w:shd w:fill="CCEEFF" w:val="clear"/>
            <w:vAlign w:val="center"/>
          </w:tcPr>
          <w:p>
            <w:pPr>
              <w:pStyle w:val="TableContents"/>
              <w:bidi w:val="0"/>
              <w:spacing w:before="0" w:after="0"/>
              <w:jc w:val="right"/>
              <w:rPr>
                <w:spacing w:val="0"/>
              </w:rPr>
            </w:pPr>
            <w:r>
              <w:rPr>
                <w:spacing w:val="0"/>
              </w:rPr>
              <w:t>(27</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8" w:type="dxa"/>
            <w:tcBorders/>
            <w:shd w:fill="CCEEFF" w:val="clear"/>
            <w:vAlign w:val="center"/>
          </w:tcPr>
          <w:p>
            <w:pPr>
              <w:pStyle w:val="TableContents"/>
              <w:bidi w:val="0"/>
              <w:spacing w:before="0" w:after="0"/>
              <w:jc w:val="left"/>
              <w:rPr>
                <w:spacing w:val="0"/>
              </w:rPr>
            </w:pPr>
            <w:r>
              <w:rPr>
                <w:spacing w:val="0"/>
              </w:rPr>
              <w:t>$</w:t>
            </w:r>
          </w:p>
        </w:tc>
        <w:tc>
          <w:tcPr>
            <w:tcW w:w="1182" w:type="dxa"/>
            <w:tcBorders/>
            <w:shd w:fill="CCEEFF" w:val="clear"/>
            <w:vAlign w:val="center"/>
          </w:tcPr>
          <w:p>
            <w:pPr>
              <w:pStyle w:val="TableContents"/>
              <w:bidi w:val="0"/>
              <w:spacing w:before="0" w:after="0"/>
              <w:jc w:val="right"/>
              <w:rPr>
                <w:spacing w:val="0"/>
              </w:rPr>
            </w:pPr>
            <w:r>
              <w:rPr>
                <w:spacing w:val="0"/>
              </w:rPr>
              <w:t>(195,328</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4" w:type="dxa"/>
            <w:tcBorders/>
            <w:shd w:fill="CCEEFF" w:val="clear"/>
            <w:vAlign w:val="center"/>
          </w:tcPr>
          <w:p>
            <w:pPr>
              <w:pStyle w:val="TableContents"/>
              <w:bidi w:val="0"/>
              <w:spacing w:before="0" w:after="0"/>
              <w:jc w:val="left"/>
              <w:rPr>
                <w:spacing w:val="0"/>
              </w:rPr>
            </w:pPr>
            <w:r>
              <w:rPr>
                <w:spacing w:val="0"/>
              </w:rPr>
              <w:t>$</w:t>
            </w:r>
          </w:p>
        </w:tc>
        <w:tc>
          <w:tcPr>
            <w:tcW w:w="1156" w:type="dxa"/>
            <w:tcBorders/>
            <w:shd w:fill="CCEEFF" w:val="clear"/>
            <w:vAlign w:val="center"/>
          </w:tcPr>
          <w:p>
            <w:pPr>
              <w:pStyle w:val="TableContents"/>
              <w:bidi w:val="0"/>
              <w:spacing w:before="0" w:after="0"/>
              <w:jc w:val="right"/>
              <w:rPr>
                <w:spacing w:val="0"/>
              </w:rPr>
            </w:pPr>
            <w:r>
              <w:rPr>
                <w:spacing w:val="0"/>
              </w:rPr>
              <w:t>(174,431</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11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Issuance of common stock upon exercise of stock options</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00" w:type="dxa"/>
            <w:tcBorders/>
            <w:vAlign w:val="center"/>
          </w:tcPr>
          <w:p>
            <w:pPr>
              <w:pStyle w:val="TableContents"/>
              <w:bidi w:val="0"/>
              <w:spacing w:before="0" w:after="0"/>
              <w:jc w:val="right"/>
              <w:rPr>
                <w:spacing w:val="0"/>
              </w:rPr>
            </w:pPr>
            <w:r>
              <w:rPr>
                <w:spacing w:val="0"/>
              </w:rPr>
              <w:t>17,611</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rPr>
            </w:pPr>
            <w:r>
              <w:rPr>
                <w:spacing w:val="0"/>
              </w:rPr>
              <w:t> </w:t>
            </w:r>
          </w:p>
        </w:tc>
        <w:tc>
          <w:tcPr>
            <w:tcW w:w="559"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7" w:type="dxa"/>
            <w:tcBorders/>
            <w:vAlign w:val="center"/>
          </w:tcPr>
          <w:p>
            <w:pPr>
              <w:pStyle w:val="TableContents"/>
              <w:bidi w:val="0"/>
              <w:spacing w:before="0" w:after="0"/>
              <w:jc w:val="left"/>
              <w:rPr>
                <w:spacing w:val="0"/>
              </w:rPr>
            </w:pPr>
            <w:r>
              <w:rPr>
                <w:spacing w:val="0"/>
              </w:rPr>
              <w:t> </w:t>
            </w:r>
          </w:p>
        </w:tc>
        <w:tc>
          <w:tcPr>
            <w:tcW w:w="913" w:type="dxa"/>
            <w:tcBorders/>
            <w:vAlign w:val="center"/>
          </w:tcPr>
          <w:p>
            <w:pPr>
              <w:pStyle w:val="TableContents"/>
              <w:bidi w:val="0"/>
              <w:spacing w:before="0" w:after="0"/>
              <w:jc w:val="right"/>
              <w:rPr>
                <w:spacing w:val="0"/>
              </w:rPr>
            </w:pPr>
            <w:r>
              <w:rPr>
                <w:spacing w:val="0"/>
              </w:rPr>
              <w:t>6</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474" w:type="dxa"/>
            <w:tcBorders/>
            <w:vAlign w:val="center"/>
          </w:tcPr>
          <w:p>
            <w:pPr>
              <w:pStyle w:val="TableContents"/>
              <w:bidi w:val="0"/>
              <w:spacing w:before="0" w:after="0"/>
              <w:jc w:val="left"/>
              <w:rPr>
                <w:spacing w:val="0"/>
              </w:rPr>
            </w:pPr>
            <w:r>
              <w:rPr>
                <w:spacing w:val="0"/>
              </w:rPr>
              <w:t> </w:t>
            </w:r>
          </w:p>
        </w:tc>
        <w:tc>
          <w:tcPr>
            <w:tcW w:w="1136"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rPr>
            </w:pPr>
            <w:r>
              <w:rPr>
                <w:spacing w:val="0"/>
              </w:rPr>
              <w:t> </w:t>
            </w:r>
          </w:p>
        </w:tc>
        <w:tc>
          <w:tcPr>
            <w:tcW w:w="1182"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4" w:type="dxa"/>
            <w:tcBorders/>
            <w:vAlign w:val="center"/>
          </w:tcPr>
          <w:p>
            <w:pPr>
              <w:pStyle w:val="TableContents"/>
              <w:bidi w:val="0"/>
              <w:spacing w:before="0" w:after="0"/>
              <w:jc w:val="left"/>
              <w:rPr>
                <w:spacing w:val="0"/>
              </w:rPr>
            </w:pPr>
            <w:r>
              <w:rPr>
                <w:spacing w:val="0"/>
              </w:rPr>
              <w:t> </w:t>
            </w:r>
          </w:p>
        </w:tc>
        <w:tc>
          <w:tcPr>
            <w:tcW w:w="1156" w:type="dxa"/>
            <w:tcBorders/>
            <w:vAlign w:val="center"/>
          </w:tcPr>
          <w:p>
            <w:pPr>
              <w:pStyle w:val="TableContents"/>
              <w:bidi w:val="0"/>
              <w:spacing w:before="0" w:after="0"/>
              <w:jc w:val="right"/>
              <w:rPr>
                <w:spacing w:val="0"/>
              </w:rPr>
            </w:pPr>
            <w:r>
              <w:rPr>
                <w:spacing w:val="0"/>
              </w:rPr>
              <w:t>6</w:t>
            </w:r>
          </w:p>
        </w:tc>
        <w:tc>
          <w:tcPr>
            <w:tcW w:w="170" w:type="dxa"/>
            <w:tcBorders/>
            <w:vAlign w:val="center"/>
          </w:tcPr>
          <w:p>
            <w:pPr>
              <w:pStyle w:val="TableContents"/>
              <w:bidi w:val="0"/>
              <w:spacing w:before="0" w:after="0"/>
              <w:jc w:val="left"/>
              <w:rPr>
                <w:spacing w:val="0"/>
              </w:rPr>
            </w:pPr>
            <w:r>
              <w:rPr>
                <w:spacing w:val="0"/>
              </w:rPr>
              <w:t> </w:t>
            </w:r>
          </w:p>
        </w:tc>
      </w:tr>
      <w:tr>
        <w:trPr/>
        <w:tc>
          <w:tcPr>
            <w:tcW w:w="11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Stock-based compensation</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00"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 </w:t>
            </w:r>
          </w:p>
        </w:tc>
        <w:tc>
          <w:tcPr>
            <w:tcW w:w="559"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7" w:type="dxa"/>
            <w:tcBorders/>
            <w:shd w:fill="CCEEFF" w:val="clear"/>
            <w:vAlign w:val="center"/>
          </w:tcPr>
          <w:p>
            <w:pPr>
              <w:pStyle w:val="TableContents"/>
              <w:bidi w:val="0"/>
              <w:spacing w:before="0" w:after="0"/>
              <w:jc w:val="left"/>
              <w:rPr>
                <w:spacing w:val="0"/>
              </w:rPr>
            </w:pPr>
            <w:r>
              <w:rPr>
                <w:spacing w:val="0"/>
              </w:rPr>
              <w:t> </w:t>
            </w:r>
          </w:p>
        </w:tc>
        <w:tc>
          <w:tcPr>
            <w:tcW w:w="913" w:type="dxa"/>
            <w:tcBorders/>
            <w:shd w:fill="CCEEFF" w:val="clear"/>
            <w:vAlign w:val="center"/>
          </w:tcPr>
          <w:p>
            <w:pPr>
              <w:pStyle w:val="TableContents"/>
              <w:bidi w:val="0"/>
              <w:spacing w:before="0" w:after="0"/>
              <w:jc w:val="right"/>
              <w:rPr>
                <w:spacing w:val="0"/>
              </w:rPr>
            </w:pPr>
            <w:r>
              <w:rPr>
                <w:spacing w:val="0"/>
              </w:rPr>
              <w:t>2,110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474" w:type="dxa"/>
            <w:tcBorders/>
            <w:shd w:fill="CCEEFF" w:val="clear"/>
            <w:vAlign w:val="center"/>
          </w:tcPr>
          <w:p>
            <w:pPr>
              <w:pStyle w:val="TableContents"/>
              <w:bidi w:val="0"/>
              <w:spacing w:before="0" w:after="0"/>
              <w:jc w:val="left"/>
              <w:rPr>
                <w:spacing w:val="0"/>
              </w:rPr>
            </w:pPr>
            <w:r>
              <w:rPr>
                <w:spacing w:val="0"/>
              </w:rPr>
              <w:t> </w:t>
            </w:r>
          </w:p>
        </w:tc>
        <w:tc>
          <w:tcPr>
            <w:tcW w:w="1136"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8" w:type="dxa"/>
            <w:tcBorders/>
            <w:shd w:fill="CCEEFF" w:val="clear"/>
            <w:vAlign w:val="center"/>
          </w:tcPr>
          <w:p>
            <w:pPr>
              <w:pStyle w:val="TableContents"/>
              <w:bidi w:val="0"/>
              <w:spacing w:before="0" w:after="0"/>
              <w:jc w:val="left"/>
              <w:rPr>
                <w:spacing w:val="0"/>
              </w:rPr>
            </w:pPr>
            <w:r>
              <w:rPr>
                <w:spacing w:val="0"/>
              </w:rPr>
              <w:t> </w:t>
            </w:r>
          </w:p>
        </w:tc>
        <w:tc>
          <w:tcPr>
            <w:tcW w:w="1182"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4" w:type="dxa"/>
            <w:tcBorders/>
            <w:shd w:fill="CCEEFF" w:val="clear"/>
            <w:vAlign w:val="center"/>
          </w:tcPr>
          <w:p>
            <w:pPr>
              <w:pStyle w:val="TableContents"/>
              <w:bidi w:val="0"/>
              <w:spacing w:before="0" w:after="0"/>
              <w:jc w:val="left"/>
              <w:rPr>
                <w:spacing w:val="0"/>
              </w:rPr>
            </w:pPr>
            <w:r>
              <w:rPr>
                <w:spacing w:val="0"/>
              </w:rPr>
              <w:t> </w:t>
            </w:r>
          </w:p>
        </w:tc>
        <w:tc>
          <w:tcPr>
            <w:tcW w:w="1156" w:type="dxa"/>
            <w:tcBorders/>
            <w:shd w:fill="CCEEFF" w:val="clear"/>
            <w:vAlign w:val="center"/>
          </w:tcPr>
          <w:p>
            <w:pPr>
              <w:pStyle w:val="TableContents"/>
              <w:bidi w:val="0"/>
              <w:spacing w:before="0" w:after="0"/>
              <w:jc w:val="right"/>
              <w:rPr>
                <w:spacing w:val="0"/>
              </w:rPr>
            </w:pPr>
            <w:r>
              <w:rPr>
                <w:spacing w:val="0"/>
              </w:rPr>
              <w:t>2,110</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11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00"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rPr>
            </w:pPr>
            <w:r>
              <w:rPr>
                <w:spacing w:val="0"/>
              </w:rPr>
              <w:t> </w:t>
            </w:r>
          </w:p>
        </w:tc>
        <w:tc>
          <w:tcPr>
            <w:tcW w:w="559"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7" w:type="dxa"/>
            <w:tcBorders/>
            <w:vAlign w:val="center"/>
          </w:tcPr>
          <w:p>
            <w:pPr>
              <w:pStyle w:val="TableContents"/>
              <w:bidi w:val="0"/>
              <w:spacing w:before="0" w:after="0"/>
              <w:jc w:val="left"/>
              <w:rPr>
                <w:spacing w:val="0"/>
              </w:rPr>
            </w:pPr>
            <w:r>
              <w:rPr>
                <w:spacing w:val="0"/>
              </w:rPr>
              <w:t> </w:t>
            </w:r>
          </w:p>
        </w:tc>
        <w:tc>
          <w:tcPr>
            <w:tcW w:w="913"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474" w:type="dxa"/>
            <w:tcBorders/>
            <w:vAlign w:val="center"/>
          </w:tcPr>
          <w:p>
            <w:pPr>
              <w:pStyle w:val="TableContents"/>
              <w:bidi w:val="0"/>
              <w:spacing w:before="0" w:after="0"/>
              <w:jc w:val="left"/>
              <w:rPr>
                <w:spacing w:val="0"/>
              </w:rPr>
            </w:pPr>
            <w:r>
              <w:rPr>
                <w:spacing w:val="0"/>
              </w:rPr>
              <w:t> </w:t>
            </w:r>
          </w:p>
        </w:tc>
        <w:tc>
          <w:tcPr>
            <w:tcW w:w="1136"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rPr>
            </w:pPr>
            <w:r>
              <w:rPr>
                <w:spacing w:val="0"/>
              </w:rPr>
              <w:t> </w:t>
            </w:r>
          </w:p>
        </w:tc>
        <w:tc>
          <w:tcPr>
            <w:tcW w:w="1182" w:type="dxa"/>
            <w:tcBorders/>
            <w:vAlign w:val="center"/>
          </w:tcPr>
          <w:p>
            <w:pPr>
              <w:pStyle w:val="TableContents"/>
              <w:bidi w:val="0"/>
              <w:spacing w:before="0" w:after="0"/>
              <w:jc w:val="right"/>
              <w:rPr>
                <w:spacing w:val="0"/>
              </w:rPr>
            </w:pPr>
            <w:r>
              <w:rPr>
                <w:spacing w:val="0"/>
              </w:rPr>
              <w:t>(24,986</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4" w:type="dxa"/>
            <w:tcBorders/>
            <w:vAlign w:val="center"/>
          </w:tcPr>
          <w:p>
            <w:pPr>
              <w:pStyle w:val="TableContents"/>
              <w:bidi w:val="0"/>
              <w:spacing w:before="0" w:after="0"/>
              <w:jc w:val="left"/>
              <w:rPr>
                <w:spacing w:val="0"/>
              </w:rPr>
            </w:pPr>
            <w:r>
              <w:rPr>
                <w:spacing w:val="0"/>
              </w:rPr>
              <w:t> </w:t>
            </w:r>
          </w:p>
        </w:tc>
        <w:tc>
          <w:tcPr>
            <w:tcW w:w="1156" w:type="dxa"/>
            <w:tcBorders/>
            <w:vAlign w:val="center"/>
          </w:tcPr>
          <w:p>
            <w:pPr>
              <w:pStyle w:val="TableContents"/>
              <w:bidi w:val="0"/>
              <w:spacing w:before="0" w:after="0"/>
              <w:jc w:val="right"/>
              <w:rPr>
                <w:spacing w:val="0"/>
              </w:rPr>
            </w:pPr>
            <w:r>
              <w:rPr>
                <w:spacing w:val="0"/>
              </w:rPr>
              <w:t>(24,986</w:t>
            </w:r>
          </w:p>
        </w:tc>
        <w:tc>
          <w:tcPr>
            <w:tcW w:w="170" w:type="dxa"/>
            <w:tcBorders/>
            <w:vAlign w:val="center"/>
          </w:tcPr>
          <w:p>
            <w:pPr>
              <w:pStyle w:val="TableContents"/>
              <w:bidi w:val="0"/>
              <w:spacing w:before="0" w:after="0"/>
              <w:jc w:val="left"/>
              <w:rPr>
                <w:spacing w:val="0"/>
              </w:rPr>
            </w:pPr>
            <w:r>
              <w:rPr>
                <w:spacing w:val="0"/>
              </w:rPr>
              <w:t>) </w:t>
            </w:r>
          </w:p>
        </w:tc>
      </w:tr>
      <w:tr>
        <w:trPr/>
        <w:tc>
          <w:tcPr>
            <w:tcW w:w="1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4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0"/>
              <w:jc w:val="left"/>
              <w:rPr>
                <w:spacing w:val="0"/>
              </w:rPr>
            </w:pPr>
            <w:r>
              <w:rPr>
                <w:spacing w:val="0"/>
              </w:rPr>
              <w:t> </w:t>
            </w:r>
          </w:p>
        </w:tc>
      </w:tr>
      <w:tr>
        <w:trPr/>
        <w:tc>
          <w:tcPr>
            <w:tcW w:w="11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Balances at March 31, 2025</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215,038,192</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w:t>
            </w:r>
          </w:p>
        </w:tc>
        <w:tc>
          <w:tcPr>
            <w:tcW w:w="800" w:type="dxa"/>
            <w:tcBorders/>
            <w:shd w:fill="CCEEFF" w:val="clear"/>
            <w:vAlign w:val="center"/>
          </w:tcPr>
          <w:p>
            <w:pPr>
              <w:pStyle w:val="TableContents"/>
              <w:bidi w:val="0"/>
              <w:spacing w:before="0" w:after="0"/>
              <w:jc w:val="right"/>
              <w:rPr>
                <w:spacing w:val="0"/>
              </w:rPr>
            </w:pPr>
            <w:r>
              <w:rPr>
                <w:spacing w:val="0"/>
              </w:rPr>
              <w:t>338,028</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00" w:type="dxa"/>
            <w:tcBorders/>
            <w:shd w:fill="CCEEFF" w:val="clear"/>
            <w:vAlign w:val="center"/>
          </w:tcPr>
          <w:p>
            <w:pPr>
              <w:pStyle w:val="TableContents"/>
              <w:bidi w:val="0"/>
              <w:spacing w:before="0" w:after="0"/>
              <w:jc w:val="right"/>
              <w:rPr>
                <w:spacing w:val="0"/>
              </w:rPr>
            </w:pPr>
            <w:r>
              <w:rPr>
                <w:spacing w:val="0"/>
              </w:rPr>
              <w:t>13,939,366</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w:t>
            </w:r>
          </w:p>
        </w:tc>
        <w:tc>
          <w:tcPr>
            <w:tcW w:w="559" w:type="dxa"/>
            <w:tcBorders/>
            <w:shd w:fill="CCEEFF" w:val="clear"/>
            <w:vAlign w:val="center"/>
          </w:tcPr>
          <w:p>
            <w:pPr>
              <w:pStyle w:val="TableContents"/>
              <w:bidi w:val="0"/>
              <w:spacing w:before="0" w:after="0"/>
              <w:jc w:val="right"/>
              <w:rPr>
                <w:spacing w:val="0"/>
              </w:rPr>
            </w:pPr>
            <w:r>
              <w:rPr>
                <w:spacing w:val="0"/>
              </w:rPr>
              <w:t>1</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7" w:type="dxa"/>
            <w:tcBorders/>
            <w:shd w:fill="CCEEFF" w:val="clear"/>
            <w:vAlign w:val="center"/>
          </w:tcPr>
          <w:p>
            <w:pPr>
              <w:pStyle w:val="TableContents"/>
              <w:bidi w:val="0"/>
              <w:spacing w:before="0" w:after="0"/>
              <w:jc w:val="left"/>
              <w:rPr>
                <w:spacing w:val="0"/>
              </w:rPr>
            </w:pPr>
            <w:r>
              <w:rPr>
                <w:spacing w:val="0"/>
              </w:rPr>
              <w:t>$</w:t>
            </w:r>
          </w:p>
        </w:tc>
        <w:tc>
          <w:tcPr>
            <w:tcW w:w="913" w:type="dxa"/>
            <w:tcBorders/>
            <w:shd w:fill="CCEEFF" w:val="clear"/>
            <w:vAlign w:val="center"/>
          </w:tcPr>
          <w:p>
            <w:pPr>
              <w:pStyle w:val="TableContents"/>
              <w:bidi w:val="0"/>
              <w:spacing w:before="0" w:after="0"/>
              <w:jc w:val="right"/>
              <w:rPr>
                <w:spacing w:val="0"/>
              </w:rPr>
            </w:pPr>
            <w:r>
              <w:rPr>
                <w:spacing w:val="0"/>
              </w:rPr>
              <w:t>23,039</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474" w:type="dxa"/>
            <w:tcBorders/>
            <w:shd w:fill="CCEEFF" w:val="clear"/>
            <w:vAlign w:val="center"/>
          </w:tcPr>
          <w:p>
            <w:pPr>
              <w:pStyle w:val="TableContents"/>
              <w:bidi w:val="0"/>
              <w:spacing w:before="0" w:after="0"/>
              <w:jc w:val="left"/>
              <w:rPr>
                <w:spacing w:val="0"/>
              </w:rPr>
            </w:pPr>
            <w:r>
              <w:rPr>
                <w:spacing w:val="0"/>
              </w:rPr>
              <w:t>$</w:t>
            </w:r>
          </w:p>
        </w:tc>
        <w:tc>
          <w:tcPr>
            <w:tcW w:w="1136" w:type="dxa"/>
            <w:tcBorders/>
            <w:shd w:fill="CCEEFF" w:val="clear"/>
            <w:vAlign w:val="center"/>
          </w:tcPr>
          <w:p>
            <w:pPr>
              <w:pStyle w:val="TableContents"/>
              <w:bidi w:val="0"/>
              <w:spacing w:before="0" w:after="0"/>
              <w:jc w:val="right"/>
              <w:rPr>
                <w:spacing w:val="0"/>
              </w:rPr>
            </w:pPr>
            <w:r>
              <w:rPr>
                <w:spacing w:val="0"/>
              </w:rPr>
              <w:t>(27</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8" w:type="dxa"/>
            <w:tcBorders/>
            <w:shd w:fill="CCEEFF" w:val="clear"/>
            <w:vAlign w:val="center"/>
          </w:tcPr>
          <w:p>
            <w:pPr>
              <w:pStyle w:val="TableContents"/>
              <w:bidi w:val="0"/>
              <w:spacing w:before="0" w:after="0"/>
              <w:jc w:val="left"/>
              <w:rPr>
                <w:spacing w:val="0"/>
              </w:rPr>
            </w:pPr>
            <w:r>
              <w:rPr>
                <w:spacing w:val="0"/>
              </w:rPr>
              <w:t>$</w:t>
            </w:r>
          </w:p>
        </w:tc>
        <w:tc>
          <w:tcPr>
            <w:tcW w:w="1182" w:type="dxa"/>
            <w:tcBorders/>
            <w:shd w:fill="CCEEFF" w:val="clear"/>
            <w:vAlign w:val="center"/>
          </w:tcPr>
          <w:p>
            <w:pPr>
              <w:pStyle w:val="TableContents"/>
              <w:bidi w:val="0"/>
              <w:spacing w:before="0" w:after="0"/>
              <w:jc w:val="right"/>
              <w:rPr>
                <w:spacing w:val="0"/>
              </w:rPr>
            </w:pPr>
            <w:r>
              <w:rPr>
                <w:spacing w:val="0"/>
              </w:rPr>
              <w:t>(220,314</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4" w:type="dxa"/>
            <w:tcBorders/>
            <w:shd w:fill="CCEEFF" w:val="clear"/>
            <w:vAlign w:val="center"/>
          </w:tcPr>
          <w:p>
            <w:pPr>
              <w:pStyle w:val="TableContents"/>
              <w:bidi w:val="0"/>
              <w:spacing w:before="0" w:after="0"/>
              <w:jc w:val="left"/>
              <w:rPr>
                <w:spacing w:val="0"/>
              </w:rPr>
            </w:pPr>
            <w:r>
              <w:rPr>
                <w:spacing w:val="0"/>
              </w:rPr>
              <w:t>$</w:t>
            </w:r>
          </w:p>
        </w:tc>
        <w:tc>
          <w:tcPr>
            <w:tcW w:w="1156" w:type="dxa"/>
            <w:tcBorders/>
            <w:shd w:fill="CCEEFF" w:val="clear"/>
            <w:vAlign w:val="center"/>
          </w:tcPr>
          <w:p>
            <w:pPr>
              <w:pStyle w:val="TableContents"/>
              <w:bidi w:val="0"/>
              <w:spacing w:before="0" w:after="0"/>
              <w:jc w:val="right"/>
              <w:rPr>
                <w:spacing w:val="0"/>
              </w:rPr>
            </w:pPr>
            <w:r>
              <w:rPr>
                <w:spacing w:val="0"/>
              </w:rPr>
              <w:t>(197,301</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1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1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4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3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8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0"/>
              <w:jc w:val="left"/>
              <w:rPr>
                <w:spacing w:val="0"/>
              </w:rPr>
            </w:pPr>
            <w:r>
              <w:rPr>
                <w:spacing w:val="0"/>
              </w:rPr>
              <w:t> </w:t>
            </w:r>
          </w:p>
        </w:tc>
      </w:tr>
      <w:tr>
        <w:trPr/>
        <w:tc>
          <w:tcPr>
            <w:tcW w:w="11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Issuance of common stock upon exercise of stock options</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00"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rPr>
            </w:pPr>
            <w:r>
              <w:rPr>
                <w:spacing w:val="0"/>
              </w:rPr>
              <w:t> </w:t>
            </w:r>
          </w:p>
        </w:tc>
        <w:tc>
          <w:tcPr>
            <w:tcW w:w="559"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7" w:type="dxa"/>
            <w:tcBorders/>
            <w:vAlign w:val="center"/>
          </w:tcPr>
          <w:p>
            <w:pPr>
              <w:pStyle w:val="TableContents"/>
              <w:bidi w:val="0"/>
              <w:spacing w:before="0" w:after="0"/>
              <w:jc w:val="left"/>
              <w:rPr>
                <w:spacing w:val="0"/>
              </w:rPr>
            </w:pPr>
            <w:r>
              <w:rPr>
                <w:spacing w:val="0"/>
              </w:rPr>
              <w:t> </w:t>
            </w:r>
          </w:p>
        </w:tc>
        <w:tc>
          <w:tcPr>
            <w:tcW w:w="913" w:type="dxa"/>
            <w:tcBorders/>
            <w:vAlign w:val="center"/>
          </w:tcPr>
          <w:p>
            <w:pPr>
              <w:pStyle w:val="TableContents"/>
              <w:bidi w:val="0"/>
              <w:spacing w:before="0" w:after="0"/>
              <w:jc w:val="right"/>
              <w:rPr>
                <w:spacing w:val="0"/>
              </w:rPr>
            </w:pPr>
            <w:r>
              <w:rPr>
                <w:spacing w:val="0"/>
              </w:rPr>
              <w:t>12</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474" w:type="dxa"/>
            <w:tcBorders/>
            <w:vAlign w:val="center"/>
          </w:tcPr>
          <w:p>
            <w:pPr>
              <w:pStyle w:val="TableContents"/>
              <w:bidi w:val="0"/>
              <w:spacing w:before="0" w:after="0"/>
              <w:jc w:val="left"/>
              <w:rPr>
                <w:spacing w:val="0"/>
              </w:rPr>
            </w:pPr>
            <w:r>
              <w:rPr>
                <w:spacing w:val="0"/>
              </w:rPr>
              <w:t> </w:t>
            </w:r>
          </w:p>
        </w:tc>
        <w:tc>
          <w:tcPr>
            <w:tcW w:w="1136"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rPr>
            </w:pPr>
            <w:r>
              <w:rPr>
                <w:spacing w:val="0"/>
              </w:rPr>
              <w:t> </w:t>
            </w:r>
          </w:p>
        </w:tc>
        <w:tc>
          <w:tcPr>
            <w:tcW w:w="1182"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4" w:type="dxa"/>
            <w:tcBorders/>
            <w:vAlign w:val="center"/>
          </w:tcPr>
          <w:p>
            <w:pPr>
              <w:pStyle w:val="TableContents"/>
              <w:bidi w:val="0"/>
              <w:spacing w:before="0" w:after="0"/>
              <w:jc w:val="left"/>
              <w:rPr>
                <w:spacing w:val="0"/>
              </w:rPr>
            </w:pPr>
            <w:r>
              <w:rPr>
                <w:spacing w:val="0"/>
              </w:rPr>
              <w:t> </w:t>
            </w:r>
          </w:p>
        </w:tc>
        <w:tc>
          <w:tcPr>
            <w:tcW w:w="1156" w:type="dxa"/>
            <w:tcBorders/>
            <w:vAlign w:val="center"/>
          </w:tcPr>
          <w:p>
            <w:pPr>
              <w:pStyle w:val="TableContents"/>
              <w:bidi w:val="0"/>
              <w:spacing w:before="0" w:after="0"/>
              <w:jc w:val="right"/>
              <w:rPr>
                <w:spacing w:val="0"/>
              </w:rPr>
            </w:pPr>
            <w:r>
              <w:rPr>
                <w:spacing w:val="0"/>
              </w:rPr>
              <w:t>12</w:t>
            </w:r>
          </w:p>
        </w:tc>
        <w:tc>
          <w:tcPr>
            <w:tcW w:w="170" w:type="dxa"/>
            <w:tcBorders/>
            <w:vAlign w:val="center"/>
          </w:tcPr>
          <w:p>
            <w:pPr>
              <w:pStyle w:val="TableContents"/>
              <w:bidi w:val="0"/>
              <w:spacing w:before="0" w:after="0"/>
              <w:jc w:val="left"/>
              <w:rPr>
                <w:spacing w:val="0"/>
              </w:rPr>
            </w:pPr>
            <w:r>
              <w:rPr>
                <w:spacing w:val="0"/>
              </w:rPr>
              <w:t> </w:t>
            </w:r>
          </w:p>
        </w:tc>
      </w:tr>
      <w:tr>
        <w:trPr/>
        <w:tc>
          <w:tcPr>
            <w:tcW w:w="11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Stock-based compensation</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00"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 </w:t>
            </w:r>
          </w:p>
        </w:tc>
        <w:tc>
          <w:tcPr>
            <w:tcW w:w="559"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7" w:type="dxa"/>
            <w:tcBorders/>
            <w:shd w:fill="CCEEFF" w:val="clear"/>
            <w:vAlign w:val="center"/>
          </w:tcPr>
          <w:p>
            <w:pPr>
              <w:pStyle w:val="TableContents"/>
              <w:bidi w:val="0"/>
              <w:spacing w:before="0" w:after="0"/>
              <w:jc w:val="left"/>
              <w:rPr>
                <w:spacing w:val="0"/>
              </w:rPr>
            </w:pPr>
            <w:r>
              <w:rPr>
                <w:spacing w:val="0"/>
              </w:rPr>
              <w:t> </w:t>
            </w:r>
          </w:p>
        </w:tc>
        <w:tc>
          <w:tcPr>
            <w:tcW w:w="913" w:type="dxa"/>
            <w:tcBorders/>
            <w:shd w:fill="CCEEFF" w:val="clear"/>
            <w:vAlign w:val="center"/>
          </w:tcPr>
          <w:p>
            <w:pPr>
              <w:pStyle w:val="TableContents"/>
              <w:bidi w:val="0"/>
              <w:spacing w:before="0" w:after="0"/>
              <w:jc w:val="right"/>
              <w:rPr>
                <w:spacing w:val="0"/>
              </w:rPr>
            </w:pPr>
            <w:r>
              <w:rPr>
                <w:spacing w:val="0"/>
              </w:rPr>
              <w:t>2,761</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474" w:type="dxa"/>
            <w:tcBorders/>
            <w:shd w:fill="CCEEFF" w:val="clear"/>
            <w:vAlign w:val="center"/>
          </w:tcPr>
          <w:p>
            <w:pPr>
              <w:pStyle w:val="TableContents"/>
              <w:bidi w:val="0"/>
              <w:spacing w:before="0" w:after="0"/>
              <w:jc w:val="left"/>
              <w:rPr>
                <w:spacing w:val="0"/>
              </w:rPr>
            </w:pPr>
            <w:r>
              <w:rPr>
                <w:spacing w:val="0"/>
              </w:rPr>
              <w:t> </w:t>
            </w:r>
          </w:p>
        </w:tc>
        <w:tc>
          <w:tcPr>
            <w:tcW w:w="1136"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8" w:type="dxa"/>
            <w:tcBorders/>
            <w:shd w:fill="CCEEFF" w:val="clear"/>
            <w:vAlign w:val="center"/>
          </w:tcPr>
          <w:p>
            <w:pPr>
              <w:pStyle w:val="TableContents"/>
              <w:bidi w:val="0"/>
              <w:spacing w:before="0" w:after="0"/>
              <w:jc w:val="left"/>
              <w:rPr>
                <w:spacing w:val="0"/>
              </w:rPr>
            </w:pPr>
            <w:r>
              <w:rPr>
                <w:spacing w:val="0"/>
              </w:rPr>
              <w:t> </w:t>
            </w:r>
          </w:p>
        </w:tc>
        <w:tc>
          <w:tcPr>
            <w:tcW w:w="1182"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4" w:type="dxa"/>
            <w:tcBorders/>
            <w:shd w:fill="CCEEFF" w:val="clear"/>
            <w:vAlign w:val="center"/>
          </w:tcPr>
          <w:p>
            <w:pPr>
              <w:pStyle w:val="TableContents"/>
              <w:bidi w:val="0"/>
              <w:spacing w:before="0" w:after="0"/>
              <w:jc w:val="left"/>
              <w:rPr>
                <w:spacing w:val="0"/>
              </w:rPr>
            </w:pPr>
            <w:r>
              <w:rPr>
                <w:spacing w:val="0"/>
              </w:rPr>
              <w:t> </w:t>
            </w:r>
          </w:p>
        </w:tc>
        <w:tc>
          <w:tcPr>
            <w:tcW w:w="1156" w:type="dxa"/>
            <w:tcBorders/>
            <w:shd w:fill="CCEEFF" w:val="clear"/>
            <w:vAlign w:val="center"/>
          </w:tcPr>
          <w:p>
            <w:pPr>
              <w:pStyle w:val="TableContents"/>
              <w:bidi w:val="0"/>
              <w:spacing w:before="0" w:after="0"/>
              <w:jc w:val="right"/>
              <w:rPr>
                <w:spacing w:val="0"/>
              </w:rPr>
            </w:pPr>
            <w:r>
              <w:rPr>
                <w:spacing w:val="0"/>
              </w:rPr>
              <w:t>2,761</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11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Unrealized gain (loss) on marketable securities</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00"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rPr>
            </w:pPr>
            <w:r>
              <w:rPr>
                <w:spacing w:val="0"/>
              </w:rPr>
              <w:t> </w:t>
            </w:r>
          </w:p>
        </w:tc>
        <w:tc>
          <w:tcPr>
            <w:tcW w:w="559"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7" w:type="dxa"/>
            <w:tcBorders/>
            <w:vAlign w:val="center"/>
          </w:tcPr>
          <w:p>
            <w:pPr>
              <w:pStyle w:val="TableContents"/>
              <w:bidi w:val="0"/>
              <w:spacing w:before="0" w:after="0"/>
              <w:jc w:val="left"/>
              <w:rPr>
                <w:spacing w:val="0"/>
              </w:rPr>
            </w:pPr>
            <w:r>
              <w:rPr>
                <w:spacing w:val="0"/>
              </w:rPr>
              <w:t> </w:t>
            </w:r>
          </w:p>
        </w:tc>
        <w:tc>
          <w:tcPr>
            <w:tcW w:w="913"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474" w:type="dxa"/>
            <w:tcBorders/>
            <w:vAlign w:val="center"/>
          </w:tcPr>
          <w:p>
            <w:pPr>
              <w:pStyle w:val="TableContents"/>
              <w:bidi w:val="0"/>
              <w:spacing w:before="0" w:after="0"/>
              <w:jc w:val="left"/>
              <w:rPr>
                <w:spacing w:val="0"/>
              </w:rPr>
            </w:pPr>
            <w:r>
              <w:rPr>
                <w:spacing w:val="0"/>
              </w:rPr>
              <w:t> </w:t>
            </w:r>
          </w:p>
        </w:tc>
        <w:tc>
          <w:tcPr>
            <w:tcW w:w="1136" w:type="dxa"/>
            <w:tcBorders/>
            <w:vAlign w:val="center"/>
          </w:tcPr>
          <w:p>
            <w:pPr>
              <w:pStyle w:val="TableContents"/>
              <w:bidi w:val="0"/>
              <w:spacing w:before="0" w:after="0"/>
              <w:jc w:val="right"/>
              <w:rPr>
                <w:spacing w:val="0"/>
              </w:rPr>
            </w:pPr>
            <w:r>
              <w:rPr>
                <w:spacing w:val="0"/>
              </w:rPr>
              <w:t>(11</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rPr>
            </w:pPr>
            <w:r>
              <w:rPr>
                <w:spacing w:val="0"/>
              </w:rPr>
              <w:t> </w:t>
            </w:r>
          </w:p>
        </w:tc>
        <w:tc>
          <w:tcPr>
            <w:tcW w:w="1182"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4" w:type="dxa"/>
            <w:tcBorders/>
            <w:vAlign w:val="center"/>
          </w:tcPr>
          <w:p>
            <w:pPr>
              <w:pStyle w:val="TableContents"/>
              <w:bidi w:val="0"/>
              <w:spacing w:before="0" w:after="0"/>
              <w:jc w:val="left"/>
              <w:rPr>
                <w:spacing w:val="0"/>
              </w:rPr>
            </w:pPr>
            <w:r>
              <w:rPr>
                <w:spacing w:val="0"/>
              </w:rPr>
              <w:t> </w:t>
            </w:r>
          </w:p>
        </w:tc>
        <w:tc>
          <w:tcPr>
            <w:tcW w:w="1156" w:type="dxa"/>
            <w:tcBorders/>
            <w:vAlign w:val="center"/>
          </w:tcPr>
          <w:p>
            <w:pPr>
              <w:pStyle w:val="TableContents"/>
              <w:bidi w:val="0"/>
              <w:spacing w:before="0" w:after="0"/>
              <w:jc w:val="right"/>
              <w:rPr>
                <w:spacing w:val="0"/>
              </w:rPr>
            </w:pPr>
            <w:r>
              <w:rPr>
                <w:spacing w:val="0"/>
              </w:rPr>
              <w:t>(11</w:t>
            </w:r>
          </w:p>
        </w:tc>
        <w:tc>
          <w:tcPr>
            <w:tcW w:w="170" w:type="dxa"/>
            <w:tcBorders/>
            <w:vAlign w:val="center"/>
          </w:tcPr>
          <w:p>
            <w:pPr>
              <w:pStyle w:val="TableContents"/>
              <w:bidi w:val="0"/>
              <w:spacing w:before="0" w:after="0"/>
              <w:jc w:val="left"/>
              <w:rPr>
                <w:spacing w:val="0"/>
              </w:rPr>
            </w:pPr>
            <w:r>
              <w:rPr>
                <w:spacing w:val="0"/>
              </w:rPr>
              <w:t>) </w:t>
            </w:r>
          </w:p>
        </w:tc>
      </w:tr>
      <w:tr>
        <w:trPr/>
        <w:tc>
          <w:tcPr>
            <w:tcW w:w="11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00"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 </w:t>
            </w:r>
          </w:p>
        </w:tc>
        <w:tc>
          <w:tcPr>
            <w:tcW w:w="559"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7" w:type="dxa"/>
            <w:tcBorders/>
            <w:shd w:fill="CCEEFF" w:val="clear"/>
            <w:vAlign w:val="center"/>
          </w:tcPr>
          <w:p>
            <w:pPr>
              <w:pStyle w:val="TableContents"/>
              <w:bidi w:val="0"/>
              <w:spacing w:before="0" w:after="0"/>
              <w:jc w:val="left"/>
              <w:rPr>
                <w:spacing w:val="0"/>
              </w:rPr>
            </w:pPr>
            <w:r>
              <w:rPr>
                <w:spacing w:val="0"/>
              </w:rPr>
              <w:t> </w:t>
            </w:r>
          </w:p>
        </w:tc>
        <w:tc>
          <w:tcPr>
            <w:tcW w:w="913"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474" w:type="dxa"/>
            <w:tcBorders/>
            <w:shd w:fill="CCEEFF" w:val="clear"/>
            <w:vAlign w:val="center"/>
          </w:tcPr>
          <w:p>
            <w:pPr>
              <w:pStyle w:val="TableContents"/>
              <w:bidi w:val="0"/>
              <w:spacing w:before="0" w:after="0"/>
              <w:jc w:val="left"/>
              <w:rPr>
                <w:spacing w:val="0"/>
              </w:rPr>
            </w:pPr>
            <w:r>
              <w:rPr>
                <w:spacing w:val="0"/>
              </w:rPr>
              <w:t> </w:t>
            </w:r>
          </w:p>
        </w:tc>
        <w:tc>
          <w:tcPr>
            <w:tcW w:w="1136"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8" w:type="dxa"/>
            <w:tcBorders/>
            <w:shd w:fill="CCEEFF" w:val="clear"/>
            <w:vAlign w:val="center"/>
          </w:tcPr>
          <w:p>
            <w:pPr>
              <w:pStyle w:val="TableContents"/>
              <w:bidi w:val="0"/>
              <w:spacing w:before="0" w:after="0"/>
              <w:jc w:val="left"/>
              <w:rPr>
                <w:spacing w:val="0"/>
              </w:rPr>
            </w:pPr>
            <w:r>
              <w:rPr>
                <w:spacing w:val="0"/>
              </w:rPr>
              <w:t> </w:t>
            </w:r>
          </w:p>
        </w:tc>
        <w:tc>
          <w:tcPr>
            <w:tcW w:w="1182" w:type="dxa"/>
            <w:tcBorders/>
            <w:shd w:fill="CCEEFF" w:val="clear"/>
            <w:vAlign w:val="center"/>
          </w:tcPr>
          <w:p>
            <w:pPr>
              <w:pStyle w:val="TableContents"/>
              <w:bidi w:val="0"/>
              <w:spacing w:before="0" w:after="0"/>
              <w:jc w:val="right"/>
              <w:rPr>
                <w:spacing w:val="0"/>
              </w:rPr>
            </w:pPr>
            <w:r>
              <w:rPr>
                <w:spacing w:val="0"/>
              </w:rPr>
              <w:t>(26,896</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4" w:type="dxa"/>
            <w:tcBorders/>
            <w:shd w:fill="CCEEFF" w:val="clear"/>
            <w:vAlign w:val="center"/>
          </w:tcPr>
          <w:p>
            <w:pPr>
              <w:pStyle w:val="TableContents"/>
              <w:bidi w:val="0"/>
              <w:spacing w:before="0" w:after="0"/>
              <w:jc w:val="left"/>
              <w:rPr>
                <w:spacing w:val="0"/>
              </w:rPr>
            </w:pPr>
            <w:r>
              <w:rPr>
                <w:spacing w:val="0"/>
              </w:rPr>
              <w:t> </w:t>
            </w:r>
          </w:p>
        </w:tc>
        <w:tc>
          <w:tcPr>
            <w:tcW w:w="1156" w:type="dxa"/>
            <w:tcBorders/>
            <w:shd w:fill="CCEEFF" w:val="clear"/>
            <w:vAlign w:val="center"/>
          </w:tcPr>
          <w:p>
            <w:pPr>
              <w:pStyle w:val="TableContents"/>
              <w:bidi w:val="0"/>
              <w:spacing w:before="0" w:after="0"/>
              <w:jc w:val="right"/>
              <w:rPr>
                <w:spacing w:val="0"/>
              </w:rPr>
            </w:pPr>
            <w:r>
              <w:rPr>
                <w:spacing w:val="0"/>
              </w:rPr>
              <w:t>(26,896</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1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4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0"/>
              <w:jc w:val="left"/>
              <w:rPr>
                <w:spacing w:val="0"/>
              </w:rPr>
            </w:pPr>
            <w:r>
              <w:rPr>
                <w:spacing w:val="0"/>
              </w:rPr>
              <w:t> </w:t>
            </w:r>
          </w:p>
        </w:tc>
      </w:tr>
      <w:tr>
        <w:trPr/>
        <w:tc>
          <w:tcPr>
            <w:tcW w:w="11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Balances at June 30, 2025</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215,038,192</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w:t>
            </w:r>
          </w:p>
        </w:tc>
        <w:tc>
          <w:tcPr>
            <w:tcW w:w="800" w:type="dxa"/>
            <w:tcBorders/>
            <w:vAlign w:val="center"/>
          </w:tcPr>
          <w:p>
            <w:pPr>
              <w:pStyle w:val="TableContents"/>
              <w:bidi w:val="0"/>
              <w:spacing w:before="0" w:after="0"/>
              <w:jc w:val="right"/>
              <w:rPr>
                <w:spacing w:val="0"/>
              </w:rPr>
            </w:pPr>
            <w:r>
              <w:rPr>
                <w:spacing w:val="0"/>
              </w:rPr>
              <w:t>338,028</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00" w:type="dxa"/>
            <w:tcBorders/>
            <w:vAlign w:val="center"/>
          </w:tcPr>
          <w:p>
            <w:pPr>
              <w:pStyle w:val="TableContents"/>
              <w:bidi w:val="0"/>
              <w:spacing w:before="0" w:after="0"/>
              <w:jc w:val="right"/>
              <w:rPr>
                <w:spacing w:val="0"/>
              </w:rPr>
            </w:pPr>
            <w:r>
              <w:rPr>
                <w:spacing w:val="0"/>
              </w:rPr>
              <w:t>13,939,366</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rPr>
            </w:pPr>
            <w:r>
              <w:rPr>
                <w:spacing w:val="0"/>
              </w:rPr>
              <w:t>$</w:t>
            </w:r>
          </w:p>
        </w:tc>
        <w:tc>
          <w:tcPr>
            <w:tcW w:w="559" w:type="dxa"/>
            <w:tcBorders/>
            <w:vAlign w:val="center"/>
          </w:tcPr>
          <w:p>
            <w:pPr>
              <w:pStyle w:val="TableContents"/>
              <w:bidi w:val="0"/>
              <w:spacing w:before="0" w:after="0"/>
              <w:jc w:val="right"/>
              <w:rPr>
                <w:spacing w:val="0"/>
              </w:rPr>
            </w:pPr>
            <w:r>
              <w:rPr>
                <w:spacing w:val="0"/>
              </w:rPr>
              <w:t>1</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7" w:type="dxa"/>
            <w:tcBorders/>
            <w:vAlign w:val="center"/>
          </w:tcPr>
          <w:p>
            <w:pPr>
              <w:pStyle w:val="TableContents"/>
              <w:bidi w:val="0"/>
              <w:spacing w:before="0" w:after="0"/>
              <w:jc w:val="left"/>
              <w:rPr>
                <w:spacing w:val="0"/>
              </w:rPr>
            </w:pPr>
            <w:r>
              <w:rPr>
                <w:spacing w:val="0"/>
              </w:rPr>
              <w:t>$</w:t>
            </w:r>
          </w:p>
        </w:tc>
        <w:tc>
          <w:tcPr>
            <w:tcW w:w="913" w:type="dxa"/>
            <w:tcBorders/>
            <w:vAlign w:val="center"/>
          </w:tcPr>
          <w:p>
            <w:pPr>
              <w:pStyle w:val="TableContents"/>
              <w:bidi w:val="0"/>
              <w:spacing w:before="0" w:after="0"/>
              <w:jc w:val="right"/>
              <w:rPr>
                <w:spacing w:val="0"/>
              </w:rPr>
            </w:pPr>
            <w:r>
              <w:rPr>
                <w:spacing w:val="0"/>
              </w:rPr>
              <w:t>25,812</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474" w:type="dxa"/>
            <w:tcBorders/>
            <w:vAlign w:val="center"/>
          </w:tcPr>
          <w:p>
            <w:pPr>
              <w:pStyle w:val="TableContents"/>
              <w:bidi w:val="0"/>
              <w:spacing w:before="0" w:after="0"/>
              <w:jc w:val="left"/>
              <w:rPr>
                <w:spacing w:val="0"/>
              </w:rPr>
            </w:pPr>
            <w:r>
              <w:rPr>
                <w:spacing w:val="0"/>
              </w:rPr>
              <w:t>$</w:t>
            </w:r>
          </w:p>
        </w:tc>
        <w:tc>
          <w:tcPr>
            <w:tcW w:w="1136" w:type="dxa"/>
            <w:tcBorders/>
            <w:vAlign w:val="center"/>
          </w:tcPr>
          <w:p>
            <w:pPr>
              <w:pStyle w:val="TableContents"/>
              <w:bidi w:val="0"/>
              <w:spacing w:before="0" w:after="0"/>
              <w:jc w:val="right"/>
              <w:rPr>
                <w:spacing w:val="0"/>
              </w:rPr>
            </w:pPr>
            <w:r>
              <w:rPr>
                <w:spacing w:val="0"/>
              </w:rPr>
              <w:t>(38</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rPr>
            </w:pPr>
            <w:r>
              <w:rPr>
                <w:spacing w:val="0"/>
              </w:rPr>
              <w:t>$</w:t>
            </w:r>
          </w:p>
        </w:tc>
        <w:tc>
          <w:tcPr>
            <w:tcW w:w="1182" w:type="dxa"/>
            <w:tcBorders/>
            <w:vAlign w:val="center"/>
          </w:tcPr>
          <w:p>
            <w:pPr>
              <w:pStyle w:val="TableContents"/>
              <w:bidi w:val="0"/>
              <w:spacing w:before="0" w:after="0"/>
              <w:jc w:val="right"/>
              <w:rPr>
                <w:spacing w:val="0"/>
              </w:rPr>
            </w:pPr>
            <w:r>
              <w:rPr>
                <w:spacing w:val="0"/>
              </w:rPr>
              <w:t>(247,210</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4" w:type="dxa"/>
            <w:tcBorders/>
            <w:vAlign w:val="center"/>
          </w:tcPr>
          <w:p>
            <w:pPr>
              <w:pStyle w:val="TableContents"/>
              <w:bidi w:val="0"/>
              <w:spacing w:before="0" w:after="0"/>
              <w:jc w:val="left"/>
              <w:rPr>
                <w:spacing w:val="0"/>
              </w:rPr>
            </w:pPr>
            <w:r>
              <w:rPr>
                <w:spacing w:val="0"/>
              </w:rPr>
              <w:t>$</w:t>
            </w:r>
          </w:p>
        </w:tc>
        <w:tc>
          <w:tcPr>
            <w:tcW w:w="1156" w:type="dxa"/>
            <w:tcBorders/>
            <w:vAlign w:val="center"/>
          </w:tcPr>
          <w:p>
            <w:pPr>
              <w:pStyle w:val="TableContents"/>
              <w:bidi w:val="0"/>
              <w:spacing w:before="0" w:after="0"/>
              <w:jc w:val="right"/>
              <w:rPr>
                <w:spacing w:val="0"/>
              </w:rPr>
            </w:pPr>
            <w:r>
              <w:rPr>
                <w:spacing w:val="0"/>
              </w:rPr>
              <w:t>(221,435</w:t>
            </w:r>
          </w:p>
        </w:tc>
        <w:tc>
          <w:tcPr>
            <w:tcW w:w="170" w:type="dxa"/>
            <w:tcBorders/>
            <w:vAlign w:val="center"/>
          </w:tcPr>
          <w:p>
            <w:pPr>
              <w:pStyle w:val="TableContents"/>
              <w:bidi w:val="0"/>
              <w:spacing w:before="0" w:after="0"/>
              <w:jc w:val="left"/>
              <w:rPr>
                <w:spacing w:val="0"/>
              </w:rPr>
            </w:pPr>
            <w:r>
              <w:rPr>
                <w:spacing w:val="0"/>
              </w:rPr>
              <w:t>) </w:t>
            </w:r>
          </w:p>
        </w:tc>
      </w:tr>
      <w:tr>
        <w:trPr/>
        <w:tc>
          <w:tcPr>
            <w:tcW w:w="1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1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4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3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8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0"/>
              <w:jc w:val="left"/>
              <w:rPr>
                <w:spacing w:val="0"/>
              </w:rPr>
            </w:pPr>
            <w:r>
              <w:rPr>
                <w:spacing w:val="0"/>
              </w:rPr>
              <w:t> </w:t>
            </w:r>
          </w:p>
        </w:tc>
      </w:tr>
    </w:tbl>
    <w:p>
      <w:pPr>
        <w:pStyle w:val="TextBody"/>
        <w:bidi w:val="0"/>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unaudited condensed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OBSIDIAN THERAPEUTICS SUB, INC. (F/K/A OBSIDIAN THERAPEUTICS,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CONDENSED CONSOLIDATED STATEMENTS OF CASH FLOWS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(AMOUNTS IN THOUSANDS)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tbl>
      <w:tblPr>
        <w:tblW w:w="8240" w:type="dxa"/>
        <w:jc w:val="left"/>
        <w:tblInd w:w="0" w:type="dxa"/>
        <w:tblLayout w:type="fixed"/>
        <w:tblCellMar>
          <w:top w:w="0" w:type="dxa"/>
          <w:left w:w="0" w:type="dxa"/>
          <w:bottom w:w="0" w:type="dxa"/>
          <w:right w:w="0" w:type="dxa"/>
        </w:tblCellMar>
      </w:tblPr>
      <w:tblGrid>
        <w:gridCol w:w="5945"/>
        <w:gridCol w:w="120"/>
        <w:gridCol w:w="140"/>
        <w:gridCol w:w="755"/>
        <w:gridCol w:w="155"/>
        <w:gridCol w:w="60"/>
        <w:gridCol w:w="140"/>
        <w:gridCol w:w="755"/>
        <w:gridCol w:w="170"/>
      </w:tblGrid>
      <w:tr>
        <w:trPr/>
        <w:tc>
          <w:tcPr>
            <w:tcW w:w="594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r>
      <w:tr>
        <w:trPr/>
        <w:tc>
          <w:tcPr>
            <w:tcW w:w="594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005" w:type="dxa"/>
            <w:gridSpan w:val="6"/>
            <w:tcBorders/>
            <w:vAlign w:val="center"/>
          </w:tcPr>
          <w:p>
            <w:pPr>
              <w:pStyle w:val="TableContents"/>
              <w:bidi w:val="0"/>
              <w:spacing w:before="0" w:after="0"/>
              <w:jc w:val="center"/>
              <w:rPr>
                <w:b/>
                <w:spacing w:val="0"/>
              </w:rPr>
            </w:pPr>
            <w:r>
              <w:rPr>
                <w:b/>
                <w:spacing w:val="0"/>
              </w:rPr>
              <w:t>Six months ended</w:t>
              <w:br/>
              <w:t>June 30,</w:t>
            </w:r>
          </w:p>
        </w:tc>
        <w:tc>
          <w:tcPr>
            <w:tcW w:w="170" w:type="dxa"/>
            <w:tcBorders/>
            <w:vAlign w:val="center"/>
          </w:tcPr>
          <w:p>
            <w:pPr>
              <w:pStyle w:val="TableContents"/>
              <w:bidi w:val="0"/>
              <w:spacing w:before="0" w:after="0"/>
              <w:jc w:val="left"/>
              <w:rPr>
                <w:spacing w:val="0"/>
              </w:rPr>
            </w:pPr>
            <w:r>
              <w:rPr>
                <w:spacing w:val="0"/>
              </w:rPr>
              <w:t> </w:t>
            </w:r>
          </w:p>
        </w:tc>
      </w:tr>
      <w:tr>
        <w:trPr/>
        <w:tc>
          <w:tcPr>
            <w:tcW w:w="594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95" w:type="dxa"/>
            <w:gridSpan w:val="2"/>
            <w:tcBorders/>
            <w:vAlign w:val="center"/>
          </w:tcPr>
          <w:p>
            <w:pPr>
              <w:pStyle w:val="TableContents"/>
              <w:bidi w:val="0"/>
              <w:spacing w:before="0" w:after="0"/>
              <w:jc w:val="center"/>
              <w:rPr>
                <w:b/>
                <w:spacing w:val="0"/>
              </w:rPr>
            </w:pPr>
            <w:r>
              <w:rPr>
                <w:b/>
                <w:spacing w:val="0"/>
              </w:rPr>
              <w:t>2026</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895" w:type="dxa"/>
            <w:gridSpan w:val="2"/>
            <w:tcBorders/>
            <w:vAlign w:val="center"/>
          </w:tcPr>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0"/>
              <w:jc w:val="left"/>
              <w:rPr>
                <w:spacing w:val="0"/>
              </w:rPr>
            </w:pPr>
            <w:r>
              <w:rPr>
                <w:spacing w:val="0"/>
              </w:rPr>
              <w:t> </w:t>
            </w:r>
          </w:p>
        </w:tc>
      </w:tr>
      <w:tr>
        <w:trPr/>
        <w:tc>
          <w:tcPr>
            <w:tcW w:w="594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flows from operating activities: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w:t>
            </w:r>
          </w:p>
        </w:tc>
        <w:tc>
          <w:tcPr>
            <w:tcW w:w="755" w:type="dxa"/>
            <w:tcBorders/>
            <w:vAlign w:val="center"/>
          </w:tcPr>
          <w:p>
            <w:pPr>
              <w:pStyle w:val="TableContents"/>
              <w:bidi w:val="0"/>
              <w:spacing w:before="0" w:after="0"/>
              <w:jc w:val="right"/>
              <w:rPr>
                <w:spacing w:val="0"/>
              </w:rPr>
            </w:pPr>
            <w:r>
              <w:rPr>
                <w:spacing w:val="0"/>
              </w:rPr>
              <w:t>(45,497</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w:t>
            </w:r>
          </w:p>
        </w:tc>
        <w:tc>
          <w:tcPr>
            <w:tcW w:w="755" w:type="dxa"/>
            <w:tcBorders/>
            <w:vAlign w:val="center"/>
          </w:tcPr>
          <w:p>
            <w:pPr>
              <w:pStyle w:val="TableContents"/>
              <w:bidi w:val="0"/>
              <w:spacing w:before="0" w:after="0"/>
              <w:jc w:val="right"/>
              <w:rPr>
                <w:spacing w:val="0"/>
              </w:rPr>
            </w:pPr>
            <w:r>
              <w:rPr>
                <w:spacing w:val="0"/>
              </w:rPr>
              <w:t>(51,882</w:t>
            </w:r>
          </w:p>
        </w:tc>
        <w:tc>
          <w:tcPr>
            <w:tcW w:w="170" w:type="dxa"/>
            <w:tcBorders/>
            <w:vAlign w:val="center"/>
          </w:tcPr>
          <w:p>
            <w:pPr>
              <w:pStyle w:val="TableContents"/>
              <w:bidi w:val="0"/>
              <w:spacing w:before="0" w:after="0"/>
              <w:jc w:val="left"/>
              <w:rPr>
                <w:spacing w:val="0"/>
              </w:rPr>
            </w:pPr>
            <w:r>
              <w:rPr>
                <w:spacing w:val="0"/>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Adjustments to reconcile net loss to net cash used in operating activities: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Depreciation expense</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755" w:type="dxa"/>
            <w:tcBorders/>
            <w:vAlign w:val="center"/>
          </w:tcPr>
          <w:p>
            <w:pPr>
              <w:pStyle w:val="TableContents"/>
              <w:bidi w:val="0"/>
              <w:spacing w:before="0" w:after="0"/>
              <w:jc w:val="right"/>
              <w:rPr>
                <w:spacing w:val="0"/>
              </w:rPr>
            </w:pPr>
            <w:r>
              <w:rPr>
                <w:spacing w:val="0"/>
              </w:rPr>
              <w:t>635</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755" w:type="dxa"/>
            <w:tcBorders/>
            <w:vAlign w:val="center"/>
          </w:tcPr>
          <w:p>
            <w:pPr>
              <w:pStyle w:val="TableContents"/>
              <w:bidi w:val="0"/>
              <w:spacing w:before="0" w:after="0"/>
              <w:jc w:val="right"/>
              <w:rPr>
                <w:spacing w:val="0"/>
              </w:rPr>
            </w:pPr>
            <w:r>
              <w:rPr>
                <w:spacing w:val="0"/>
              </w:rPr>
              <w:t>752</w:t>
            </w:r>
          </w:p>
        </w:tc>
        <w:tc>
          <w:tcPr>
            <w:tcW w:w="170" w:type="dxa"/>
            <w:tcBorders/>
            <w:vAlign w:val="center"/>
          </w:tcPr>
          <w:p>
            <w:pPr>
              <w:pStyle w:val="TableContents"/>
              <w:bidi w:val="0"/>
              <w:spacing w:before="0" w:after="0"/>
              <w:jc w:val="left"/>
              <w:rPr>
                <w:spacing w:val="0"/>
              </w:rPr>
            </w:pPr>
            <w:r>
              <w:rPr>
                <w:spacing w:val="0"/>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Stock-based compensation expense</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755" w:type="dxa"/>
            <w:tcBorders/>
            <w:shd w:fill="CCEEFF" w:val="clear"/>
            <w:vAlign w:val="center"/>
          </w:tcPr>
          <w:p>
            <w:pPr>
              <w:pStyle w:val="TableContents"/>
              <w:bidi w:val="0"/>
              <w:spacing w:before="0" w:after="0"/>
              <w:jc w:val="right"/>
              <w:rPr>
                <w:spacing w:val="0"/>
              </w:rPr>
            </w:pPr>
            <w:r>
              <w:rPr>
                <w:spacing w:val="0"/>
              </w:rPr>
              <w:t>3,006</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755" w:type="dxa"/>
            <w:tcBorders/>
            <w:shd w:fill="CCEEFF" w:val="clear"/>
            <w:vAlign w:val="center"/>
          </w:tcPr>
          <w:p>
            <w:pPr>
              <w:pStyle w:val="TableContents"/>
              <w:bidi w:val="0"/>
              <w:spacing w:before="0" w:after="0"/>
              <w:jc w:val="right"/>
              <w:rPr>
                <w:spacing w:val="0"/>
              </w:rPr>
            </w:pPr>
            <w:r>
              <w:rPr>
                <w:spacing w:val="0"/>
              </w:rPr>
              <w:t>4,871</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Change in fair value of preferred stock warrant liability</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755" w:type="dxa"/>
            <w:tcBorders/>
            <w:vAlign w:val="center"/>
          </w:tcPr>
          <w:p>
            <w:pPr>
              <w:pStyle w:val="TableContents"/>
              <w:bidi w:val="0"/>
              <w:spacing w:before="0" w:after="0"/>
              <w:jc w:val="right"/>
              <w:rPr>
                <w:spacing w:val="0"/>
              </w:rPr>
            </w:pPr>
            <w:r>
              <w:rPr>
                <w:spacing w:val="0"/>
              </w:rPr>
              <w:t>(2</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755" w:type="dxa"/>
            <w:tcBorders/>
            <w:vAlign w:val="center"/>
          </w:tcPr>
          <w:p>
            <w:pPr>
              <w:pStyle w:val="TableContents"/>
              <w:bidi w:val="0"/>
              <w:spacing w:before="0" w:after="0"/>
              <w:jc w:val="right"/>
              <w:rPr>
                <w:spacing w:val="0"/>
              </w:rPr>
            </w:pPr>
            <w:r>
              <w:rPr>
                <w:spacing w:val="0"/>
              </w:rPr>
              <w:t>2</w:t>
            </w:r>
          </w:p>
        </w:tc>
        <w:tc>
          <w:tcPr>
            <w:tcW w:w="170" w:type="dxa"/>
            <w:tcBorders/>
            <w:vAlign w:val="center"/>
          </w:tcPr>
          <w:p>
            <w:pPr>
              <w:pStyle w:val="TableContents"/>
              <w:bidi w:val="0"/>
              <w:spacing w:before="0" w:after="0"/>
              <w:jc w:val="left"/>
              <w:rPr>
                <w:spacing w:val="0"/>
              </w:rPr>
            </w:pPr>
            <w:r>
              <w:rPr>
                <w:spacing w:val="0"/>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Accretion of discount on marketable securities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755" w:type="dxa"/>
            <w:tcBorders/>
            <w:shd w:fill="CCEEFF" w:val="clear"/>
            <w:vAlign w:val="center"/>
          </w:tcPr>
          <w:p>
            <w:pPr>
              <w:pStyle w:val="TableContents"/>
              <w:bidi w:val="0"/>
              <w:spacing w:before="0" w:after="0"/>
              <w:jc w:val="right"/>
              <w:rPr>
                <w:spacing w:val="0"/>
              </w:rPr>
            </w:pPr>
            <w:r>
              <w:rPr>
                <w:spacing w:val="0"/>
              </w:rPr>
              <w:t>(407</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755" w:type="dxa"/>
            <w:tcBorders/>
            <w:shd w:fill="CCEEFF" w:val="clear"/>
            <w:vAlign w:val="center"/>
          </w:tcPr>
          <w:p>
            <w:pPr>
              <w:pStyle w:val="TableContents"/>
              <w:bidi w:val="0"/>
              <w:spacing w:before="0" w:after="0"/>
              <w:jc w:val="right"/>
              <w:rPr>
                <w:spacing w:val="0"/>
              </w:rPr>
            </w:pPr>
            <w:r>
              <w:rPr>
                <w:spacing w:val="0"/>
              </w:rPr>
              <w:t>(1,621</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Loss on sale of property and equipment</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755" w:type="dxa"/>
            <w:tcBorders/>
            <w:vAlign w:val="center"/>
          </w:tcPr>
          <w:p>
            <w:pPr>
              <w:pStyle w:val="TableContents"/>
              <w:bidi w:val="0"/>
              <w:spacing w:before="0" w:after="0"/>
              <w:jc w:val="right"/>
              <w:rPr>
                <w:spacing w:val="0"/>
              </w:rPr>
            </w:pPr>
            <w:r>
              <w:rPr>
                <w:spacing w:val="0"/>
              </w:rPr>
              <w:t>56</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755" w:type="dxa"/>
            <w:tcBorders/>
            <w:vAlign w:val="center"/>
          </w:tcPr>
          <w:p>
            <w:pPr>
              <w:pStyle w:val="TableContents"/>
              <w:bidi w:val="0"/>
              <w:spacing w:before="0" w:after="0"/>
              <w:jc w:val="right"/>
              <w:rPr>
                <w:spacing w:val="0"/>
              </w:rPr>
            </w:pPr>
            <w:r>
              <w:rPr>
                <w:spacing w:val="0"/>
              </w:rPr>
              <w:t>— </w:t>
            </w:r>
          </w:p>
        </w:tc>
        <w:tc>
          <w:tcPr>
            <w:tcW w:w="170" w:type="dxa"/>
            <w:tcBorders/>
            <w:vAlign w:val="center"/>
          </w:tcPr>
          <w:p>
            <w:pPr>
              <w:pStyle w:val="TableContents"/>
              <w:bidi w:val="0"/>
              <w:spacing w:before="0" w:after="0"/>
              <w:jc w:val="left"/>
              <w:rPr>
                <w:spacing w:val="0"/>
              </w:rPr>
            </w:pPr>
            <w:r>
              <w:rPr>
                <w:spacing w:val="0"/>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lease expense</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755" w:type="dxa"/>
            <w:tcBorders/>
            <w:shd w:fill="CCEEFF" w:val="clear"/>
            <w:vAlign w:val="center"/>
          </w:tcPr>
          <w:p>
            <w:pPr>
              <w:pStyle w:val="TableContents"/>
              <w:bidi w:val="0"/>
              <w:spacing w:before="0" w:after="0"/>
              <w:jc w:val="right"/>
              <w:rPr>
                <w:spacing w:val="0"/>
              </w:rPr>
            </w:pPr>
            <w:r>
              <w:rPr>
                <w:spacing w:val="0"/>
              </w:rPr>
              <w:t>(106</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755" w:type="dxa"/>
            <w:tcBorders/>
            <w:shd w:fill="CCEEFF" w:val="clear"/>
            <w:vAlign w:val="center"/>
          </w:tcPr>
          <w:p>
            <w:pPr>
              <w:pStyle w:val="TableContents"/>
              <w:bidi w:val="0"/>
              <w:spacing w:before="0" w:after="0"/>
              <w:jc w:val="right"/>
              <w:rPr>
                <w:spacing w:val="0"/>
              </w:rPr>
            </w:pPr>
            <w:r>
              <w:rPr>
                <w:spacing w:val="0"/>
              </w:rPr>
              <w:t>(67</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Changes in operating assets and liabilities:</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Prepaid expenses and other current assets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755" w:type="dxa"/>
            <w:tcBorders/>
            <w:shd w:fill="CCEEFF" w:val="clear"/>
            <w:vAlign w:val="center"/>
          </w:tcPr>
          <w:p>
            <w:pPr>
              <w:pStyle w:val="TableContents"/>
              <w:bidi w:val="0"/>
              <w:spacing w:before="0" w:after="0"/>
              <w:jc w:val="right"/>
              <w:rPr>
                <w:spacing w:val="0"/>
              </w:rPr>
            </w:pPr>
            <w:r>
              <w:rPr>
                <w:spacing w:val="0"/>
              </w:rPr>
              <w:t>(10,884</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755" w:type="dxa"/>
            <w:tcBorders/>
            <w:shd w:fill="CCEEFF" w:val="clear"/>
            <w:vAlign w:val="center"/>
          </w:tcPr>
          <w:p>
            <w:pPr>
              <w:pStyle w:val="TableContents"/>
              <w:bidi w:val="0"/>
              <w:spacing w:before="0" w:after="0"/>
              <w:jc w:val="right"/>
              <w:rPr>
                <w:spacing w:val="0"/>
              </w:rPr>
            </w:pPr>
            <w:r>
              <w:rPr>
                <w:spacing w:val="0"/>
              </w:rPr>
              <w:t>3,370</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payable</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755" w:type="dxa"/>
            <w:tcBorders/>
            <w:vAlign w:val="center"/>
          </w:tcPr>
          <w:p>
            <w:pPr>
              <w:pStyle w:val="TableContents"/>
              <w:bidi w:val="0"/>
              <w:spacing w:before="0" w:after="0"/>
              <w:jc w:val="right"/>
              <w:rPr>
                <w:spacing w:val="0"/>
              </w:rPr>
            </w:pPr>
            <w:r>
              <w:rPr>
                <w:spacing w:val="0"/>
              </w:rPr>
              <w:t>353</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755" w:type="dxa"/>
            <w:tcBorders/>
            <w:vAlign w:val="center"/>
          </w:tcPr>
          <w:p>
            <w:pPr>
              <w:pStyle w:val="TableContents"/>
              <w:bidi w:val="0"/>
              <w:spacing w:before="0" w:after="0"/>
              <w:jc w:val="right"/>
              <w:rPr>
                <w:spacing w:val="0"/>
              </w:rPr>
            </w:pPr>
            <w:r>
              <w:rPr>
                <w:spacing w:val="0"/>
              </w:rPr>
              <w:t>(1,339</w:t>
            </w:r>
          </w:p>
        </w:tc>
        <w:tc>
          <w:tcPr>
            <w:tcW w:w="170" w:type="dxa"/>
            <w:tcBorders/>
            <w:vAlign w:val="center"/>
          </w:tcPr>
          <w:p>
            <w:pPr>
              <w:pStyle w:val="TableContents"/>
              <w:bidi w:val="0"/>
              <w:spacing w:before="0" w:after="0"/>
              <w:jc w:val="left"/>
              <w:rPr>
                <w:spacing w:val="0"/>
              </w:rPr>
            </w:pPr>
            <w:r>
              <w:rPr>
                <w:spacing w:val="0"/>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expenses and other current liabilities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755" w:type="dxa"/>
            <w:tcBorders/>
            <w:shd w:fill="CCEEFF" w:val="clear"/>
            <w:vAlign w:val="center"/>
          </w:tcPr>
          <w:p>
            <w:pPr>
              <w:pStyle w:val="TableContents"/>
              <w:bidi w:val="0"/>
              <w:spacing w:before="0" w:after="0"/>
              <w:jc w:val="right"/>
              <w:rPr>
                <w:spacing w:val="0"/>
              </w:rPr>
            </w:pPr>
            <w:r>
              <w:rPr>
                <w:spacing w:val="0"/>
              </w:rPr>
              <w:t>5,562</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755" w:type="dxa"/>
            <w:tcBorders/>
            <w:shd w:fill="CCEEFF" w:val="clear"/>
            <w:vAlign w:val="center"/>
          </w:tcPr>
          <w:p>
            <w:pPr>
              <w:pStyle w:val="TableContents"/>
              <w:bidi w:val="0"/>
              <w:spacing w:before="0" w:after="0"/>
              <w:jc w:val="right"/>
              <w:rPr>
                <w:spacing w:val="0"/>
              </w:rPr>
            </w:pPr>
            <w:r>
              <w:rPr>
                <w:spacing w:val="0"/>
              </w:rPr>
              <w:t>250</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liabilities</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755"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755" w:type="dxa"/>
            <w:tcBorders/>
            <w:vAlign w:val="center"/>
          </w:tcPr>
          <w:p>
            <w:pPr>
              <w:pStyle w:val="TableContents"/>
              <w:bidi w:val="0"/>
              <w:spacing w:before="0" w:after="0"/>
              <w:jc w:val="right"/>
              <w:rPr>
                <w:spacing w:val="0"/>
              </w:rPr>
            </w:pPr>
            <w:r>
              <w:rPr>
                <w:spacing w:val="0"/>
              </w:rPr>
              <w:t>(200</w:t>
            </w:r>
          </w:p>
        </w:tc>
        <w:tc>
          <w:tcPr>
            <w:tcW w:w="170" w:type="dxa"/>
            <w:tcBorders/>
            <w:vAlign w:val="center"/>
          </w:tcPr>
          <w:p>
            <w:pPr>
              <w:pStyle w:val="TableContents"/>
              <w:bidi w:val="0"/>
              <w:spacing w:before="0" w:after="0"/>
              <w:jc w:val="left"/>
              <w:rPr>
                <w:spacing w:val="0"/>
              </w:rPr>
            </w:pPr>
            <w:r>
              <w:rPr>
                <w:spacing w:val="0"/>
              </w:rPr>
              <w:t>) </w:t>
            </w:r>
          </w:p>
        </w:tc>
      </w:tr>
      <w:tr>
        <w:trPr/>
        <w:tc>
          <w:tcPr>
            <w:tcW w:w="59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0"/>
              <w:jc w:val="left"/>
              <w:rPr>
                <w:spacing w:val="0"/>
              </w:rPr>
            </w:pPr>
            <w:r>
              <w:rPr>
                <w:spacing w:val="0"/>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cash used in operating activities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755" w:type="dxa"/>
            <w:tcBorders/>
            <w:shd w:fill="CCEEFF" w:val="clear"/>
            <w:vAlign w:val="center"/>
          </w:tcPr>
          <w:p>
            <w:pPr>
              <w:pStyle w:val="TableContents"/>
              <w:bidi w:val="0"/>
              <w:spacing w:before="0" w:after="0"/>
              <w:jc w:val="right"/>
              <w:rPr>
                <w:spacing w:val="0"/>
              </w:rPr>
            </w:pPr>
            <w:r>
              <w:rPr>
                <w:spacing w:val="0"/>
              </w:rPr>
              <w:t>(47,284</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755" w:type="dxa"/>
            <w:tcBorders/>
            <w:shd w:fill="CCEEFF" w:val="clear"/>
            <w:vAlign w:val="center"/>
          </w:tcPr>
          <w:p>
            <w:pPr>
              <w:pStyle w:val="TableContents"/>
              <w:bidi w:val="0"/>
              <w:spacing w:before="0" w:after="0"/>
              <w:jc w:val="right"/>
              <w:rPr>
                <w:spacing w:val="0"/>
              </w:rPr>
            </w:pPr>
            <w:r>
              <w:rPr>
                <w:spacing w:val="0"/>
              </w:rPr>
              <w:t>(45,864</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59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0"/>
              <w:jc w:val="left"/>
              <w:rPr>
                <w:spacing w:val="0"/>
              </w:rPr>
            </w:pPr>
            <w:r>
              <w:rPr>
                <w:spacing w:val="0"/>
              </w:rPr>
              <w:t> </w:t>
            </w:r>
          </w:p>
        </w:tc>
      </w:tr>
      <w:tr>
        <w:trPr/>
        <w:tc>
          <w:tcPr>
            <w:tcW w:w="594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flows from investing activities:</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Purchases of property and equipment</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755"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755" w:type="dxa"/>
            <w:tcBorders/>
            <w:shd w:fill="CCEEFF" w:val="clear"/>
            <w:vAlign w:val="center"/>
          </w:tcPr>
          <w:p>
            <w:pPr>
              <w:pStyle w:val="TableContents"/>
              <w:bidi w:val="0"/>
              <w:spacing w:before="0" w:after="0"/>
              <w:jc w:val="right"/>
              <w:rPr>
                <w:spacing w:val="0"/>
              </w:rPr>
            </w:pPr>
            <w:r>
              <w:rPr>
                <w:spacing w:val="0"/>
              </w:rPr>
              <w:t>(57</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Purchases of marketable securities</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755"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755" w:type="dxa"/>
            <w:tcBorders/>
            <w:vAlign w:val="center"/>
          </w:tcPr>
          <w:p>
            <w:pPr>
              <w:pStyle w:val="TableContents"/>
              <w:bidi w:val="0"/>
              <w:spacing w:before="0" w:after="0"/>
              <w:jc w:val="right"/>
              <w:rPr>
                <w:spacing w:val="0"/>
              </w:rPr>
            </w:pPr>
            <w:r>
              <w:rPr>
                <w:spacing w:val="0"/>
              </w:rPr>
              <w:t>(36,192</w:t>
            </w:r>
          </w:p>
        </w:tc>
        <w:tc>
          <w:tcPr>
            <w:tcW w:w="170" w:type="dxa"/>
            <w:tcBorders/>
            <w:vAlign w:val="center"/>
          </w:tcPr>
          <w:p>
            <w:pPr>
              <w:pStyle w:val="TableContents"/>
              <w:bidi w:val="0"/>
              <w:spacing w:before="0" w:after="0"/>
              <w:jc w:val="left"/>
              <w:rPr>
                <w:spacing w:val="0"/>
              </w:rPr>
            </w:pPr>
            <w:r>
              <w:rPr>
                <w:spacing w:val="0"/>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Maturities of marketable securities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755" w:type="dxa"/>
            <w:tcBorders/>
            <w:shd w:fill="CCEEFF" w:val="clear"/>
            <w:vAlign w:val="center"/>
          </w:tcPr>
          <w:p>
            <w:pPr>
              <w:pStyle w:val="TableContents"/>
              <w:bidi w:val="0"/>
              <w:spacing w:before="0" w:after="0"/>
              <w:jc w:val="right"/>
              <w:rPr>
                <w:spacing w:val="0"/>
              </w:rPr>
            </w:pPr>
            <w:r>
              <w:rPr>
                <w:spacing w:val="0"/>
              </w:rPr>
              <w:t>24,000</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755" w:type="dxa"/>
            <w:tcBorders/>
            <w:shd w:fill="CCEEFF" w:val="clear"/>
            <w:vAlign w:val="center"/>
          </w:tcPr>
          <w:p>
            <w:pPr>
              <w:pStyle w:val="TableContents"/>
              <w:bidi w:val="0"/>
              <w:spacing w:before="0" w:after="0"/>
              <w:jc w:val="right"/>
              <w:rPr>
                <w:spacing w:val="0"/>
              </w:rPr>
            </w:pPr>
            <w:r>
              <w:rPr>
                <w:spacing w:val="0"/>
              </w:rPr>
              <w:t>67,000</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Proceeds from the sale of property and equipment</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755" w:type="dxa"/>
            <w:tcBorders/>
            <w:vAlign w:val="center"/>
          </w:tcPr>
          <w:p>
            <w:pPr>
              <w:pStyle w:val="TableContents"/>
              <w:bidi w:val="0"/>
              <w:spacing w:before="0" w:after="0"/>
              <w:jc w:val="right"/>
              <w:rPr>
                <w:spacing w:val="0"/>
              </w:rPr>
            </w:pPr>
            <w:r>
              <w:rPr>
                <w:spacing w:val="0"/>
              </w:rPr>
              <w:t>19</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755" w:type="dxa"/>
            <w:tcBorders/>
            <w:vAlign w:val="center"/>
          </w:tcPr>
          <w:p>
            <w:pPr>
              <w:pStyle w:val="TableContents"/>
              <w:bidi w:val="0"/>
              <w:spacing w:before="0" w:after="0"/>
              <w:jc w:val="right"/>
              <w:rPr>
                <w:spacing w:val="0"/>
              </w:rPr>
            </w:pPr>
            <w:r>
              <w:rPr>
                <w:spacing w:val="0"/>
              </w:rPr>
              <w:t>— </w:t>
            </w:r>
          </w:p>
        </w:tc>
        <w:tc>
          <w:tcPr>
            <w:tcW w:w="170" w:type="dxa"/>
            <w:tcBorders/>
            <w:vAlign w:val="center"/>
          </w:tcPr>
          <w:p>
            <w:pPr>
              <w:pStyle w:val="TableContents"/>
              <w:bidi w:val="0"/>
              <w:spacing w:before="0" w:after="0"/>
              <w:jc w:val="left"/>
              <w:rPr>
                <w:spacing w:val="0"/>
              </w:rPr>
            </w:pPr>
            <w:r>
              <w:rPr>
                <w:spacing w:val="0"/>
              </w:rPr>
              <w:t> </w:t>
            </w:r>
          </w:p>
        </w:tc>
      </w:tr>
      <w:tr>
        <w:trPr/>
        <w:tc>
          <w:tcPr>
            <w:tcW w:w="59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0"/>
              <w:jc w:val="left"/>
              <w:rPr>
                <w:spacing w:val="0"/>
              </w:rPr>
            </w:pPr>
            <w:r>
              <w:rPr>
                <w:spacing w:val="0"/>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cash provided by investing activities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755" w:type="dxa"/>
            <w:tcBorders/>
            <w:shd w:fill="CCEEFF" w:val="clear"/>
            <w:vAlign w:val="center"/>
          </w:tcPr>
          <w:p>
            <w:pPr>
              <w:pStyle w:val="TableContents"/>
              <w:bidi w:val="0"/>
              <w:spacing w:before="0" w:after="0"/>
              <w:jc w:val="right"/>
              <w:rPr>
                <w:spacing w:val="0"/>
              </w:rPr>
            </w:pPr>
            <w:r>
              <w:rPr>
                <w:spacing w:val="0"/>
              </w:rPr>
              <w:t>24,019</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755" w:type="dxa"/>
            <w:tcBorders/>
            <w:shd w:fill="CCEEFF" w:val="clear"/>
            <w:vAlign w:val="center"/>
          </w:tcPr>
          <w:p>
            <w:pPr>
              <w:pStyle w:val="TableContents"/>
              <w:bidi w:val="0"/>
              <w:spacing w:before="0" w:after="0"/>
              <w:jc w:val="right"/>
              <w:rPr>
                <w:spacing w:val="0"/>
              </w:rPr>
            </w:pPr>
            <w:r>
              <w:rPr>
                <w:spacing w:val="0"/>
              </w:rPr>
              <w:t>30,751</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59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0"/>
              <w:jc w:val="left"/>
              <w:rPr>
                <w:spacing w:val="0"/>
              </w:rPr>
            </w:pPr>
            <w:r>
              <w:rPr>
                <w:spacing w:val="0"/>
              </w:rPr>
              <w:t> </w:t>
            </w:r>
          </w:p>
        </w:tc>
      </w:tr>
      <w:tr>
        <w:trPr/>
        <w:tc>
          <w:tcPr>
            <w:tcW w:w="594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flows from financing activities:</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Proceeds from the exercise of stock options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755" w:type="dxa"/>
            <w:tcBorders/>
            <w:shd w:fill="CCEEFF" w:val="clear"/>
            <w:vAlign w:val="center"/>
          </w:tcPr>
          <w:p>
            <w:pPr>
              <w:pStyle w:val="TableContents"/>
              <w:bidi w:val="0"/>
              <w:spacing w:before="0" w:after="0"/>
              <w:jc w:val="right"/>
              <w:rPr>
                <w:spacing w:val="0"/>
              </w:rPr>
            </w:pPr>
            <w:r>
              <w:rPr>
                <w:spacing w:val="0"/>
              </w:rPr>
              <w:t>843</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755" w:type="dxa"/>
            <w:tcBorders/>
            <w:shd w:fill="CCEEFF" w:val="clear"/>
            <w:vAlign w:val="center"/>
          </w:tcPr>
          <w:p>
            <w:pPr>
              <w:pStyle w:val="TableContents"/>
              <w:bidi w:val="0"/>
              <w:spacing w:before="0" w:after="0"/>
              <w:jc w:val="right"/>
              <w:rPr>
                <w:spacing w:val="0"/>
              </w:rPr>
            </w:pPr>
            <w:r>
              <w:rPr>
                <w:spacing w:val="0"/>
              </w:rPr>
              <w:t>18</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59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0"/>
              <w:jc w:val="left"/>
              <w:rPr>
                <w:spacing w:val="0"/>
              </w:rPr>
            </w:pPr>
            <w:r>
              <w:rPr>
                <w:spacing w:val="0"/>
              </w:rPr>
              <w:t> </w:t>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cash provided by financing activities</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755" w:type="dxa"/>
            <w:tcBorders/>
            <w:vAlign w:val="center"/>
          </w:tcPr>
          <w:p>
            <w:pPr>
              <w:pStyle w:val="TableContents"/>
              <w:bidi w:val="0"/>
              <w:spacing w:before="0" w:after="0"/>
              <w:jc w:val="right"/>
              <w:rPr>
                <w:spacing w:val="0"/>
              </w:rPr>
            </w:pPr>
            <w:r>
              <w:rPr>
                <w:spacing w:val="0"/>
              </w:rPr>
              <w:t>843</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755" w:type="dxa"/>
            <w:tcBorders/>
            <w:vAlign w:val="center"/>
          </w:tcPr>
          <w:p>
            <w:pPr>
              <w:pStyle w:val="TableContents"/>
              <w:bidi w:val="0"/>
              <w:spacing w:before="0" w:after="0"/>
              <w:jc w:val="right"/>
              <w:rPr>
                <w:spacing w:val="0"/>
              </w:rPr>
            </w:pPr>
            <w:r>
              <w:rPr>
                <w:spacing w:val="0"/>
              </w:rPr>
              <w:t>18</w:t>
            </w:r>
          </w:p>
        </w:tc>
        <w:tc>
          <w:tcPr>
            <w:tcW w:w="170" w:type="dxa"/>
            <w:tcBorders/>
            <w:vAlign w:val="center"/>
          </w:tcPr>
          <w:p>
            <w:pPr>
              <w:pStyle w:val="TableContents"/>
              <w:bidi w:val="0"/>
              <w:spacing w:before="0" w:after="0"/>
              <w:jc w:val="left"/>
              <w:rPr>
                <w:spacing w:val="0"/>
              </w:rPr>
            </w:pPr>
            <w:r>
              <w:rPr>
                <w:spacing w:val="0"/>
              </w:rPr>
              <w:t> </w:t>
            </w:r>
          </w:p>
        </w:tc>
      </w:tr>
      <w:tr>
        <w:trPr/>
        <w:tc>
          <w:tcPr>
            <w:tcW w:w="59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0"/>
              <w:jc w:val="left"/>
              <w:rPr>
                <w:spacing w:val="0"/>
              </w:rPr>
            </w:pPr>
            <w:r>
              <w:rPr>
                <w:spacing w:val="0"/>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decrease in cash and cash equivalents and restricted cash</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755" w:type="dxa"/>
            <w:tcBorders/>
            <w:shd w:fill="CCEEFF" w:val="clear"/>
            <w:vAlign w:val="center"/>
          </w:tcPr>
          <w:p>
            <w:pPr>
              <w:pStyle w:val="TableContents"/>
              <w:bidi w:val="0"/>
              <w:spacing w:before="0" w:after="0"/>
              <w:jc w:val="right"/>
              <w:rPr>
                <w:spacing w:val="0"/>
              </w:rPr>
            </w:pPr>
            <w:r>
              <w:rPr>
                <w:spacing w:val="0"/>
              </w:rPr>
              <w:t>(22,422</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755" w:type="dxa"/>
            <w:tcBorders/>
            <w:shd w:fill="CCEEFF" w:val="clear"/>
            <w:vAlign w:val="center"/>
          </w:tcPr>
          <w:p>
            <w:pPr>
              <w:pStyle w:val="TableContents"/>
              <w:bidi w:val="0"/>
              <w:spacing w:before="0" w:after="0"/>
              <w:jc w:val="right"/>
              <w:rPr>
                <w:spacing w:val="0"/>
              </w:rPr>
            </w:pPr>
            <w:r>
              <w:rPr>
                <w:spacing w:val="0"/>
              </w:rPr>
              <w:t>(15,095</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 and restricted cash at beginning of period</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755" w:type="dxa"/>
            <w:tcBorders/>
            <w:vAlign w:val="center"/>
          </w:tcPr>
          <w:p>
            <w:pPr>
              <w:pStyle w:val="TableContents"/>
              <w:bidi w:val="0"/>
              <w:spacing w:before="0" w:after="0"/>
              <w:jc w:val="right"/>
              <w:rPr>
                <w:spacing w:val="0"/>
              </w:rPr>
            </w:pPr>
            <w:r>
              <w:rPr>
                <w:spacing w:val="0"/>
              </w:rPr>
              <w:t>41,409</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755" w:type="dxa"/>
            <w:tcBorders/>
            <w:vAlign w:val="center"/>
          </w:tcPr>
          <w:p>
            <w:pPr>
              <w:pStyle w:val="TableContents"/>
              <w:bidi w:val="0"/>
              <w:spacing w:before="0" w:after="0"/>
              <w:jc w:val="right"/>
              <w:rPr>
                <w:spacing w:val="0"/>
              </w:rPr>
            </w:pPr>
            <w:r>
              <w:rPr>
                <w:spacing w:val="0"/>
              </w:rPr>
              <w:t>50,765</w:t>
            </w:r>
          </w:p>
        </w:tc>
        <w:tc>
          <w:tcPr>
            <w:tcW w:w="170" w:type="dxa"/>
            <w:tcBorders/>
            <w:vAlign w:val="center"/>
          </w:tcPr>
          <w:p>
            <w:pPr>
              <w:pStyle w:val="TableContents"/>
              <w:bidi w:val="0"/>
              <w:spacing w:before="0" w:after="0"/>
              <w:jc w:val="left"/>
              <w:rPr>
                <w:spacing w:val="0"/>
              </w:rPr>
            </w:pPr>
            <w:r>
              <w:rPr>
                <w:spacing w:val="0"/>
              </w:rPr>
              <w:t> </w:t>
            </w:r>
          </w:p>
        </w:tc>
      </w:tr>
      <w:tr>
        <w:trPr/>
        <w:tc>
          <w:tcPr>
            <w:tcW w:w="59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0"/>
              <w:jc w:val="left"/>
              <w:rPr>
                <w:spacing w:val="0"/>
              </w:rPr>
            </w:pPr>
            <w:r>
              <w:rPr>
                <w:spacing w:val="0"/>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 and restricted cash at end of period</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w:t>
            </w:r>
          </w:p>
        </w:tc>
        <w:tc>
          <w:tcPr>
            <w:tcW w:w="755" w:type="dxa"/>
            <w:tcBorders/>
            <w:shd w:fill="CCEEFF" w:val="clear"/>
            <w:vAlign w:val="center"/>
          </w:tcPr>
          <w:p>
            <w:pPr>
              <w:pStyle w:val="TableContents"/>
              <w:bidi w:val="0"/>
              <w:spacing w:before="0" w:after="0"/>
              <w:jc w:val="right"/>
              <w:rPr>
                <w:spacing w:val="0"/>
              </w:rPr>
            </w:pPr>
            <w:r>
              <w:rPr>
                <w:spacing w:val="0"/>
              </w:rPr>
              <w:t>18,987</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w:t>
            </w:r>
          </w:p>
        </w:tc>
        <w:tc>
          <w:tcPr>
            <w:tcW w:w="755" w:type="dxa"/>
            <w:tcBorders/>
            <w:shd w:fill="CCEEFF" w:val="clear"/>
            <w:vAlign w:val="center"/>
          </w:tcPr>
          <w:p>
            <w:pPr>
              <w:pStyle w:val="TableContents"/>
              <w:bidi w:val="0"/>
              <w:spacing w:before="0" w:after="0"/>
              <w:jc w:val="right"/>
              <w:rPr>
                <w:spacing w:val="0"/>
              </w:rPr>
            </w:pPr>
            <w:r>
              <w:rPr>
                <w:spacing w:val="0"/>
              </w:rPr>
              <w:t>35,670</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59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0"/>
              <w:jc w:val="left"/>
              <w:rPr>
                <w:spacing w:val="0"/>
              </w:rPr>
            </w:pPr>
            <w:r>
              <w:rPr>
                <w:spacing w:val="0"/>
              </w:rPr>
              <w:t> </w:t>
            </w:r>
          </w:p>
        </w:tc>
      </w:tr>
    </w:tbl>
    <w:p>
      <w:pPr>
        <w:pStyle w:val="TextBody"/>
        <w:bidi w:val="0"/>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unaudited condensed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OBSIDIAN THERAPEUTICS SUB, INC. (F/K/A OBSIDIAN THERAPEUTICS,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NOTES TO THE CONDENSED CONSOLIDATED FINANCIAL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240" w:after="0"/>
        <w:ind w:left="0" w:right="0" w:hanging="0"/>
        <w:jc w:val="left"/>
        <w:rPr>
          <w:rFonts w:ascii="Times New Roman" w:hAnsi="Times New Roman"/>
          <w:b/>
          <w:spacing w:val="0"/>
          <w:sz w:val="20"/>
        </w:rPr>
      </w:pPr>
      <w:r>
        <w:rPr>
          <w:rFonts w:ascii="Times New Roman" w:hAnsi="Times New Roman"/>
          <w:b/>
          <w:spacing w:val="0"/>
          <w:sz w:val="20"/>
        </w:rPr>
        <w:t xml:space="preserve">1. Nature of the Business and Basis of Presentation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Obsidian Therapeutics Sub, Inc. (formerly known as, Obsidian Therapeutics, Inc.) (the “Company” is a clinical-stage biopharmaceutical company harnessing novel protein-regulation technology to develop engineered tumor infiltrating lymphocytes (“TIL”) cell therapies for the treatment of patients with solid tumors. The Company’s proprietary cytoDRiVE</w:t>
      </w:r>
    </w:p>
    <w:p>
      <w:pPr>
        <w:pStyle w:val="TextBody"/>
        <w:bidi w:val="0"/>
        <w:spacing w:before="120" w:after="0"/>
        <w:jc w:val="left"/>
        <w:rPr>
          <w:spacing w:val="0"/>
        </w:rPr>
      </w:pPr>
      <w:r>
        <w:rPr>
          <w:spacing w:val="0"/>
        </w:rPr>
        <w:t>™</w:t>
      </w:r>
    </w:p>
    <w:p>
      <w:pPr>
        <w:pStyle w:val="TextBody"/>
        <w:bidi w:val="0"/>
        <w:spacing w:before="120" w:after="0"/>
        <w:jc w:val="left"/>
        <w:rPr>
          <w:rFonts w:ascii="Times New Roman" w:hAnsi="Times New Roman"/>
          <w:spacing w:val="0"/>
          <w:sz w:val="20"/>
        </w:rPr>
      </w:pPr>
      <w:r>
        <w:rPr>
          <w:rFonts w:ascii="Times New Roman" w:hAnsi="Times New Roman"/>
          <w:spacing w:val="0"/>
          <w:sz w:val="20"/>
        </w:rPr>
        <w:t>platform is highly versatile and allows it to leverage drug responsive domains to control protein function, with its initial focus on TIL cell therapies developed from this platform (“cytoTILs</w:t>
      </w:r>
    </w:p>
    <w:p>
      <w:pPr>
        <w:pStyle w:val="TextBody"/>
        <w:bidi w:val="0"/>
        <w:spacing w:before="120" w:after="0"/>
        <w:jc w:val="left"/>
        <w:rPr>
          <w:spacing w:val="0"/>
        </w:rPr>
      </w:pPr>
      <w:r>
        <w:rPr>
          <w:spacing w:val="0"/>
        </w:rPr>
        <w:t>™</w:t>
      </w:r>
    </w:p>
    <w:p>
      <w:pPr>
        <w:pStyle w:val="TextBody"/>
        <w:bidi w:val="0"/>
        <w:spacing w:before="120" w:after="0"/>
        <w:jc w:val="left"/>
        <w:rPr>
          <w:spacing w:val="0"/>
        </w:rPr>
      </w:pPr>
      <w:r>
        <w:rPr>
          <w:spacing w:val="0"/>
        </w:rPr>
        <w:t>”</w:t>
      </w:r>
      <w:r>
        <w:rPr>
          <w:rFonts w:ascii="Times New Roman" w:hAnsi="Times New Roman"/>
          <w:spacing w:val="0"/>
          <w:sz w:val="20"/>
        </w:rPr>
        <w:t xml:space="preserve">). The Company’s lead product candidate, </w:t>
      </w:r>
    </w:p>
    <w:p>
      <w:pPr>
        <w:pStyle w:val="TextBody"/>
        <w:bidi w:val="0"/>
        <w:spacing w:before="120" w:after="0"/>
        <w:jc w:val="left"/>
        <w:rPr>
          <w:rFonts w:ascii="Times New Roman" w:hAnsi="Times New Roman"/>
          <w:spacing w:val="0"/>
          <w:sz w:val="20"/>
        </w:rPr>
      </w:pPr>
      <w:r>
        <w:rPr>
          <w:rFonts w:ascii="Times New Roman" w:hAnsi="Times New Roman"/>
          <w:spacing w:val="0"/>
          <w:sz w:val="20"/>
        </w:rPr>
        <w:t>OBX-115,</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is a novel, genetically engineered, autologous TIL cell therapy currently in a Phase 2 clinical trial for the treatment of advanced melanoma and a Phase 1 clinical trial for the treatment of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non-small</w:t>
      </w:r>
    </w:p>
    <w:p>
      <w:pPr>
        <w:pStyle w:val="TextBody"/>
        <w:bidi w:val="0"/>
        <w:spacing w:before="120" w:after="0"/>
        <w:jc w:val="left"/>
        <w:rPr>
          <w:rFonts w:ascii="Times New Roman" w:hAnsi="Times New Roman"/>
          <w:spacing w:val="0"/>
          <w:sz w:val="20"/>
        </w:rPr>
      </w:pPr>
      <w:r>
        <w:rPr>
          <w:rFonts w:ascii="Times New Roman" w:hAnsi="Times New Roman"/>
          <w:spacing w:val="0"/>
          <w:sz w:val="20"/>
        </w:rPr>
        <w:t>cell lung cancer.</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The Company was incorporated in 2015 under the laws of the State of Delaware, and its principal offices are in Cambridge, Massachusetts. Since its inception, the Company has devoted substantially all its efforts to raising capital, obtaining financing, and incurring research and development costs related to advancing its scientific platform.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The condensed consolidated financial statements include the accounts of the Company and its wholly owned subsidiary, Obsidian Therapeutics Securities Corporation. All intercompany balances and transactions have been eliminated.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The Company is subject to risks and uncertainties common to early-stage companies in the biotechnology industry, including, but not limited to, development by competitors of new technological innovations, dependence on key personnel, protection of proprietary technology, compliance with government regulations, and ability to secure additional capital to fund operations. Product candidates currently under development will likely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 reporting capabilities. There can be no assurance that the Company’s research and development will be successfully completed, that adequate protection for the Company’s technology will be obtained, that any products developed will obtain necessary government regulatory approval, or that any approved products will be commercially viable. The Company operates in an environment of rapid change in technology and substantial competition from pharmaceutical and biotechnology companies. In addition, the Company is dependent upon the services of its employees and consultants. Even if the Company’s product development efforts are successful, it is uncertain when, if ever, the Company will generate significant revenue from product sales. </w:t>
      </w: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Liquidity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Company has a history of operating losses and negative cash flows from operations and expects to continue generating losses as it advances its research and development programs. As of June 30, 2026 the Company had cash, cash equivalents, and marketable securities of $34.4 million.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On April 14, 2026, the Company entered into a definitive merger agreement with Galera Therapeutics, Inc. (“Galera”) pursuant to which both companies were to become wholly owned subsidiaries of a newly formed holding company, Gazelle Parent, Inc. (“Gazelle”). In connection with the merger, Gazelle, the Company and Galera secured commitments for a private investment in public equity financing in Galera with expected gross proceeds of approximately $350.0 million.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On July 31, 2026, immediately prior to the completion of the merger transaction and before the issuance of these condensed consolidated financial statements, the Concurrent PIPE Financing (as defined below) closed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F-3</w:t>
      </w:r>
    </w:p>
    <w:p>
      <w:pPr>
        <w:pStyle w:val="TextBody"/>
        <w:bidi w:val="0"/>
        <w:spacing w:before="0" w:after="0"/>
        <w:jc w:val="center"/>
        <w:rPr>
          <w:rFonts w:ascii="Times New Roman" w:hAnsi="Times New Roman"/>
          <w:spacing w:val="0"/>
          <w:sz w:val="20"/>
        </w:rPr>
      </w:pPr>
      <w:r>
        <w:rPr>
          <w:rFonts w:ascii="Times New Roman" w:hAnsi="Times New Roman"/>
          <w:spacing w:val="0"/>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generated gross proceeds of approximately $350.0 million. The Company expects that its cash, cash equivalents and marketable securities subsequent to the closing of the Concurrent PIPE Financing will be sufficient to fund its operating expenses and capital expenditure requirements through the next twelve months from the date of issuance of these condensed consolidated financial statements.</w:t>
      </w: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2. Summary of Significant Accounting Policies </w:t>
      </w:r>
    </w:p>
    <w:p>
      <w:pPr>
        <w:pStyle w:val="TextBody"/>
        <w:bidi w:val="0"/>
        <w:spacing w:before="120" w:after="0"/>
        <w:ind w:left="0" w:right="0" w:hanging="0"/>
        <w:jc w:val="left"/>
        <w:rPr>
          <w:rFonts w:ascii="Times New Roman" w:hAnsi="Times New Roman"/>
          <w:b/>
          <w:spacing w:val="0"/>
          <w:sz w:val="20"/>
        </w:rPr>
      </w:pPr>
      <w:r>
        <w:rPr>
          <w:rFonts w:ascii="Times New Roman" w:hAnsi="Times New Roman"/>
          <w:b/>
          <w:spacing w:val="0"/>
          <w:sz w:val="20"/>
        </w:rPr>
        <w:t xml:space="preserve">Basis of Presentation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accompanying condensed consolidated financial statements have been prepared in conformity with accounting principles generally accepted in the United States of America (“GAAP”). In our opinion, the information furnished reflects all adjustments, all of which are of a normal and recurring nature, necessary for a fair presentation of the financial position and results of operations for the reported interim periods. We consider events or transactions that occur after the balance sheet date but before the condensed consolidated financial statements are issued to provide additional evidence relative to certain estimates or to identify matters that require additional disclosure. The results of operations for interim periods are not necessarily indicative of results to be expected for the full year or any other interim period. These unaudited interim condensed consolidated financial statements should be read in conjunction with the consolidated financial statements, including the related notes thereto, for the year ended December 31, 2025.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There were no changes to the Company’s significant accounting policies during the six months ended June 30, 2026, other than noted below. </w:t>
      </w: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Deferred Offering Costs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Company capitalizes legal, accounting, and other professional fees directly related to the Concurrent PIPE Financing (as defined below) and merger, which are recorded within prepaid expenses and other current assets on the condensed consolidated balance sheets and are expensed or charged against additional </w:t>
      </w:r>
    </w:p>
    <w:p>
      <w:pPr>
        <w:pStyle w:val="TextBody"/>
        <w:bidi w:val="0"/>
        <w:spacing w:before="120" w:after="0"/>
        <w:jc w:val="left"/>
        <w:rPr>
          <w:rFonts w:ascii="Times New Roman" w:hAnsi="Times New Roman"/>
          <w:spacing w:val="0"/>
          <w:sz w:val="20"/>
        </w:rPr>
      </w:pPr>
      <w:r>
        <w:rPr>
          <w:rFonts w:ascii="Times New Roman" w:hAnsi="Times New Roman"/>
          <w:spacing w:val="0"/>
          <w:sz w:val="20"/>
        </w:rPr>
        <w:t>paid-in</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capital, as applicable, upon closing of the merger transaction and Concurrent PIPE Financing. </w:t>
      </w: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Recently Issued Accounting Standards Not Yet Adopted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In November 2024, the FASB issued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2024-03,</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Income Statement–Reporting Comprehensive Income–Expense Disaggregation Disclosures (Subtopic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220-40):</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Disaggregation of Income Statement Expenses</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 or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2024-03</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which requires public business entities to disclose specified information about certain costs and expenses on an interim and annual basis.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2024-03</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is effective for annual reporting periods beginning after December 15, 2026, and interim reporting periods beginning after December 15, 2027, with early adoption permitted. Obsidian Sub is currently evaluating the impact that adoption of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2024-03</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will have on its consolidated financial statements and related disclosures.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In December 2025, the Financial Accounting Standards Board (“FASB”) issued Accounting Standards Update (“ASU”)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 2025-12,</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Codification Improvements, which includes amendments to Accounting Standards Codification, or ASC, 260, Earnings Per Share. The amendments clarify guidance related to the calculation of diluted earnings per share when an entity reports a loss from continuing operations, including the evaluation of the effect of potential common shares. ASU </w:t>
      </w:r>
    </w:p>
    <w:p>
      <w:pPr>
        <w:pStyle w:val="TextBody"/>
        <w:bidi w:val="0"/>
        <w:spacing w:before="240" w:after="0"/>
        <w:jc w:val="left"/>
        <w:rPr>
          <w:rFonts w:ascii="Times New Roman" w:hAnsi="Times New Roman"/>
          <w:spacing w:val="0"/>
          <w:sz w:val="20"/>
        </w:rPr>
      </w:pPr>
      <w:r>
        <w:rPr>
          <w:rFonts w:ascii="Times New Roman" w:hAnsi="Times New Roman"/>
          <w:spacing w:val="0"/>
          <w:sz w:val="20"/>
        </w:rPr>
        <w:t>2025-12</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is effective for annual reporting periods beginning after December 15, 2026, and interim reporting periods within those annual periods, and are required to be applied retrospectively. Early adoption is permitted. The Company is currently evaluating the impact of ASU </w:t>
      </w:r>
    </w:p>
    <w:p>
      <w:pPr>
        <w:pStyle w:val="TextBody"/>
        <w:bidi w:val="0"/>
        <w:spacing w:before="240" w:after="0"/>
        <w:jc w:val="left"/>
        <w:rPr>
          <w:rFonts w:ascii="Times New Roman" w:hAnsi="Times New Roman"/>
          <w:spacing w:val="0"/>
          <w:sz w:val="20"/>
        </w:rPr>
      </w:pPr>
      <w:r>
        <w:rPr>
          <w:rFonts w:ascii="Times New Roman" w:hAnsi="Times New Roman"/>
          <w:spacing w:val="0"/>
          <w:sz w:val="20"/>
        </w:rPr>
        <w:t>2025-12</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on its consolidated financial statements and related disclosures.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F-3</w:t>
      </w:r>
    </w:p>
    <w:p>
      <w:pPr>
        <w:pStyle w:val="TextBody"/>
        <w:bidi w:val="0"/>
        <w:spacing w:before="0" w:after="0"/>
        <w:jc w:val="center"/>
        <w:rPr>
          <w:rFonts w:ascii="Times New Roman" w:hAnsi="Times New Roman"/>
          <w:spacing w:val="0"/>
          <w:sz w:val="20"/>
        </w:rPr>
      </w:pPr>
      <w:r>
        <w:rPr>
          <w:rFonts w:ascii="Times New Roman" w:hAnsi="Times New Roman"/>
          <w:spacing w:val="0"/>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pacing w:val="0"/>
          <w:sz w:val="20"/>
        </w:rPr>
      </w:pPr>
      <w:r>
        <w:rPr>
          <w:rFonts w:ascii="Times New Roman" w:hAnsi="Times New Roman"/>
          <w:b/>
          <w:spacing w:val="0"/>
          <w:sz w:val="20"/>
        </w:rPr>
        <w:t xml:space="preserve">3. Financial Instruments and Fair Value Measurements </w:t>
      </w:r>
    </w:p>
    <w:p>
      <w:pPr>
        <w:pStyle w:val="TextBody"/>
        <w:bidi w:val="0"/>
        <w:spacing w:before="120" w:after="0"/>
        <w:ind w:left="0" w:right="0" w:hanging="0"/>
        <w:jc w:val="left"/>
        <w:rPr>
          <w:rFonts w:ascii="Times New Roman" w:hAnsi="Times New Roman"/>
          <w:b/>
          <w:spacing w:val="0"/>
          <w:sz w:val="20"/>
        </w:rPr>
      </w:pPr>
      <w:r>
        <w:rPr>
          <w:rFonts w:ascii="Times New Roman" w:hAnsi="Times New Roman"/>
          <w:b/>
          <w:spacing w:val="0"/>
          <w:sz w:val="20"/>
        </w:rPr>
        <w:t xml:space="preserve">Assets and Liabilities Measured at Fair Value on a Recurring Basis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following tables present information about the Company’s financial assets and liabilities that are measured at fair value on a recurring basis and indicate the level of the fair value hierarchy used to determine such fair values (in thousands): </w:t>
      </w:r>
    </w:p>
    <w:p>
      <w:pPr>
        <w:pStyle w:val="TextBody"/>
        <w:bidi w:val="0"/>
        <w:spacing w:before="0" w:after="0"/>
        <w:ind w:left="0" w:right="0" w:hanging="0"/>
        <w:jc w:val="left"/>
        <w:rPr>
          <w:spacing w:val="0"/>
        </w:rPr>
      </w:pPr>
      <w:r>
        <w:rPr>
          <w:spacing w:val="0"/>
        </w:rPr>
        <w:t> </w:t>
      </w:r>
    </w:p>
    <w:tbl>
      <w:tblPr>
        <w:tblW w:w="7252" w:type="dxa"/>
        <w:jc w:val="left"/>
        <w:tblInd w:w="0" w:type="dxa"/>
        <w:tblLayout w:type="fixed"/>
        <w:tblCellMar>
          <w:top w:w="0" w:type="dxa"/>
          <w:left w:w="0" w:type="dxa"/>
          <w:bottom w:w="0" w:type="dxa"/>
          <w:right w:w="0" w:type="dxa"/>
        </w:tblCellMar>
      </w:tblPr>
      <w:tblGrid>
        <w:gridCol w:w="2585"/>
        <w:gridCol w:w="120"/>
        <w:gridCol w:w="173"/>
        <w:gridCol w:w="844"/>
        <w:gridCol w:w="74"/>
        <w:gridCol w:w="148"/>
        <w:gridCol w:w="173"/>
        <w:gridCol w:w="844"/>
        <w:gridCol w:w="74"/>
        <w:gridCol w:w="148"/>
        <w:gridCol w:w="264"/>
        <w:gridCol w:w="491"/>
        <w:gridCol w:w="74"/>
        <w:gridCol w:w="148"/>
        <w:gridCol w:w="173"/>
        <w:gridCol w:w="844"/>
        <w:gridCol w:w="75"/>
      </w:tblGrid>
      <w:tr>
        <w:trPr/>
        <w:tc>
          <w:tcPr>
            <w:tcW w:w="258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pPr>
            <w:r>
              <w:rPr/>
              <w:t> </w:t>
            </w:r>
          </w:p>
        </w:tc>
        <w:tc>
          <w:tcPr>
            <w:tcW w:w="844" w:type="dxa"/>
            <w:tcBorders/>
            <w:vAlign w:val="center"/>
          </w:tcPr>
          <w:p>
            <w:pPr>
              <w:pStyle w:val="TableContents"/>
              <w:bidi w:val="0"/>
              <w:spacing w:before="0" w:after="0"/>
              <w:jc w:val="left"/>
              <w:rPr/>
            </w:pPr>
            <w:r>
              <w:rPr/>
              <w:t> </w:t>
            </w:r>
          </w:p>
        </w:tc>
        <w:tc>
          <w:tcPr>
            <w:tcW w:w="74"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pPr>
            <w:r>
              <w:rPr/>
              <w:t> </w:t>
            </w:r>
          </w:p>
        </w:tc>
        <w:tc>
          <w:tcPr>
            <w:tcW w:w="844" w:type="dxa"/>
            <w:tcBorders/>
            <w:vAlign w:val="center"/>
          </w:tcPr>
          <w:p>
            <w:pPr>
              <w:pStyle w:val="TableContents"/>
              <w:bidi w:val="0"/>
              <w:spacing w:before="0" w:after="0"/>
              <w:jc w:val="left"/>
              <w:rPr/>
            </w:pPr>
            <w:r>
              <w:rPr/>
              <w:t> </w:t>
            </w:r>
          </w:p>
        </w:tc>
        <w:tc>
          <w:tcPr>
            <w:tcW w:w="74"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264" w:type="dxa"/>
            <w:tcBorders/>
            <w:vAlign w:val="center"/>
          </w:tcPr>
          <w:p>
            <w:pPr>
              <w:pStyle w:val="TableContents"/>
              <w:bidi w:val="0"/>
              <w:spacing w:before="0" w:after="0"/>
              <w:jc w:val="left"/>
              <w:rPr/>
            </w:pPr>
            <w:r>
              <w:rPr/>
              <w:t> </w:t>
            </w:r>
          </w:p>
        </w:tc>
        <w:tc>
          <w:tcPr>
            <w:tcW w:w="491" w:type="dxa"/>
            <w:tcBorders/>
            <w:vAlign w:val="center"/>
          </w:tcPr>
          <w:p>
            <w:pPr>
              <w:pStyle w:val="TableContents"/>
              <w:bidi w:val="0"/>
              <w:spacing w:before="0" w:after="0"/>
              <w:jc w:val="left"/>
              <w:rPr/>
            </w:pPr>
            <w:r>
              <w:rPr/>
              <w:t> </w:t>
            </w:r>
          </w:p>
        </w:tc>
        <w:tc>
          <w:tcPr>
            <w:tcW w:w="74"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pPr>
            <w:r>
              <w:rPr/>
              <w:t> </w:t>
            </w:r>
          </w:p>
        </w:tc>
        <w:tc>
          <w:tcPr>
            <w:tcW w:w="844"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258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4472" w:type="dxa"/>
            <w:gridSpan w:val="14"/>
            <w:tcBorders/>
            <w:vAlign w:val="center"/>
          </w:tcPr>
          <w:p>
            <w:pPr>
              <w:pStyle w:val="TableContents"/>
              <w:bidi w:val="0"/>
              <w:spacing w:before="0" w:after="0"/>
              <w:jc w:val="center"/>
              <w:rPr>
                <w:b/>
                <w:spacing w:val="0"/>
              </w:rPr>
            </w:pPr>
            <w:r>
              <w:rPr>
                <w:b/>
                <w:spacing w:val="0"/>
              </w:rPr>
              <w:t>Fair Value Measurements at June 30, 2026</w:t>
            </w:r>
          </w:p>
        </w:tc>
        <w:tc>
          <w:tcPr>
            <w:tcW w:w="75" w:type="dxa"/>
            <w:tcBorders/>
            <w:vAlign w:val="center"/>
          </w:tcPr>
          <w:p>
            <w:pPr>
              <w:pStyle w:val="TableContents"/>
              <w:bidi w:val="0"/>
              <w:spacing w:before="0" w:after="0"/>
              <w:jc w:val="left"/>
              <w:rPr>
                <w:spacing w:val="0"/>
              </w:rPr>
            </w:pPr>
            <w:r>
              <w:rPr>
                <w:spacing w:val="0"/>
              </w:rPr>
              <w:t> </w:t>
            </w:r>
          </w:p>
        </w:tc>
      </w:tr>
      <w:tr>
        <w:trPr/>
        <w:tc>
          <w:tcPr>
            <w:tcW w:w="258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017" w:type="dxa"/>
            <w:gridSpan w:val="2"/>
            <w:tcBorders/>
            <w:vAlign w:val="center"/>
          </w:tcPr>
          <w:p>
            <w:pPr>
              <w:pStyle w:val="TableContents"/>
              <w:bidi w:val="0"/>
              <w:spacing w:before="0" w:after="0"/>
              <w:jc w:val="center"/>
              <w:rPr>
                <w:b/>
                <w:spacing w:val="0"/>
              </w:rPr>
            </w:pPr>
            <w:r>
              <w:rPr>
                <w:b/>
                <w:spacing w:val="0"/>
              </w:rPr>
              <w:t>Level 1</w:t>
            </w:r>
          </w:p>
        </w:tc>
        <w:tc>
          <w:tcPr>
            <w:tcW w:w="74" w:type="dxa"/>
            <w:tcBorders/>
            <w:vAlign w:val="center"/>
          </w:tcPr>
          <w:p>
            <w:pPr>
              <w:pStyle w:val="TableContents"/>
              <w:bidi w:val="0"/>
              <w:spacing w:before="0" w:after="0"/>
              <w:jc w:val="left"/>
              <w:rPr>
                <w:spacing w:val="0"/>
              </w:rPr>
            </w:pPr>
            <w:r>
              <w:rPr>
                <w:spacing w:val="0"/>
              </w:rPr>
              <w:t> </w:t>
            </w:r>
          </w:p>
        </w:tc>
        <w:tc>
          <w:tcPr>
            <w:tcW w:w="148" w:type="dxa"/>
            <w:tcBorders/>
            <w:vAlign w:val="center"/>
          </w:tcPr>
          <w:p>
            <w:pPr>
              <w:pStyle w:val="TableContents"/>
              <w:bidi w:val="0"/>
              <w:spacing w:before="0" w:after="0"/>
              <w:jc w:val="left"/>
              <w:rPr>
                <w:spacing w:val="0"/>
              </w:rPr>
            </w:pPr>
            <w:r>
              <w:rPr>
                <w:spacing w:val="0"/>
              </w:rPr>
              <w:t>  </w:t>
            </w:r>
          </w:p>
        </w:tc>
        <w:tc>
          <w:tcPr>
            <w:tcW w:w="1017" w:type="dxa"/>
            <w:gridSpan w:val="2"/>
            <w:tcBorders/>
            <w:vAlign w:val="center"/>
          </w:tcPr>
          <w:p>
            <w:pPr>
              <w:pStyle w:val="TableContents"/>
              <w:bidi w:val="0"/>
              <w:spacing w:before="0" w:after="0"/>
              <w:jc w:val="center"/>
              <w:rPr>
                <w:b/>
                <w:spacing w:val="0"/>
              </w:rPr>
            </w:pPr>
            <w:r>
              <w:rPr>
                <w:b/>
                <w:spacing w:val="0"/>
              </w:rPr>
              <w:t>Level 2</w:t>
            </w:r>
          </w:p>
        </w:tc>
        <w:tc>
          <w:tcPr>
            <w:tcW w:w="74" w:type="dxa"/>
            <w:tcBorders/>
            <w:vAlign w:val="center"/>
          </w:tcPr>
          <w:p>
            <w:pPr>
              <w:pStyle w:val="TableContents"/>
              <w:bidi w:val="0"/>
              <w:spacing w:before="0" w:after="0"/>
              <w:jc w:val="left"/>
              <w:rPr>
                <w:spacing w:val="0"/>
              </w:rPr>
            </w:pPr>
            <w:r>
              <w:rPr>
                <w:spacing w:val="0"/>
              </w:rPr>
              <w:t> </w:t>
            </w:r>
          </w:p>
        </w:tc>
        <w:tc>
          <w:tcPr>
            <w:tcW w:w="148" w:type="dxa"/>
            <w:tcBorders/>
            <w:vAlign w:val="center"/>
          </w:tcPr>
          <w:p>
            <w:pPr>
              <w:pStyle w:val="TableContents"/>
              <w:bidi w:val="0"/>
              <w:spacing w:before="0" w:after="0"/>
              <w:jc w:val="left"/>
              <w:rPr>
                <w:spacing w:val="0"/>
              </w:rPr>
            </w:pPr>
            <w:r>
              <w:rPr>
                <w:spacing w:val="0"/>
              </w:rPr>
              <w:t>  </w:t>
            </w:r>
          </w:p>
        </w:tc>
        <w:tc>
          <w:tcPr>
            <w:tcW w:w="755" w:type="dxa"/>
            <w:gridSpan w:val="2"/>
            <w:tcBorders/>
            <w:vAlign w:val="center"/>
          </w:tcPr>
          <w:p>
            <w:pPr>
              <w:pStyle w:val="TableContents"/>
              <w:bidi w:val="0"/>
              <w:spacing w:before="0" w:after="0"/>
              <w:jc w:val="center"/>
              <w:rPr>
                <w:b/>
                <w:spacing w:val="0"/>
              </w:rPr>
            </w:pPr>
            <w:r>
              <w:rPr>
                <w:b/>
                <w:spacing w:val="0"/>
              </w:rPr>
              <w:t>Level 3</w:t>
            </w:r>
          </w:p>
        </w:tc>
        <w:tc>
          <w:tcPr>
            <w:tcW w:w="74" w:type="dxa"/>
            <w:tcBorders/>
            <w:vAlign w:val="center"/>
          </w:tcPr>
          <w:p>
            <w:pPr>
              <w:pStyle w:val="TableContents"/>
              <w:bidi w:val="0"/>
              <w:spacing w:before="0" w:after="0"/>
              <w:jc w:val="left"/>
              <w:rPr>
                <w:spacing w:val="0"/>
              </w:rPr>
            </w:pPr>
            <w:r>
              <w:rPr>
                <w:spacing w:val="0"/>
              </w:rPr>
              <w:t> </w:t>
            </w:r>
          </w:p>
        </w:tc>
        <w:tc>
          <w:tcPr>
            <w:tcW w:w="148" w:type="dxa"/>
            <w:tcBorders/>
            <w:vAlign w:val="center"/>
          </w:tcPr>
          <w:p>
            <w:pPr>
              <w:pStyle w:val="TableContents"/>
              <w:bidi w:val="0"/>
              <w:spacing w:before="0" w:after="0"/>
              <w:jc w:val="left"/>
              <w:rPr>
                <w:spacing w:val="0"/>
              </w:rPr>
            </w:pPr>
            <w:r>
              <w:rPr>
                <w:spacing w:val="0"/>
              </w:rPr>
              <w:t>  </w:t>
            </w:r>
          </w:p>
        </w:tc>
        <w:tc>
          <w:tcPr>
            <w:tcW w:w="1017" w:type="dxa"/>
            <w:gridSpan w:val="2"/>
            <w:tcBorders/>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0"/>
              <w:jc w:val="left"/>
              <w:rPr>
                <w:spacing w:val="0"/>
              </w:rPr>
            </w:pPr>
            <w:r>
              <w:rPr>
                <w:spacing w:val="0"/>
              </w:rPr>
              <w:t> </w:t>
            </w:r>
          </w:p>
        </w:tc>
      </w:tr>
      <w:tr>
        <w:trPr/>
        <w:tc>
          <w:tcPr>
            <w:tcW w:w="25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Assets: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73"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0"/>
              <w:jc w:val="left"/>
              <w:rPr>
                <w:spacing w:val="0"/>
              </w:rPr>
            </w:pPr>
            <w:r>
              <w:rPr>
                <w:spacing w:val="0"/>
              </w:rPr>
              <w:t>  </w:t>
            </w:r>
          </w:p>
        </w:tc>
        <w:tc>
          <w:tcPr>
            <w:tcW w:w="173"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0"/>
              <w:jc w:val="left"/>
              <w:rPr>
                <w:spacing w:val="0"/>
              </w:rPr>
            </w:pPr>
            <w:r>
              <w:rPr>
                <w:spacing w:val="0"/>
              </w:rPr>
              <w:t>  </w:t>
            </w:r>
          </w:p>
        </w:tc>
        <w:tc>
          <w:tcPr>
            <w:tcW w:w="264"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0"/>
              <w:jc w:val="left"/>
              <w:rPr>
                <w:spacing w:val="0"/>
              </w:rPr>
            </w:pPr>
            <w:r>
              <w:rPr>
                <w:spacing w:val="0"/>
              </w:rPr>
              <w:t>  </w:t>
            </w:r>
          </w:p>
        </w:tc>
        <w:tc>
          <w:tcPr>
            <w:tcW w:w="173"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Money market funds</w:t>
            </w:r>
          </w:p>
        </w:tc>
        <w:tc>
          <w:tcPr>
            <w:tcW w:w="120" w:type="dxa"/>
            <w:tcBorders/>
            <w:vAlign w:val="center"/>
          </w:tcPr>
          <w:p>
            <w:pPr>
              <w:pStyle w:val="TableContents"/>
              <w:bidi w:val="0"/>
              <w:spacing w:before="0" w:after="0"/>
              <w:jc w:val="left"/>
              <w:rPr>
                <w:spacing w:val="0"/>
              </w:rPr>
            </w:pPr>
            <w:r>
              <w:rPr>
                <w:spacing w:val="0"/>
              </w:rPr>
              <w:t>  </w:t>
            </w:r>
          </w:p>
        </w:tc>
        <w:tc>
          <w:tcPr>
            <w:tcW w:w="173" w:type="dxa"/>
            <w:tcBorders/>
            <w:vAlign w:val="center"/>
          </w:tcPr>
          <w:p>
            <w:pPr>
              <w:pStyle w:val="TableContents"/>
              <w:bidi w:val="0"/>
              <w:spacing w:before="0" w:after="0"/>
              <w:jc w:val="left"/>
              <w:rPr>
                <w:spacing w:val="0"/>
              </w:rPr>
            </w:pPr>
            <w:r>
              <w:rPr>
                <w:spacing w:val="0"/>
              </w:rPr>
              <w:t>$</w:t>
            </w:r>
          </w:p>
        </w:tc>
        <w:tc>
          <w:tcPr>
            <w:tcW w:w="844" w:type="dxa"/>
            <w:tcBorders/>
            <w:vAlign w:val="center"/>
          </w:tcPr>
          <w:p>
            <w:pPr>
              <w:pStyle w:val="TableContents"/>
              <w:bidi w:val="0"/>
              <w:spacing w:before="0" w:after="0"/>
              <w:jc w:val="right"/>
              <w:rPr>
                <w:spacing w:val="0"/>
              </w:rPr>
            </w:pPr>
            <w:r>
              <w:rPr>
                <w:spacing w:val="0"/>
              </w:rPr>
              <w:t>17,733</w:t>
            </w:r>
          </w:p>
        </w:tc>
        <w:tc>
          <w:tcPr>
            <w:tcW w:w="74" w:type="dxa"/>
            <w:tcBorders/>
            <w:vAlign w:val="center"/>
          </w:tcPr>
          <w:p>
            <w:pPr>
              <w:pStyle w:val="TableContents"/>
              <w:bidi w:val="0"/>
              <w:spacing w:before="0" w:after="0"/>
              <w:jc w:val="left"/>
              <w:rPr>
                <w:spacing w:val="0"/>
              </w:rPr>
            </w:pPr>
            <w:r>
              <w:rPr>
                <w:spacing w:val="0"/>
              </w:rPr>
              <w:t> </w:t>
            </w:r>
          </w:p>
        </w:tc>
        <w:tc>
          <w:tcPr>
            <w:tcW w:w="148" w:type="dxa"/>
            <w:tcBorders/>
            <w:vAlign w:val="center"/>
          </w:tcPr>
          <w:p>
            <w:pPr>
              <w:pStyle w:val="TableContents"/>
              <w:bidi w:val="0"/>
              <w:spacing w:before="0" w:after="0"/>
              <w:jc w:val="left"/>
              <w:rPr>
                <w:spacing w:val="0"/>
              </w:rPr>
            </w:pPr>
            <w:r>
              <w:rPr>
                <w:spacing w:val="0"/>
              </w:rPr>
              <w:t>  </w:t>
            </w:r>
          </w:p>
        </w:tc>
        <w:tc>
          <w:tcPr>
            <w:tcW w:w="173" w:type="dxa"/>
            <w:tcBorders/>
            <w:vAlign w:val="center"/>
          </w:tcPr>
          <w:p>
            <w:pPr>
              <w:pStyle w:val="TableContents"/>
              <w:bidi w:val="0"/>
              <w:spacing w:before="0" w:after="0"/>
              <w:jc w:val="left"/>
              <w:rPr>
                <w:spacing w:val="0"/>
              </w:rPr>
            </w:pPr>
            <w:r>
              <w:rPr>
                <w:spacing w:val="0"/>
              </w:rPr>
              <w:t>$</w:t>
            </w:r>
          </w:p>
        </w:tc>
        <w:tc>
          <w:tcPr>
            <w:tcW w:w="844" w:type="dxa"/>
            <w:tcBorders/>
            <w:vAlign w:val="center"/>
          </w:tcPr>
          <w:p>
            <w:pPr>
              <w:pStyle w:val="TableContents"/>
              <w:bidi w:val="0"/>
              <w:spacing w:before="0" w:after="0"/>
              <w:jc w:val="right"/>
              <w:rPr>
                <w:spacing w:val="0"/>
              </w:rPr>
            </w:pPr>
            <w:r>
              <w:rPr>
                <w:spacing w:val="0"/>
              </w:rPr>
              <w:t>— </w:t>
            </w:r>
          </w:p>
        </w:tc>
        <w:tc>
          <w:tcPr>
            <w:tcW w:w="74" w:type="dxa"/>
            <w:tcBorders/>
            <w:vAlign w:val="center"/>
          </w:tcPr>
          <w:p>
            <w:pPr>
              <w:pStyle w:val="TableContents"/>
              <w:bidi w:val="0"/>
              <w:spacing w:before="0" w:after="0"/>
              <w:jc w:val="left"/>
              <w:rPr>
                <w:spacing w:val="0"/>
              </w:rPr>
            </w:pPr>
            <w:r>
              <w:rPr>
                <w:spacing w:val="0"/>
              </w:rPr>
              <w:t> </w:t>
            </w:r>
          </w:p>
        </w:tc>
        <w:tc>
          <w:tcPr>
            <w:tcW w:w="148" w:type="dxa"/>
            <w:tcBorders/>
            <w:vAlign w:val="center"/>
          </w:tcPr>
          <w:p>
            <w:pPr>
              <w:pStyle w:val="TableContents"/>
              <w:bidi w:val="0"/>
              <w:spacing w:before="0" w:after="0"/>
              <w:jc w:val="left"/>
              <w:rPr>
                <w:spacing w:val="0"/>
              </w:rPr>
            </w:pPr>
            <w:r>
              <w:rPr>
                <w:spacing w:val="0"/>
              </w:rPr>
              <w:t>  </w:t>
            </w:r>
          </w:p>
        </w:tc>
        <w:tc>
          <w:tcPr>
            <w:tcW w:w="264" w:type="dxa"/>
            <w:tcBorders/>
            <w:vAlign w:val="center"/>
          </w:tcPr>
          <w:p>
            <w:pPr>
              <w:pStyle w:val="TableContents"/>
              <w:bidi w:val="0"/>
              <w:spacing w:before="0" w:after="0"/>
              <w:jc w:val="left"/>
              <w:rPr>
                <w:spacing w:val="0"/>
              </w:rPr>
            </w:pPr>
            <w:r>
              <w:rPr>
                <w:spacing w:val="0"/>
              </w:rPr>
              <w:t>$</w:t>
            </w:r>
          </w:p>
        </w:tc>
        <w:tc>
          <w:tcPr>
            <w:tcW w:w="491" w:type="dxa"/>
            <w:tcBorders/>
            <w:vAlign w:val="center"/>
          </w:tcPr>
          <w:p>
            <w:pPr>
              <w:pStyle w:val="TableContents"/>
              <w:bidi w:val="0"/>
              <w:spacing w:before="0" w:after="0"/>
              <w:jc w:val="right"/>
              <w:rPr>
                <w:spacing w:val="0"/>
              </w:rPr>
            </w:pPr>
            <w:r>
              <w:rPr>
                <w:spacing w:val="0"/>
              </w:rPr>
              <w:t>— </w:t>
            </w:r>
          </w:p>
        </w:tc>
        <w:tc>
          <w:tcPr>
            <w:tcW w:w="74" w:type="dxa"/>
            <w:tcBorders/>
            <w:vAlign w:val="center"/>
          </w:tcPr>
          <w:p>
            <w:pPr>
              <w:pStyle w:val="TableContents"/>
              <w:bidi w:val="0"/>
              <w:spacing w:before="0" w:after="0"/>
              <w:jc w:val="left"/>
              <w:rPr>
                <w:spacing w:val="0"/>
              </w:rPr>
            </w:pPr>
            <w:r>
              <w:rPr>
                <w:spacing w:val="0"/>
              </w:rPr>
              <w:t> </w:t>
            </w:r>
          </w:p>
        </w:tc>
        <w:tc>
          <w:tcPr>
            <w:tcW w:w="148" w:type="dxa"/>
            <w:tcBorders/>
            <w:vAlign w:val="center"/>
          </w:tcPr>
          <w:p>
            <w:pPr>
              <w:pStyle w:val="TableContents"/>
              <w:bidi w:val="0"/>
              <w:spacing w:before="0" w:after="0"/>
              <w:jc w:val="left"/>
              <w:rPr>
                <w:spacing w:val="0"/>
              </w:rPr>
            </w:pPr>
            <w:r>
              <w:rPr>
                <w:spacing w:val="0"/>
              </w:rPr>
              <w:t>  </w:t>
            </w:r>
          </w:p>
        </w:tc>
        <w:tc>
          <w:tcPr>
            <w:tcW w:w="173" w:type="dxa"/>
            <w:tcBorders/>
            <w:vAlign w:val="center"/>
          </w:tcPr>
          <w:p>
            <w:pPr>
              <w:pStyle w:val="TableContents"/>
              <w:bidi w:val="0"/>
              <w:spacing w:before="0" w:after="0"/>
              <w:jc w:val="left"/>
              <w:rPr>
                <w:spacing w:val="0"/>
              </w:rPr>
            </w:pPr>
            <w:r>
              <w:rPr>
                <w:spacing w:val="0"/>
              </w:rPr>
              <w:t>$</w:t>
            </w:r>
          </w:p>
        </w:tc>
        <w:tc>
          <w:tcPr>
            <w:tcW w:w="844" w:type="dxa"/>
            <w:tcBorders/>
            <w:vAlign w:val="center"/>
          </w:tcPr>
          <w:p>
            <w:pPr>
              <w:pStyle w:val="TableContents"/>
              <w:bidi w:val="0"/>
              <w:spacing w:before="0" w:after="0"/>
              <w:jc w:val="right"/>
              <w:rPr>
                <w:spacing w:val="0"/>
              </w:rPr>
            </w:pPr>
            <w:r>
              <w:rPr>
                <w:spacing w:val="0"/>
              </w:rPr>
              <w:t>17,733</w:t>
            </w:r>
          </w:p>
        </w:tc>
        <w:tc>
          <w:tcPr>
            <w:tcW w:w="75" w:type="dxa"/>
            <w:tcBorders/>
            <w:vAlign w:val="center"/>
          </w:tcPr>
          <w:p>
            <w:pPr>
              <w:pStyle w:val="TableContents"/>
              <w:bidi w:val="0"/>
              <w:spacing w:before="0" w:after="0"/>
              <w:jc w:val="left"/>
              <w:rPr>
                <w:spacing w:val="0"/>
              </w:rPr>
            </w:pPr>
            <w:r>
              <w:rPr>
                <w:spacing w:val="0"/>
              </w:rPr>
              <w:t> </w:t>
            </w:r>
          </w:p>
        </w:tc>
      </w:tr>
      <w:tr>
        <w:trPr/>
        <w:tc>
          <w:tcPr>
            <w:tcW w:w="25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U.S. Treasuries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73" w:type="dxa"/>
            <w:tcBorders/>
            <w:shd w:fill="CCEEFF" w:val="clear"/>
            <w:vAlign w:val="center"/>
          </w:tcPr>
          <w:p>
            <w:pPr>
              <w:pStyle w:val="TableContents"/>
              <w:bidi w:val="0"/>
              <w:spacing w:before="0" w:after="0"/>
              <w:jc w:val="left"/>
              <w:rPr>
                <w:spacing w:val="0"/>
              </w:rPr>
            </w:pPr>
            <w:r>
              <w:rPr>
                <w:spacing w:val="0"/>
              </w:rPr>
              <w:t> </w:t>
            </w:r>
          </w:p>
        </w:tc>
        <w:tc>
          <w:tcPr>
            <w:tcW w:w="844" w:type="dxa"/>
            <w:tcBorders/>
            <w:shd w:fill="CCEEFF" w:val="clear"/>
            <w:vAlign w:val="center"/>
          </w:tcPr>
          <w:p>
            <w:pPr>
              <w:pStyle w:val="TableContents"/>
              <w:bidi w:val="0"/>
              <w:spacing w:before="0" w:after="0"/>
              <w:jc w:val="right"/>
              <w:rPr>
                <w:spacing w:val="0"/>
              </w:rPr>
            </w:pPr>
            <w:r>
              <w:rPr>
                <w:spacing w:val="0"/>
              </w:rPr>
              <w:t>— </w:t>
            </w:r>
          </w:p>
        </w:tc>
        <w:tc>
          <w:tcPr>
            <w:tcW w:w="74" w:type="dxa"/>
            <w:tcBorders/>
            <w:shd w:fill="CCEEFF" w:val="clear"/>
            <w:vAlign w:val="center"/>
          </w:tcPr>
          <w:p>
            <w:pPr>
              <w:pStyle w:val="TableContents"/>
              <w:bidi w:val="0"/>
              <w:spacing w:before="0" w:after="0"/>
              <w:jc w:val="left"/>
              <w:rPr>
                <w:spacing w:val="0"/>
              </w:rPr>
            </w:pPr>
            <w:r>
              <w:rPr>
                <w:spacing w:val="0"/>
              </w:rPr>
              <w:t> </w:t>
            </w:r>
          </w:p>
        </w:tc>
        <w:tc>
          <w:tcPr>
            <w:tcW w:w="148" w:type="dxa"/>
            <w:tcBorders/>
            <w:shd w:fill="CCEEFF" w:val="clear"/>
            <w:vAlign w:val="center"/>
          </w:tcPr>
          <w:p>
            <w:pPr>
              <w:pStyle w:val="TableContents"/>
              <w:bidi w:val="0"/>
              <w:spacing w:before="0" w:after="0"/>
              <w:jc w:val="left"/>
              <w:rPr>
                <w:spacing w:val="0"/>
              </w:rPr>
            </w:pPr>
            <w:r>
              <w:rPr>
                <w:spacing w:val="0"/>
              </w:rPr>
              <w:t>  </w:t>
            </w:r>
          </w:p>
        </w:tc>
        <w:tc>
          <w:tcPr>
            <w:tcW w:w="173" w:type="dxa"/>
            <w:tcBorders/>
            <w:shd w:fill="CCEEFF" w:val="clear"/>
            <w:vAlign w:val="center"/>
          </w:tcPr>
          <w:p>
            <w:pPr>
              <w:pStyle w:val="TableContents"/>
              <w:bidi w:val="0"/>
              <w:spacing w:before="0" w:after="0"/>
              <w:jc w:val="left"/>
              <w:rPr>
                <w:spacing w:val="0"/>
              </w:rPr>
            </w:pPr>
            <w:r>
              <w:rPr>
                <w:spacing w:val="0"/>
              </w:rPr>
              <w:t> </w:t>
            </w:r>
          </w:p>
        </w:tc>
        <w:tc>
          <w:tcPr>
            <w:tcW w:w="844" w:type="dxa"/>
            <w:tcBorders/>
            <w:shd w:fill="CCEEFF" w:val="clear"/>
            <w:vAlign w:val="center"/>
          </w:tcPr>
          <w:p>
            <w:pPr>
              <w:pStyle w:val="TableContents"/>
              <w:bidi w:val="0"/>
              <w:spacing w:before="0" w:after="0"/>
              <w:jc w:val="right"/>
              <w:rPr>
                <w:spacing w:val="0"/>
              </w:rPr>
            </w:pPr>
            <w:r>
              <w:rPr>
                <w:spacing w:val="0"/>
              </w:rPr>
              <w:t>16,462</w:t>
            </w:r>
          </w:p>
        </w:tc>
        <w:tc>
          <w:tcPr>
            <w:tcW w:w="74" w:type="dxa"/>
            <w:tcBorders/>
            <w:shd w:fill="CCEEFF" w:val="clear"/>
            <w:vAlign w:val="center"/>
          </w:tcPr>
          <w:p>
            <w:pPr>
              <w:pStyle w:val="TableContents"/>
              <w:bidi w:val="0"/>
              <w:spacing w:before="0" w:after="0"/>
              <w:jc w:val="left"/>
              <w:rPr>
                <w:spacing w:val="0"/>
              </w:rPr>
            </w:pPr>
            <w:r>
              <w:rPr>
                <w:spacing w:val="0"/>
              </w:rPr>
              <w:t> </w:t>
            </w:r>
          </w:p>
        </w:tc>
        <w:tc>
          <w:tcPr>
            <w:tcW w:w="148" w:type="dxa"/>
            <w:tcBorders/>
            <w:shd w:fill="CCEEFF" w:val="clear"/>
            <w:vAlign w:val="center"/>
          </w:tcPr>
          <w:p>
            <w:pPr>
              <w:pStyle w:val="TableContents"/>
              <w:bidi w:val="0"/>
              <w:spacing w:before="0" w:after="0"/>
              <w:jc w:val="left"/>
              <w:rPr>
                <w:spacing w:val="0"/>
              </w:rPr>
            </w:pPr>
            <w:r>
              <w:rPr>
                <w:spacing w:val="0"/>
              </w:rPr>
              <w:t>  </w:t>
            </w:r>
          </w:p>
        </w:tc>
        <w:tc>
          <w:tcPr>
            <w:tcW w:w="264" w:type="dxa"/>
            <w:tcBorders/>
            <w:shd w:fill="CCEEFF" w:val="clear"/>
            <w:vAlign w:val="center"/>
          </w:tcPr>
          <w:p>
            <w:pPr>
              <w:pStyle w:val="TableContents"/>
              <w:bidi w:val="0"/>
              <w:spacing w:before="0" w:after="0"/>
              <w:jc w:val="left"/>
              <w:rPr>
                <w:spacing w:val="0"/>
              </w:rPr>
            </w:pPr>
            <w:r>
              <w:rPr>
                <w:spacing w:val="0"/>
              </w:rPr>
              <w:t> </w:t>
            </w:r>
          </w:p>
        </w:tc>
        <w:tc>
          <w:tcPr>
            <w:tcW w:w="491" w:type="dxa"/>
            <w:tcBorders/>
            <w:shd w:fill="CCEEFF" w:val="clear"/>
            <w:vAlign w:val="center"/>
          </w:tcPr>
          <w:p>
            <w:pPr>
              <w:pStyle w:val="TableContents"/>
              <w:bidi w:val="0"/>
              <w:spacing w:before="0" w:after="0"/>
              <w:jc w:val="right"/>
              <w:rPr>
                <w:spacing w:val="0"/>
              </w:rPr>
            </w:pPr>
            <w:r>
              <w:rPr>
                <w:spacing w:val="0"/>
              </w:rPr>
              <w:t>— </w:t>
            </w:r>
          </w:p>
        </w:tc>
        <w:tc>
          <w:tcPr>
            <w:tcW w:w="74" w:type="dxa"/>
            <w:tcBorders/>
            <w:shd w:fill="CCEEFF" w:val="clear"/>
            <w:vAlign w:val="center"/>
          </w:tcPr>
          <w:p>
            <w:pPr>
              <w:pStyle w:val="TableContents"/>
              <w:bidi w:val="0"/>
              <w:spacing w:before="0" w:after="0"/>
              <w:jc w:val="left"/>
              <w:rPr>
                <w:spacing w:val="0"/>
              </w:rPr>
            </w:pPr>
            <w:r>
              <w:rPr>
                <w:spacing w:val="0"/>
              </w:rPr>
              <w:t> </w:t>
            </w:r>
          </w:p>
        </w:tc>
        <w:tc>
          <w:tcPr>
            <w:tcW w:w="148" w:type="dxa"/>
            <w:tcBorders/>
            <w:shd w:fill="CCEEFF" w:val="clear"/>
            <w:vAlign w:val="center"/>
          </w:tcPr>
          <w:p>
            <w:pPr>
              <w:pStyle w:val="TableContents"/>
              <w:bidi w:val="0"/>
              <w:spacing w:before="0" w:after="0"/>
              <w:jc w:val="left"/>
              <w:rPr>
                <w:spacing w:val="0"/>
              </w:rPr>
            </w:pPr>
            <w:r>
              <w:rPr>
                <w:spacing w:val="0"/>
              </w:rPr>
              <w:t>  </w:t>
            </w:r>
          </w:p>
        </w:tc>
        <w:tc>
          <w:tcPr>
            <w:tcW w:w="173" w:type="dxa"/>
            <w:tcBorders/>
            <w:shd w:fill="CCEEFF" w:val="clear"/>
            <w:vAlign w:val="center"/>
          </w:tcPr>
          <w:p>
            <w:pPr>
              <w:pStyle w:val="TableContents"/>
              <w:bidi w:val="0"/>
              <w:spacing w:before="0" w:after="0"/>
              <w:jc w:val="left"/>
              <w:rPr>
                <w:spacing w:val="0"/>
              </w:rPr>
            </w:pPr>
            <w:r>
              <w:rPr>
                <w:spacing w:val="0"/>
              </w:rPr>
              <w:t>$</w:t>
            </w:r>
          </w:p>
        </w:tc>
        <w:tc>
          <w:tcPr>
            <w:tcW w:w="844" w:type="dxa"/>
            <w:tcBorders/>
            <w:shd w:fill="CCEEFF" w:val="clear"/>
            <w:vAlign w:val="center"/>
          </w:tcPr>
          <w:p>
            <w:pPr>
              <w:pStyle w:val="TableContents"/>
              <w:bidi w:val="0"/>
              <w:spacing w:before="0" w:after="0"/>
              <w:jc w:val="right"/>
              <w:rPr>
                <w:spacing w:val="0"/>
              </w:rPr>
            </w:pPr>
            <w:r>
              <w:rPr>
                <w:spacing w:val="0"/>
              </w:rPr>
              <w:t>16,462</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25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7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4" w:type="dxa"/>
            <w:tcBorders/>
            <w:vAlign w:val="center"/>
          </w:tcPr>
          <w:p>
            <w:pPr>
              <w:pStyle w:val="TableContents"/>
              <w:bidi w:val="0"/>
              <w:spacing w:before="0" w:after="0"/>
              <w:jc w:val="left"/>
              <w:rPr>
                <w:spacing w:val="0"/>
              </w:rPr>
            </w:pPr>
            <w:r>
              <w:rPr>
                <w:spacing w:val="0"/>
              </w:rPr>
              <w:t> </w:t>
            </w:r>
          </w:p>
        </w:tc>
        <w:tc>
          <w:tcPr>
            <w:tcW w:w="148" w:type="dxa"/>
            <w:tcBorders/>
            <w:vAlign w:val="center"/>
          </w:tcPr>
          <w:p>
            <w:pPr>
              <w:pStyle w:val="TableContents"/>
              <w:bidi w:val="0"/>
              <w:spacing w:before="0" w:after="0"/>
              <w:jc w:val="left"/>
              <w:rPr>
                <w:spacing w:val="0"/>
              </w:rPr>
            </w:pPr>
            <w:r>
              <w:rPr>
                <w:spacing w:val="0"/>
              </w:rPr>
              <w:t>  </w:t>
            </w:r>
          </w:p>
        </w:tc>
        <w:tc>
          <w:tcPr>
            <w:tcW w:w="17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4" w:type="dxa"/>
            <w:tcBorders/>
            <w:vAlign w:val="center"/>
          </w:tcPr>
          <w:p>
            <w:pPr>
              <w:pStyle w:val="TableContents"/>
              <w:bidi w:val="0"/>
              <w:spacing w:before="0" w:after="0"/>
              <w:jc w:val="left"/>
              <w:rPr>
                <w:spacing w:val="0"/>
              </w:rPr>
            </w:pPr>
            <w:r>
              <w:rPr>
                <w:spacing w:val="0"/>
              </w:rPr>
              <w:t> </w:t>
            </w:r>
          </w:p>
        </w:tc>
        <w:tc>
          <w:tcPr>
            <w:tcW w:w="148" w:type="dxa"/>
            <w:tcBorders/>
            <w:vAlign w:val="center"/>
          </w:tcPr>
          <w:p>
            <w:pPr>
              <w:pStyle w:val="TableContents"/>
              <w:bidi w:val="0"/>
              <w:spacing w:before="0" w:after="0"/>
              <w:jc w:val="left"/>
              <w:rPr>
                <w:spacing w:val="0"/>
              </w:rPr>
            </w:pPr>
            <w:r>
              <w:rPr>
                <w:spacing w:val="0"/>
              </w:rPr>
              <w:t>  </w:t>
            </w:r>
          </w:p>
        </w:tc>
        <w:tc>
          <w:tcPr>
            <w:tcW w:w="2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4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4" w:type="dxa"/>
            <w:tcBorders/>
            <w:vAlign w:val="center"/>
          </w:tcPr>
          <w:p>
            <w:pPr>
              <w:pStyle w:val="TableContents"/>
              <w:bidi w:val="0"/>
              <w:spacing w:before="0" w:after="0"/>
              <w:jc w:val="left"/>
              <w:rPr>
                <w:spacing w:val="0"/>
              </w:rPr>
            </w:pPr>
            <w:r>
              <w:rPr>
                <w:spacing w:val="0"/>
              </w:rPr>
              <w:t> </w:t>
            </w:r>
          </w:p>
        </w:tc>
        <w:tc>
          <w:tcPr>
            <w:tcW w:w="148" w:type="dxa"/>
            <w:tcBorders/>
            <w:vAlign w:val="center"/>
          </w:tcPr>
          <w:p>
            <w:pPr>
              <w:pStyle w:val="TableContents"/>
              <w:bidi w:val="0"/>
              <w:spacing w:before="0" w:after="0"/>
              <w:jc w:val="left"/>
              <w:rPr>
                <w:spacing w:val="0"/>
              </w:rPr>
            </w:pPr>
            <w:r>
              <w:rPr>
                <w:spacing w:val="0"/>
              </w:rPr>
              <w:t>  </w:t>
            </w:r>
          </w:p>
        </w:tc>
        <w:tc>
          <w:tcPr>
            <w:tcW w:w="17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0"/>
              <w:jc w:val="left"/>
              <w:rPr>
                <w:spacing w:val="0"/>
              </w:rPr>
            </w:pPr>
            <w:r>
              <w:rPr>
                <w:spacing w:val="0"/>
              </w:rPr>
              <w:t> </w:t>
            </w:r>
          </w:p>
        </w:tc>
      </w:tr>
      <w:tr>
        <w:trPr/>
        <w:tc>
          <w:tcPr>
            <w:tcW w:w="25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assets</w:t>
            </w:r>
          </w:p>
        </w:tc>
        <w:tc>
          <w:tcPr>
            <w:tcW w:w="120" w:type="dxa"/>
            <w:tcBorders/>
            <w:vAlign w:val="center"/>
          </w:tcPr>
          <w:p>
            <w:pPr>
              <w:pStyle w:val="TableContents"/>
              <w:bidi w:val="0"/>
              <w:spacing w:before="0" w:after="0"/>
              <w:jc w:val="left"/>
              <w:rPr>
                <w:spacing w:val="0"/>
              </w:rPr>
            </w:pPr>
            <w:r>
              <w:rPr>
                <w:spacing w:val="0"/>
              </w:rPr>
              <w:t>  </w:t>
            </w:r>
          </w:p>
        </w:tc>
        <w:tc>
          <w:tcPr>
            <w:tcW w:w="173" w:type="dxa"/>
            <w:tcBorders/>
            <w:vAlign w:val="center"/>
          </w:tcPr>
          <w:p>
            <w:pPr>
              <w:pStyle w:val="TableContents"/>
              <w:bidi w:val="0"/>
              <w:spacing w:before="0" w:after="0"/>
              <w:jc w:val="left"/>
              <w:rPr>
                <w:spacing w:val="0"/>
              </w:rPr>
            </w:pPr>
            <w:r>
              <w:rPr>
                <w:spacing w:val="0"/>
              </w:rPr>
              <w:t>$</w:t>
            </w:r>
          </w:p>
        </w:tc>
        <w:tc>
          <w:tcPr>
            <w:tcW w:w="844" w:type="dxa"/>
            <w:tcBorders/>
            <w:vAlign w:val="center"/>
          </w:tcPr>
          <w:p>
            <w:pPr>
              <w:pStyle w:val="TableContents"/>
              <w:bidi w:val="0"/>
              <w:spacing w:before="0" w:after="0"/>
              <w:jc w:val="right"/>
              <w:rPr>
                <w:spacing w:val="0"/>
              </w:rPr>
            </w:pPr>
            <w:r>
              <w:rPr>
                <w:spacing w:val="0"/>
              </w:rPr>
              <w:t>17,733</w:t>
            </w:r>
          </w:p>
        </w:tc>
        <w:tc>
          <w:tcPr>
            <w:tcW w:w="74" w:type="dxa"/>
            <w:tcBorders/>
            <w:vAlign w:val="center"/>
          </w:tcPr>
          <w:p>
            <w:pPr>
              <w:pStyle w:val="TableContents"/>
              <w:bidi w:val="0"/>
              <w:spacing w:before="0" w:after="0"/>
              <w:jc w:val="left"/>
              <w:rPr>
                <w:spacing w:val="0"/>
              </w:rPr>
            </w:pPr>
            <w:r>
              <w:rPr>
                <w:spacing w:val="0"/>
              </w:rPr>
              <w:t> </w:t>
            </w:r>
          </w:p>
        </w:tc>
        <w:tc>
          <w:tcPr>
            <w:tcW w:w="148" w:type="dxa"/>
            <w:tcBorders/>
            <w:vAlign w:val="center"/>
          </w:tcPr>
          <w:p>
            <w:pPr>
              <w:pStyle w:val="TableContents"/>
              <w:bidi w:val="0"/>
              <w:spacing w:before="0" w:after="0"/>
              <w:jc w:val="left"/>
              <w:rPr>
                <w:spacing w:val="0"/>
              </w:rPr>
            </w:pPr>
            <w:r>
              <w:rPr>
                <w:spacing w:val="0"/>
              </w:rPr>
              <w:t>  </w:t>
            </w:r>
          </w:p>
        </w:tc>
        <w:tc>
          <w:tcPr>
            <w:tcW w:w="173" w:type="dxa"/>
            <w:tcBorders/>
            <w:vAlign w:val="center"/>
          </w:tcPr>
          <w:p>
            <w:pPr>
              <w:pStyle w:val="TableContents"/>
              <w:bidi w:val="0"/>
              <w:spacing w:before="0" w:after="0"/>
              <w:jc w:val="left"/>
              <w:rPr>
                <w:spacing w:val="0"/>
              </w:rPr>
            </w:pPr>
            <w:r>
              <w:rPr>
                <w:spacing w:val="0"/>
              </w:rPr>
              <w:t>$</w:t>
            </w:r>
          </w:p>
        </w:tc>
        <w:tc>
          <w:tcPr>
            <w:tcW w:w="844" w:type="dxa"/>
            <w:tcBorders/>
            <w:vAlign w:val="center"/>
          </w:tcPr>
          <w:p>
            <w:pPr>
              <w:pStyle w:val="TableContents"/>
              <w:bidi w:val="0"/>
              <w:spacing w:before="0" w:after="0"/>
              <w:jc w:val="right"/>
              <w:rPr>
                <w:spacing w:val="0"/>
              </w:rPr>
            </w:pPr>
            <w:r>
              <w:rPr>
                <w:spacing w:val="0"/>
              </w:rPr>
              <w:t>16,462</w:t>
            </w:r>
          </w:p>
        </w:tc>
        <w:tc>
          <w:tcPr>
            <w:tcW w:w="74" w:type="dxa"/>
            <w:tcBorders/>
            <w:vAlign w:val="center"/>
          </w:tcPr>
          <w:p>
            <w:pPr>
              <w:pStyle w:val="TableContents"/>
              <w:bidi w:val="0"/>
              <w:spacing w:before="0" w:after="0"/>
              <w:jc w:val="left"/>
              <w:rPr>
                <w:spacing w:val="0"/>
              </w:rPr>
            </w:pPr>
            <w:r>
              <w:rPr>
                <w:spacing w:val="0"/>
              </w:rPr>
              <w:t> </w:t>
            </w:r>
          </w:p>
        </w:tc>
        <w:tc>
          <w:tcPr>
            <w:tcW w:w="148" w:type="dxa"/>
            <w:tcBorders/>
            <w:vAlign w:val="center"/>
          </w:tcPr>
          <w:p>
            <w:pPr>
              <w:pStyle w:val="TableContents"/>
              <w:bidi w:val="0"/>
              <w:spacing w:before="0" w:after="0"/>
              <w:jc w:val="left"/>
              <w:rPr>
                <w:spacing w:val="0"/>
              </w:rPr>
            </w:pPr>
            <w:r>
              <w:rPr>
                <w:spacing w:val="0"/>
              </w:rPr>
              <w:t>  </w:t>
            </w:r>
          </w:p>
        </w:tc>
        <w:tc>
          <w:tcPr>
            <w:tcW w:w="264" w:type="dxa"/>
            <w:tcBorders/>
            <w:vAlign w:val="center"/>
          </w:tcPr>
          <w:p>
            <w:pPr>
              <w:pStyle w:val="TableContents"/>
              <w:bidi w:val="0"/>
              <w:spacing w:before="0" w:after="0"/>
              <w:jc w:val="left"/>
              <w:rPr>
                <w:spacing w:val="0"/>
              </w:rPr>
            </w:pPr>
            <w:r>
              <w:rPr>
                <w:spacing w:val="0"/>
              </w:rPr>
              <w:t>$</w:t>
            </w:r>
          </w:p>
        </w:tc>
        <w:tc>
          <w:tcPr>
            <w:tcW w:w="491" w:type="dxa"/>
            <w:tcBorders/>
            <w:vAlign w:val="center"/>
          </w:tcPr>
          <w:p>
            <w:pPr>
              <w:pStyle w:val="TableContents"/>
              <w:bidi w:val="0"/>
              <w:spacing w:before="0" w:after="0"/>
              <w:jc w:val="right"/>
              <w:rPr>
                <w:spacing w:val="0"/>
              </w:rPr>
            </w:pPr>
            <w:r>
              <w:rPr>
                <w:spacing w:val="0"/>
              </w:rPr>
              <w:t>— </w:t>
            </w:r>
          </w:p>
        </w:tc>
        <w:tc>
          <w:tcPr>
            <w:tcW w:w="74" w:type="dxa"/>
            <w:tcBorders/>
            <w:vAlign w:val="center"/>
          </w:tcPr>
          <w:p>
            <w:pPr>
              <w:pStyle w:val="TableContents"/>
              <w:bidi w:val="0"/>
              <w:spacing w:before="0" w:after="0"/>
              <w:jc w:val="left"/>
              <w:rPr>
                <w:spacing w:val="0"/>
              </w:rPr>
            </w:pPr>
            <w:r>
              <w:rPr>
                <w:spacing w:val="0"/>
              </w:rPr>
              <w:t> </w:t>
            </w:r>
          </w:p>
        </w:tc>
        <w:tc>
          <w:tcPr>
            <w:tcW w:w="148" w:type="dxa"/>
            <w:tcBorders/>
            <w:vAlign w:val="center"/>
          </w:tcPr>
          <w:p>
            <w:pPr>
              <w:pStyle w:val="TableContents"/>
              <w:bidi w:val="0"/>
              <w:spacing w:before="0" w:after="0"/>
              <w:jc w:val="left"/>
              <w:rPr>
                <w:spacing w:val="0"/>
              </w:rPr>
            </w:pPr>
            <w:r>
              <w:rPr>
                <w:spacing w:val="0"/>
              </w:rPr>
              <w:t>  </w:t>
            </w:r>
          </w:p>
        </w:tc>
        <w:tc>
          <w:tcPr>
            <w:tcW w:w="173" w:type="dxa"/>
            <w:tcBorders/>
            <w:vAlign w:val="center"/>
          </w:tcPr>
          <w:p>
            <w:pPr>
              <w:pStyle w:val="TableContents"/>
              <w:bidi w:val="0"/>
              <w:spacing w:before="0" w:after="0"/>
              <w:jc w:val="left"/>
              <w:rPr>
                <w:spacing w:val="0"/>
              </w:rPr>
            </w:pPr>
            <w:r>
              <w:rPr>
                <w:spacing w:val="0"/>
              </w:rPr>
              <w:t>$</w:t>
            </w:r>
          </w:p>
        </w:tc>
        <w:tc>
          <w:tcPr>
            <w:tcW w:w="844" w:type="dxa"/>
            <w:tcBorders/>
            <w:vAlign w:val="center"/>
          </w:tcPr>
          <w:p>
            <w:pPr>
              <w:pStyle w:val="TableContents"/>
              <w:bidi w:val="0"/>
              <w:spacing w:before="0" w:after="0"/>
              <w:jc w:val="right"/>
              <w:rPr>
                <w:spacing w:val="0"/>
              </w:rPr>
            </w:pPr>
            <w:r>
              <w:rPr>
                <w:spacing w:val="0"/>
              </w:rPr>
              <w:t>34,195</w:t>
            </w:r>
          </w:p>
        </w:tc>
        <w:tc>
          <w:tcPr>
            <w:tcW w:w="75" w:type="dxa"/>
            <w:tcBorders/>
            <w:vAlign w:val="center"/>
          </w:tcPr>
          <w:p>
            <w:pPr>
              <w:pStyle w:val="TableContents"/>
              <w:bidi w:val="0"/>
              <w:spacing w:before="0" w:after="0"/>
              <w:jc w:val="left"/>
              <w:rPr>
                <w:spacing w:val="0"/>
              </w:rPr>
            </w:pPr>
            <w:r>
              <w:rPr>
                <w:spacing w:val="0"/>
              </w:rPr>
              <w:t> </w:t>
            </w:r>
          </w:p>
        </w:tc>
      </w:tr>
      <w:tr>
        <w:trPr/>
        <w:tc>
          <w:tcPr>
            <w:tcW w:w="25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7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4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4" w:type="dxa"/>
            <w:tcBorders/>
            <w:vAlign w:val="center"/>
          </w:tcPr>
          <w:p>
            <w:pPr>
              <w:pStyle w:val="TableContents"/>
              <w:bidi w:val="0"/>
              <w:spacing w:before="0" w:after="0"/>
              <w:jc w:val="left"/>
              <w:rPr>
                <w:spacing w:val="0"/>
              </w:rPr>
            </w:pPr>
            <w:r>
              <w:rPr>
                <w:spacing w:val="0"/>
              </w:rPr>
              <w:t> </w:t>
            </w:r>
          </w:p>
        </w:tc>
        <w:tc>
          <w:tcPr>
            <w:tcW w:w="148" w:type="dxa"/>
            <w:tcBorders/>
            <w:vAlign w:val="center"/>
          </w:tcPr>
          <w:p>
            <w:pPr>
              <w:pStyle w:val="TableContents"/>
              <w:bidi w:val="0"/>
              <w:spacing w:before="0" w:after="0"/>
              <w:jc w:val="left"/>
              <w:rPr>
                <w:spacing w:val="0"/>
              </w:rPr>
            </w:pPr>
            <w:r>
              <w:rPr>
                <w:spacing w:val="0"/>
              </w:rPr>
              <w:t>  </w:t>
            </w:r>
          </w:p>
        </w:tc>
        <w:tc>
          <w:tcPr>
            <w:tcW w:w="17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4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4" w:type="dxa"/>
            <w:tcBorders/>
            <w:vAlign w:val="center"/>
          </w:tcPr>
          <w:p>
            <w:pPr>
              <w:pStyle w:val="TableContents"/>
              <w:bidi w:val="0"/>
              <w:spacing w:before="0" w:after="0"/>
              <w:jc w:val="left"/>
              <w:rPr>
                <w:spacing w:val="0"/>
              </w:rPr>
            </w:pPr>
            <w:r>
              <w:rPr>
                <w:spacing w:val="0"/>
              </w:rPr>
              <w:t> </w:t>
            </w:r>
          </w:p>
        </w:tc>
        <w:tc>
          <w:tcPr>
            <w:tcW w:w="148" w:type="dxa"/>
            <w:tcBorders/>
            <w:vAlign w:val="center"/>
          </w:tcPr>
          <w:p>
            <w:pPr>
              <w:pStyle w:val="TableContents"/>
              <w:bidi w:val="0"/>
              <w:spacing w:before="0" w:after="0"/>
              <w:jc w:val="left"/>
              <w:rPr>
                <w:spacing w:val="0"/>
              </w:rPr>
            </w:pPr>
            <w:r>
              <w:rPr>
                <w:spacing w:val="0"/>
              </w:rPr>
              <w:t>  </w:t>
            </w:r>
          </w:p>
        </w:tc>
        <w:tc>
          <w:tcPr>
            <w:tcW w:w="2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4" w:type="dxa"/>
            <w:tcBorders/>
            <w:vAlign w:val="center"/>
          </w:tcPr>
          <w:p>
            <w:pPr>
              <w:pStyle w:val="TableContents"/>
              <w:bidi w:val="0"/>
              <w:spacing w:before="0" w:after="0"/>
              <w:jc w:val="left"/>
              <w:rPr>
                <w:spacing w:val="0"/>
              </w:rPr>
            </w:pPr>
            <w:r>
              <w:rPr>
                <w:spacing w:val="0"/>
              </w:rPr>
              <w:t> </w:t>
            </w:r>
          </w:p>
        </w:tc>
        <w:tc>
          <w:tcPr>
            <w:tcW w:w="148" w:type="dxa"/>
            <w:tcBorders/>
            <w:vAlign w:val="center"/>
          </w:tcPr>
          <w:p>
            <w:pPr>
              <w:pStyle w:val="TableContents"/>
              <w:bidi w:val="0"/>
              <w:spacing w:before="0" w:after="0"/>
              <w:jc w:val="left"/>
              <w:rPr>
                <w:spacing w:val="0"/>
              </w:rPr>
            </w:pPr>
            <w:r>
              <w:rPr>
                <w:spacing w:val="0"/>
              </w:rPr>
              <w:t>  </w:t>
            </w:r>
          </w:p>
        </w:tc>
        <w:tc>
          <w:tcPr>
            <w:tcW w:w="17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4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0"/>
              <w:jc w:val="left"/>
              <w:rPr>
                <w:spacing w:val="0"/>
              </w:rPr>
            </w:pPr>
            <w:r>
              <w:rPr>
                <w:spacing w:val="0"/>
              </w:rPr>
              <w:t> </w:t>
            </w:r>
          </w:p>
        </w:tc>
      </w:tr>
      <w:tr>
        <w:trPr/>
        <w:tc>
          <w:tcPr>
            <w:tcW w:w="25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Liabilities: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73"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0"/>
              <w:jc w:val="left"/>
              <w:rPr>
                <w:spacing w:val="0"/>
              </w:rPr>
            </w:pPr>
            <w:r>
              <w:rPr>
                <w:spacing w:val="0"/>
              </w:rPr>
              <w:t>  </w:t>
            </w:r>
          </w:p>
        </w:tc>
        <w:tc>
          <w:tcPr>
            <w:tcW w:w="173"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0"/>
              <w:jc w:val="left"/>
              <w:rPr>
                <w:spacing w:val="0"/>
              </w:rPr>
            </w:pPr>
            <w:r>
              <w:rPr>
                <w:spacing w:val="0"/>
              </w:rPr>
              <w:t>  </w:t>
            </w:r>
          </w:p>
        </w:tc>
        <w:tc>
          <w:tcPr>
            <w:tcW w:w="264"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0"/>
              <w:jc w:val="left"/>
              <w:rPr>
                <w:spacing w:val="0"/>
              </w:rPr>
            </w:pPr>
            <w:r>
              <w:rPr>
                <w:spacing w:val="0"/>
              </w:rPr>
              <w:t>  </w:t>
            </w:r>
          </w:p>
        </w:tc>
        <w:tc>
          <w:tcPr>
            <w:tcW w:w="173"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Preferred stock warrant liability</w:t>
            </w:r>
          </w:p>
        </w:tc>
        <w:tc>
          <w:tcPr>
            <w:tcW w:w="120" w:type="dxa"/>
            <w:tcBorders/>
            <w:vAlign w:val="center"/>
          </w:tcPr>
          <w:p>
            <w:pPr>
              <w:pStyle w:val="TableContents"/>
              <w:bidi w:val="0"/>
              <w:spacing w:before="0" w:after="0"/>
              <w:jc w:val="left"/>
              <w:rPr>
                <w:spacing w:val="0"/>
              </w:rPr>
            </w:pPr>
            <w:r>
              <w:rPr>
                <w:spacing w:val="0"/>
              </w:rPr>
              <w:t>  </w:t>
            </w:r>
          </w:p>
        </w:tc>
        <w:tc>
          <w:tcPr>
            <w:tcW w:w="173" w:type="dxa"/>
            <w:tcBorders/>
            <w:vAlign w:val="center"/>
          </w:tcPr>
          <w:p>
            <w:pPr>
              <w:pStyle w:val="TableContents"/>
              <w:bidi w:val="0"/>
              <w:spacing w:before="0" w:after="0"/>
              <w:jc w:val="left"/>
              <w:rPr>
                <w:spacing w:val="0"/>
              </w:rPr>
            </w:pPr>
            <w:r>
              <w:rPr>
                <w:spacing w:val="0"/>
              </w:rPr>
              <w:t>$</w:t>
            </w:r>
          </w:p>
        </w:tc>
        <w:tc>
          <w:tcPr>
            <w:tcW w:w="844" w:type="dxa"/>
            <w:tcBorders/>
            <w:vAlign w:val="center"/>
          </w:tcPr>
          <w:p>
            <w:pPr>
              <w:pStyle w:val="TableContents"/>
              <w:bidi w:val="0"/>
              <w:spacing w:before="0" w:after="0"/>
              <w:jc w:val="right"/>
              <w:rPr>
                <w:spacing w:val="0"/>
              </w:rPr>
            </w:pPr>
            <w:r>
              <w:rPr>
                <w:spacing w:val="0"/>
              </w:rPr>
              <w:t>— </w:t>
            </w:r>
          </w:p>
        </w:tc>
        <w:tc>
          <w:tcPr>
            <w:tcW w:w="74" w:type="dxa"/>
            <w:tcBorders/>
            <w:vAlign w:val="center"/>
          </w:tcPr>
          <w:p>
            <w:pPr>
              <w:pStyle w:val="TableContents"/>
              <w:bidi w:val="0"/>
              <w:spacing w:before="0" w:after="0"/>
              <w:jc w:val="left"/>
              <w:rPr>
                <w:spacing w:val="0"/>
              </w:rPr>
            </w:pPr>
            <w:r>
              <w:rPr>
                <w:spacing w:val="0"/>
              </w:rPr>
              <w:t> </w:t>
            </w:r>
          </w:p>
        </w:tc>
        <w:tc>
          <w:tcPr>
            <w:tcW w:w="148" w:type="dxa"/>
            <w:tcBorders/>
            <w:vAlign w:val="center"/>
          </w:tcPr>
          <w:p>
            <w:pPr>
              <w:pStyle w:val="TableContents"/>
              <w:bidi w:val="0"/>
              <w:spacing w:before="0" w:after="0"/>
              <w:jc w:val="left"/>
              <w:rPr>
                <w:spacing w:val="0"/>
              </w:rPr>
            </w:pPr>
            <w:r>
              <w:rPr>
                <w:spacing w:val="0"/>
              </w:rPr>
              <w:t>  </w:t>
            </w:r>
          </w:p>
        </w:tc>
        <w:tc>
          <w:tcPr>
            <w:tcW w:w="173" w:type="dxa"/>
            <w:tcBorders/>
            <w:vAlign w:val="center"/>
          </w:tcPr>
          <w:p>
            <w:pPr>
              <w:pStyle w:val="TableContents"/>
              <w:bidi w:val="0"/>
              <w:spacing w:before="0" w:after="0"/>
              <w:jc w:val="left"/>
              <w:rPr>
                <w:spacing w:val="0"/>
              </w:rPr>
            </w:pPr>
            <w:r>
              <w:rPr>
                <w:spacing w:val="0"/>
              </w:rPr>
              <w:t>$</w:t>
            </w:r>
          </w:p>
        </w:tc>
        <w:tc>
          <w:tcPr>
            <w:tcW w:w="844" w:type="dxa"/>
            <w:tcBorders/>
            <w:vAlign w:val="center"/>
          </w:tcPr>
          <w:p>
            <w:pPr>
              <w:pStyle w:val="TableContents"/>
              <w:bidi w:val="0"/>
              <w:spacing w:before="0" w:after="0"/>
              <w:jc w:val="right"/>
              <w:rPr>
                <w:spacing w:val="0"/>
              </w:rPr>
            </w:pPr>
            <w:r>
              <w:rPr>
                <w:spacing w:val="0"/>
              </w:rPr>
              <w:t>— </w:t>
            </w:r>
          </w:p>
        </w:tc>
        <w:tc>
          <w:tcPr>
            <w:tcW w:w="74" w:type="dxa"/>
            <w:tcBorders/>
            <w:vAlign w:val="center"/>
          </w:tcPr>
          <w:p>
            <w:pPr>
              <w:pStyle w:val="TableContents"/>
              <w:bidi w:val="0"/>
              <w:spacing w:before="0" w:after="0"/>
              <w:jc w:val="left"/>
              <w:rPr>
                <w:spacing w:val="0"/>
              </w:rPr>
            </w:pPr>
            <w:r>
              <w:rPr>
                <w:spacing w:val="0"/>
              </w:rPr>
              <w:t> </w:t>
            </w:r>
          </w:p>
        </w:tc>
        <w:tc>
          <w:tcPr>
            <w:tcW w:w="148" w:type="dxa"/>
            <w:tcBorders/>
            <w:vAlign w:val="center"/>
          </w:tcPr>
          <w:p>
            <w:pPr>
              <w:pStyle w:val="TableContents"/>
              <w:bidi w:val="0"/>
              <w:spacing w:before="0" w:after="0"/>
              <w:jc w:val="left"/>
              <w:rPr>
                <w:spacing w:val="0"/>
              </w:rPr>
            </w:pPr>
            <w:r>
              <w:rPr>
                <w:spacing w:val="0"/>
              </w:rPr>
              <w:t>  </w:t>
            </w:r>
          </w:p>
        </w:tc>
        <w:tc>
          <w:tcPr>
            <w:tcW w:w="264" w:type="dxa"/>
            <w:tcBorders/>
            <w:vAlign w:val="center"/>
          </w:tcPr>
          <w:p>
            <w:pPr>
              <w:pStyle w:val="TableContents"/>
              <w:bidi w:val="0"/>
              <w:spacing w:before="0" w:after="0"/>
              <w:jc w:val="left"/>
              <w:rPr>
                <w:spacing w:val="0"/>
              </w:rPr>
            </w:pPr>
            <w:r>
              <w:rPr>
                <w:spacing w:val="0"/>
              </w:rPr>
              <w:t>$</w:t>
            </w:r>
          </w:p>
        </w:tc>
        <w:tc>
          <w:tcPr>
            <w:tcW w:w="491" w:type="dxa"/>
            <w:tcBorders/>
            <w:vAlign w:val="center"/>
          </w:tcPr>
          <w:p>
            <w:pPr>
              <w:pStyle w:val="TableContents"/>
              <w:bidi w:val="0"/>
              <w:spacing w:before="0" w:after="0"/>
              <w:jc w:val="right"/>
              <w:rPr>
                <w:spacing w:val="0"/>
              </w:rPr>
            </w:pPr>
            <w:r>
              <w:rPr>
                <w:spacing w:val="0"/>
              </w:rPr>
              <w:t>1</w:t>
            </w:r>
          </w:p>
        </w:tc>
        <w:tc>
          <w:tcPr>
            <w:tcW w:w="74" w:type="dxa"/>
            <w:tcBorders/>
            <w:vAlign w:val="center"/>
          </w:tcPr>
          <w:p>
            <w:pPr>
              <w:pStyle w:val="TableContents"/>
              <w:bidi w:val="0"/>
              <w:spacing w:before="0" w:after="0"/>
              <w:jc w:val="left"/>
              <w:rPr>
                <w:spacing w:val="0"/>
              </w:rPr>
            </w:pPr>
            <w:r>
              <w:rPr>
                <w:spacing w:val="0"/>
              </w:rPr>
              <w:t> </w:t>
            </w:r>
          </w:p>
        </w:tc>
        <w:tc>
          <w:tcPr>
            <w:tcW w:w="148" w:type="dxa"/>
            <w:tcBorders/>
            <w:vAlign w:val="center"/>
          </w:tcPr>
          <w:p>
            <w:pPr>
              <w:pStyle w:val="TableContents"/>
              <w:bidi w:val="0"/>
              <w:spacing w:before="0" w:after="0"/>
              <w:jc w:val="left"/>
              <w:rPr>
                <w:spacing w:val="0"/>
              </w:rPr>
            </w:pPr>
            <w:r>
              <w:rPr>
                <w:spacing w:val="0"/>
              </w:rPr>
              <w:t>  </w:t>
            </w:r>
          </w:p>
        </w:tc>
        <w:tc>
          <w:tcPr>
            <w:tcW w:w="173" w:type="dxa"/>
            <w:tcBorders/>
            <w:vAlign w:val="center"/>
          </w:tcPr>
          <w:p>
            <w:pPr>
              <w:pStyle w:val="TableContents"/>
              <w:bidi w:val="0"/>
              <w:spacing w:before="0" w:after="0"/>
              <w:jc w:val="left"/>
              <w:rPr>
                <w:spacing w:val="0"/>
              </w:rPr>
            </w:pPr>
            <w:r>
              <w:rPr>
                <w:spacing w:val="0"/>
              </w:rPr>
              <w:t>$</w:t>
            </w:r>
          </w:p>
        </w:tc>
        <w:tc>
          <w:tcPr>
            <w:tcW w:w="844" w:type="dxa"/>
            <w:tcBorders/>
            <w:vAlign w:val="center"/>
          </w:tcPr>
          <w:p>
            <w:pPr>
              <w:pStyle w:val="TableContents"/>
              <w:bidi w:val="0"/>
              <w:spacing w:before="0" w:after="0"/>
              <w:jc w:val="right"/>
              <w:rPr>
                <w:spacing w:val="0"/>
              </w:rPr>
            </w:pPr>
            <w:r>
              <w:rPr>
                <w:spacing w:val="0"/>
              </w:rPr>
              <w:t>1</w:t>
            </w:r>
          </w:p>
        </w:tc>
        <w:tc>
          <w:tcPr>
            <w:tcW w:w="75" w:type="dxa"/>
            <w:tcBorders/>
            <w:vAlign w:val="center"/>
          </w:tcPr>
          <w:p>
            <w:pPr>
              <w:pStyle w:val="TableContents"/>
              <w:bidi w:val="0"/>
              <w:spacing w:before="0" w:after="0"/>
              <w:jc w:val="left"/>
              <w:rPr>
                <w:spacing w:val="0"/>
              </w:rPr>
            </w:pPr>
            <w:r>
              <w:rPr>
                <w:spacing w:val="0"/>
              </w:rPr>
              <w:t> </w:t>
            </w:r>
          </w:p>
        </w:tc>
      </w:tr>
      <w:tr>
        <w:trPr/>
        <w:tc>
          <w:tcPr>
            <w:tcW w:w="25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7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4" w:type="dxa"/>
            <w:tcBorders/>
            <w:vAlign w:val="center"/>
          </w:tcPr>
          <w:p>
            <w:pPr>
              <w:pStyle w:val="TableContents"/>
              <w:bidi w:val="0"/>
              <w:spacing w:before="0" w:after="0"/>
              <w:jc w:val="left"/>
              <w:rPr>
                <w:spacing w:val="0"/>
              </w:rPr>
            </w:pPr>
            <w:r>
              <w:rPr>
                <w:spacing w:val="0"/>
              </w:rPr>
              <w:t> </w:t>
            </w:r>
          </w:p>
        </w:tc>
        <w:tc>
          <w:tcPr>
            <w:tcW w:w="148" w:type="dxa"/>
            <w:tcBorders/>
            <w:vAlign w:val="center"/>
          </w:tcPr>
          <w:p>
            <w:pPr>
              <w:pStyle w:val="TableContents"/>
              <w:bidi w:val="0"/>
              <w:spacing w:before="0" w:after="0"/>
              <w:jc w:val="left"/>
              <w:rPr>
                <w:spacing w:val="0"/>
              </w:rPr>
            </w:pPr>
            <w:r>
              <w:rPr>
                <w:spacing w:val="0"/>
              </w:rPr>
              <w:t>  </w:t>
            </w:r>
          </w:p>
        </w:tc>
        <w:tc>
          <w:tcPr>
            <w:tcW w:w="17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4" w:type="dxa"/>
            <w:tcBorders/>
            <w:vAlign w:val="center"/>
          </w:tcPr>
          <w:p>
            <w:pPr>
              <w:pStyle w:val="TableContents"/>
              <w:bidi w:val="0"/>
              <w:spacing w:before="0" w:after="0"/>
              <w:jc w:val="left"/>
              <w:rPr>
                <w:spacing w:val="0"/>
              </w:rPr>
            </w:pPr>
            <w:r>
              <w:rPr>
                <w:spacing w:val="0"/>
              </w:rPr>
              <w:t> </w:t>
            </w:r>
          </w:p>
        </w:tc>
        <w:tc>
          <w:tcPr>
            <w:tcW w:w="148" w:type="dxa"/>
            <w:tcBorders/>
            <w:vAlign w:val="center"/>
          </w:tcPr>
          <w:p>
            <w:pPr>
              <w:pStyle w:val="TableContents"/>
              <w:bidi w:val="0"/>
              <w:spacing w:before="0" w:after="0"/>
              <w:jc w:val="left"/>
              <w:rPr>
                <w:spacing w:val="0"/>
              </w:rPr>
            </w:pPr>
            <w:r>
              <w:rPr>
                <w:spacing w:val="0"/>
              </w:rPr>
              <w:t>  </w:t>
            </w:r>
          </w:p>
        </w:tc>
        <w:tc>
          <w:tcPr>
            <w:tcW w:w="2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4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4" w:type="dxa"/>
            <w:tcBorders/>
            <w:vAlign w:val="center"/>
          </w:tcPr>
          <w:p>
            <w:pPr>
              <w:pStyle w:val="TableContents"/>
              <w:bidi w:val="0"/>
              <w:spacing w:before="0" w:after="0"/>
              <w:jc w:val="left"/>
              <w:rPr>
                <w:spacing w:val="0"/>
              </w:rPr>
            </w:pPr>
            <w:r>
              <w:rPr>
                <w:spacing w:val="0"/>
              </w:rPr>
              <w:t> </w:t>
            </w:r>
          </w:p>
        </w:tc>
        <w:tc>
          <w:tcPr>
            <w:tcW w:w="148" w:type="dxa"/>
            <w:tcBorders/>
            <w:vAlign w:val="center"/>
          </w:tcPr>
          <w:p>
            <w:pPr>
              <w:pStyle w:val="TableContents"/>
              <w:bidi w:val="0"/>
              <w:spacing w:before="0" w:after="0"/>
              <w:jc w:val="left"/>
              <w:rPr>
                <w:spacing w:val="0"/>
              </w:rPr>
            </w:pPr>
            <w:r>
              <w:rPr>
                <w:spacing w:val="0"/>
              </w:rPr>
              <w:t>  </w:t>
            </w:r>
          </w:p>
        </w:tc>
        <w:tc>
          <w:tcPr>
            <w:tcW w:w="17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0"/>
              <w:jc w:val="left"/>
              <w:rPr>
                <w:spacing w:val="0"/>
              </w:rPr>
            </w:pPr>
            <w:r>
              <w:rPr>
                <w:spacing w:val="0"/>
              </w:rPr>
              <w:t> </w:t>
            </w:r>
          </w:p>
        </w:tc>
      </w:tr>
      <w:tr>
        <w:trPr/>
        <w:tc>
          <w:tcPr>
            <w:tcW w:w="25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liabilities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73" w:type="dxa"/>
            <w:tcBorders/>
            <w:shd w:fill="CCEEFF" w:val="clear"/>
            <w:vAlign w:val="center"/>
          </w:tcPr>
          <w:p>
            <w:pPr>
              <w:pStyle w:val="TableContents"/>
              <w:bidi w:val="0"/>
              <w:spacing w:before="0" w:after="0"/>
              <w:jc w:val="left"/>
              <w:rPr>
                <w:spacing w:val="0"/>
              </w:rPr>
            </w:pPr>
            <w:r>
              <w:rPr>
                <w:spacing w:val="0"/>
              </w:rPr>
              <w:t>$</w:t>
            </w:r>
          </w:p>
        </w:tc>
        <w:tc>
          <w:tcPr>
            <w:tcW w:w="844" w:type="dxa"/>
            <w:tcBorders/>
            <w:shd w:fill="CCEEFF" w:val="clear"/>
            <w:vAlign w:val="center"/>
          </w:tcPr>
          <w:p>
            <w:pPr>
              <w:pStyle w:val="TableContents"/>
              <w:bidi w:val="0"/>
              <w:spacing w:before="0" w:after="0"/>
              <w:jc w:val="right"/>
              <w:rPr>
                <w:spacing w:val="0"/>
              </w:rPr>
            </w:pPr>
            <w:r>
              <w:rPr>
                <w:spacing w:val="0"/>
              </w:rPr>
              <w:t>— </w:t>
            </w:r>
          </w:p>
        </w:tc>
        <w:tc>
          <w:tcPr>
            <w:tcW w:w="74" w:type="dxa"/>
            <w:tcBorders/>
            <w:shd w:fill="CCEEFF" w:val="clear"/>
            <w:vAlign w:val="center"/>
          </w:tcPr>
          <w:p>
            <w:pPr>
              <w:pStyle w:val="TableContents"/>
              <w:bidi w:val="0"/>
              <w:spacing w:before="0" w:after="0"/>
              <w:jc w:val="left"/>
              <w:rPr>
                <w:spacing w:val="0"/>
              </w:rPr>
            </w:pPr>
            <w:r>
              <w:rPr>
                <w:spacing w:val="0"/>
              </w:rPr>
              <w:t> </w:t>
            </w:r>
          </w:p>
        </w:tc>
        <w:tc>
          <w:tcPr>
            <w:tcW w:w="148" w:type="dxa"/>
            <w:tcBorders/>
            <w:shd w:fill="CCEEFF" w:val="clear"/>
            <w:vAlign w:val="center"/>
          </w:tcPr>
          <w:p>
            <w:pPr>
              <w:pStyle w:val="TableContents"/>
              <w:bidi w:val="0"/>
              <w:spacing w:before="0" w:after="0"/>
              <w:jc w:val="left"/>
              <w:rPr>
                <w:spacing w:val="0"/>
              </w:rPr>
            </w:pPr>
            <w:r>
              <w:rPr>
                <w:spacing w:val="0"/>
              </w:rPr>
              <w:t>  </w:t>
            </w:r>
          </w:p>
        </w:tc>
        <w:tc>
          <w:tcPr>
            <w:tcW w:w="173" w:type="dxa"/>
            <w:tcBorders/>
            <w:shd w:fill="CCEEFF" w:val="clear"/>
            <w:vAlign w:val="center"/>
          </w:tcPr>
          <w:p>
            <w:pPr>
              <w:pStyle w:val="TableContents"/>
              <w:bidi w:val="0"/>
              <w:spacing w:before="0" w:after="0"/>
              <w:jc w:val="left"/>
              <w:rPr>
                <w:spacing w:val="0"/>
              </w:rPr>
            </w:pPr>
            <w:r>
              <w:rPr>
                <w:spacing w:val="0"/>
              </w:rPr>
              <w:t>$</w:t>
            </w:r>
          </w:p>
        </w:tc>
        <w:tc>
          <w:tcPr>
            <w:tcW w:w="844" w:type="dxa"/>
            <w:tcBorders/>
            <w:shd w:fill="CCEEFF" w:val="clear"/>
            <w:vAlign w:val="center"/>
          </w:tcPr>
          <w:p>
            <w:pPr>
              <w:pStyle w:val="TableContents"/>
              <w:bidi w:val="0"/>
              <w:spacing w:before="0" w:after="0"/>
              <w:jc w:val="right"/>
              <w:rPr>
                <w:spacing w:val="0"/>
              </w:rPr>
            </w:pPr>
            <w:r>
              <w:rPr>
                <w:spacing w:val="0"/>
              </w:rPr>
              <w:t>— </w:t>
            </w:r>
          </w:p>
        </w:tc>
        <w:tc>
          <w:tcPr>
            <w:tcW w:w="74" w:type="dxa"/>
            <w:tcBorders/>
            <w:shd w:fill="CCEEFF" w:val="clear"/>
            <w:vAlign w:val="center"/>
          </w:tcPr>
          <w:p>
            <w:pPr>
              <w:pStyle w:val="TableContents"/>
              <w:bidi w:val="0"/>
              <w:spacing w:before="0" w:after="0"/>
              <w:jc w:val="left"/>
              <w:rPr>
                <w:spacing w:val="0"/>
              </w:rPr>
            </w:pPr>
            <w:r>
              <w:rPr>
                <w:spacing w:val="0"/>
              </w:rPr>
              <w:t> </w:t>
            </w:r>
          </w:p>
        </w:tc>
        <w:tc>
          <w:tcPr>
            <w:tcW w:w="148" w:type="dxa"/>
            <w:tcBorders/>
            <w:shd w:fill="CCEEFF" w:val="clear"/>
            <w:vAlign w:val="center"/>
          </w:tcPr>
          <w:p>
            <w:pPr>
              <w:pStyle w:val="TableContents"/>
              <w:bidi w:val="0"/>
              <w:spacing w:before="0" w:after="0"/>
              <w:jc w:val="left"/>
              <w:rPr>
                <w:spacing w:val="0"/>
              </w:rPr>
            </w:pPr>
            <w:r>
              <w:rPr>
                <w:spacing w:val="0"/>
              </w:rPr>
              <w:t>  </w:t>
            </w:r>
          </w:p>
        </w:tc>
        <w:tc>
          <w:tcPr>
            <w:tcW w:w="264" w:type="dxa"/>
            <w:tcBorders/>
            <w:shd w:fill="CCEEFF" w:val="clear"/>
            <w:vAlign w:val="center"/>
          </w:tcPr>
          <w:p>
            <w:pPr>
              <w:pStyle w:val="TableContents"/>
              <w:bidi w:val="0"/>
              <w:spacing w:before="0" w:after="0"/>
              <w:jc w:val="left"/>
              <w:rPr>
                <w:spacing w:val="0"/>
              </w:rPr>
            </w:pPr>
            <w:r>
              <w:rPr>
                <w:spacing w:val="0"/>
              </w:rPr>
              <w:t>$</w:t>
            </w:r>
          </w:p>
        </w:tc>
        <w:tc>
          <w:tcPr>
            <w:tcW w:w="491" w:type="dxa"/>
            <w:tcBorders/>
            <w:shd w:fill="CCEEFF" w:val="clear"/>
            <w:vAlign w:val="center"/>
          </w:tcPr>
          <w:p>
            <w:pPr>
              <w:pStyle w:val="TableContents"/>
              <w:bidi w:val="0"/>
              <w:spacing w:before="0" w:after="0"/>
              <w:jc w:val="right"/>
              <w:rPr>
                <w:spacing w:val="0"/>
              </w:rPr>
            </w:pPr>
            <w:r>
              <w:rPr>
                <w:spacing w:val="0"/>
              </w:rPr>
              <w:t>1</w:t>
            </w:r>
          </w:p>
        </w:tc>
        <w:tc>
          <w:tcPr>
            <w:tcW w:w="74" w:type="dxa"/>
            <w:tcBorders/>
            <w:shd w:fill="CCEEFF" w:val="clear"/>
            <w:vAlign w:val="center"/>
          </w:tcPr>
          <w:p>
            <w:pPr>
              <w:pStyle w:val="TableContents"/>
              <w:bidi w:val="0"/>
              <w:spacing w:before="0" w:after="0"/>
              <w:jc w:val="left"/>
              <w:rPr>
                <w:spacing w:val="0"/>
              </w:rPr>
            </w:pPr>
            <w:r>
              <w:rPr>
                <w:spacing w:val="0"/>
              </w:rPr>
              <w:t> </w:t>
            </w:r>
          </w:p>
        </w:tc>
        <w:tc>
          <w:tcPr>
            <w:tcW w:w="148" w:type="dxa"/>
            <w:tcBorders/>
            <w:shd w:fill="CCEEFF" w:val="clear"/>
            <w:vAlign w:val="center"/>
          </w:tcPr>
          <w:p>
            <w:pPr>
              <w:pStyle w:val="TableContents"/>
              <w:bidi w:val="0"/>
              <w:spacing w:before="0" w:after="0"/>
              <w:jc w:val="left"/>
              <w:rPr>
                <w:spacing w:val="0"/>
              </w:rPr>
            </w:pPr>
            <w:r>
              <w:rPr>
                <w:spacing w:val="0"/>
              </w:rPr>
              <w:t>  </w:t>
            </w:r>
          </w:p>
        </w:tc>
        <w:tc>
          <w:tcPr>
            <w:tcW w:w="173" w:type="dxa"/>
            <w:tcBorders/>
            <w:shd w:fill="CCEEFF" w:val="clear"/>
            <w:vAlign w:val="center"/>
          </w:tcPr>
          <w:p>
            <w:pPr>
              <w:pStyle w:val="TableContents"/>
              <w:bidi w:val="0"/>
              <w:spacing w:before="0" w:after="0"/>
              <w:jc w:val="left"/>
              <w:rPr>
                <w:spacing w:val="0"/>
              </w:rPr>
            </w:pPr>
            <w:r>
              <w:rPr>
                <w:spacing w:val="0"/>
              </w:rPr>
              <w:t>$</w:t>
            </w:r>
          </w:p>
        </w:tc>
        <w:tc>
          <w:tcPr>
            <w:tcW w:w="844" w:type="dxa"/>
            <w:tcBorders/>
            <w:shd w:fill="CCEEFF" w:val="clear"/>
            <w:vAlign w:val="center"/>
          </w:tcPr>
          <w:p>
            <w:pPr>
              <w:pStyle w:val="TableContents"/>
              <w:bidi w:val="0"/>
              <w:spacing w:before="0" w:after="0"/>
              <w:jc w:val="right"/>
              <w:rPr>
                <w:spacing w:val="0"/>
              </w:rPr>
            </w:pPr>
            <w:r>
              <w:rPr>
                <w:spacing w:val="0"/>
              </w:rPr>
              <w:t>1</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25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7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4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4" w:type="dxa"/>
            <w:tcBorders/>
            <w:vAlign w:val="center"/>
          </w:tcPr>
          <w:p>
            <w:pPr>
              <w:pStyle w:val="TableContents"/>
              <w:bidi w:val="0"/>
              <w:spacing w:before="0" w:after="0"/>
              <w:jc w:val="left"/>
              <w:rPr>
                <w:spacing w:val="0"/>
              </w:rPr>
            </w:pPr>
            <w:r>
              <w:rPr>
                <w:spacing w:val="0"/>
              </w:rPr>
              <w:t> </w:t>
            </w:r>
          </w:p>
        </w:tc>
        <w:tc>
          <w:tcPr>
            <w:tcW w:w="148" w:type="dxa"/>
            <w:tcBorders/>
            <w:vAlign w:val="center"/>
          </w:tcPr>
          <w:p>
            <w:pPr>
              <w:pStyle w:val="TableContents"/>
              <w:bidi w:val="0"/>
              <w:spacing w:before="0" w:after="0"/>
              <w:jc w:val="left"/>
              <w:rPr>
                <w:spacing w:val="0"/>
              </w:rPr>
            </w:pPr>
            <w:r>
              <w:rPr>
                <w:spacing w:val="0"/>
              </w:rPr>
              <w:t>  </w:t>
            </w:r>
          </w:p>
        </w:tc>
        <w:tc>
          <w:tcPr>
            <w:tcW w:w="17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4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4" w:type="dxa"/>
            <w:tcBorders/>
            <w:vAlign w:val="center"/>
          </w:tcPr>
          <w:p>
            <w:pPr>
              <w:pStyle w:val="TableContents"/>
              <w:bidi w:val="0"/>
              <w:spacing w:before="0" w:after="0"/>
              <w:jc w:val="left"/>
              <w:rPr>
                <w:spacing w:val="0"/>
              </w:rPr>
            </w:pPr>
            <w:r>
              <w:rPr>
                <w:spacing w:val="0"/>
              </w:rPr>
              <w:t> </w:t>
            </w:r>
          </w:p>
        </w:tc>
        <w:tc>
          <w:tcPr>
            <w:tcW w:w="148" w:type="dxa"/>
            <w:tcBorders/>
            <w:vAlign w:val="center"/>
          </w:tcPr>
          <w:p>
            <w:pPr>
              <w:pStyle w:val="TableContents"/>
              <w:bidi w:val="0"/>
              <w:spacing w:before="0" w:after="0"/>
              <w:jc w:val="left"/>
              <w:rPr>
                <w:spacing w:val="0"/>
              </w:rPr>
            </w:pPr>
            <w:r>
              <w:rPr>
                <w:spacing w:val="0"/>
              </w:rPr>
              <w:t>  </w:t>
            </w:r>
          </w:p>
        </w:tc>
        <w:tc>
          <w:tcPr>
            <w:tcW w:w="2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4" w:type="dxa"/>
            <w:tcBorders/>
            <w:vAlign w:val="center"/>
          </w:tcPr>
          <w:p>
            <w:pPr>
              <w:pStyle w:val="TableContents"/>
              <w:bidi w:val="0"/>
              <w:spacing w:before="0" w:after="0"/>
              <w:jc w:val="left"/>
              <w:rPr>
                <w:spacing w:val="0"/>
              </w:rPr>
            </w:pPr>
            <w:r>
              <w:rPr>
                <w:spacing w:val="0"/>
              </w:rPr>
              <w:t> </w:t>
            </w:r>
          </w:p>
        </w:tc>
        <w:tc>
          <w:tcPr>
            <w:tcW w:w="148" w:type="dxa"/>
            <w:tcBorders/>
            <w:vAlign w:val="center"/>
          </w:tcPr>
          <w:p>
            <w:pPr>
              <w:pStyle w:val="TableContents"/>
              <w:bidi w:val="0"/>
              <w:spacing w:before="0" w:after="0"/>
              <w:jc w:val="left"/>
              <w:rPr>
                <w:spacing w:val="0"/>
              </w:rPr>
            </w:pPr>
            <w:r>
              <w:rPr>
                <w:spacing w:val="0"/>
              </w:rPr>
              <w:t>  </w:t>
            </w:r>
          </w:p>
        </w:tc>
        <w:tc>
          <w:tcPr>
            <w:tcW w:w="17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4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0"/>
              <w:jc w:val="left"/>
              <w:rPr>
                <w:spacing w:val="0"/>
              </w:rPr>
            </w:pPr>
            <w:r>
              <w:rPr>
                <w:spacing w:val="0"/>
              </w:rPr>
              <w:t> </w:t>
            </w:r>
          </w:p>
        </w:tc>
      </w:tr>
    </w:tbl>
    <w:p>
      <w:pPr>
        <w:pStyle w:val="TextBody"/>
        <w:bidi w:val="0"/>
        <w:spacing w:before="0" w:after="0"/>
        <w:ind w:left="0" w:right="0" w:hanging="0"/>
        <w:jc w:val="left"/>
        <w:rPr>
          <w:spacing w:val="0"/>
        </w:rPr>
      </w:pPr>
      <w:r>
        <w:rPr>
          <w:spacing w:val="0"/>
        </w:rPr>
        <w:t> </w:t>
      </w:r>
    </w:p>
    <w:tbl>
      <w:tblPr>
        <w:tblW w:w="7753" w:type="dxa"/>
        <w:jc w:val="left"/>
        <w:tblInd w:w="0" w:type="dxa"/>
        <w:tblLayout w:type="fixed"/>
        <w:tblCellMar>
          <w:top w:w="0" w:type="dxa"/>
          <w:left w:w="0" w:type="dxa"/>
          <w:bottom w:w="0" w:type="dxa"/>
          <w:right w:w="0" w:type="dxa"/>
        </w:tblCellMar>
      </w:tblPr>
      <w:tblGrid>
        <w:gridCol w:w="2585"/>
        <w:gridCol w:w="120"/>
        <w:gridCol w:w="195"/>
        <w:gridCol w:w="948"/>
        <w:gridCol w:w="83"/>
        <w:gridCol w:w="167"/>
        <w:gridCol w:w="195"/>
        <w:gridCol w:w="948"/>
        <w:gridCol w:w="83"/>
        <w:gridCol w:w="167"/>
        <w:gridCol w:w="264"/>
        <w:gridCol w:w="530"/>
        <w:gridCol w:w="83"/>
        <w:gridCol w:w="167"/>
        <w:gridCol w:w="195"/>
        <w:gridCol w:w="948"/>
        <w:gridCol w:w="75"/>
      </w:tblGrid>
      <w:tr>
        <w:trPr/>
        <w:tc>
          <w:tcPr>
            <w:tcW w:w="258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95" w:type="dxa"/>
            <w:tcBorders/>
            <w:vAlign w:val="center"/>
          </w:tcPr>
          <w:p>
            <w:pPr>
              <w:pStyle w:val="TableContents"/>
              <w:bidi w:val="0"/>
              <w:spacing w:before="0" w:after="0"/>
              <w:jc w:val="left"/>
              <w:rPr/>
            </w:pPr>
            <w:r>
              <w:rPr/>
              <w:t> </w:t>
            </w:r>
          </w:p>
        </w:tc>
        <w:tc>
          <w:tcPr>
            <w:tcW w:w="948" w:type="dxa"/>
            <w:tcBorders/>
            <w:vAlign w:val="center"/>
          </w:tcPr>
          <w:p>
            <w:pPr>
              <w:pStyle w:val="TableContents"/>
              <w:bidi w:val="0"/>
              <w:spacing w:before="0" w:after="0"/>
              <w:jc w:val="left"/>
              <w:rPr/>
            </w:pPr>
            <w:r>
              <w:rPr/>
              <w:t> </w:t>
            </w:r>
          </w:p>
        </w:tc>
        <w:tc>
          <w:tcPr>
            <w:tcW w:w="83" w:type="dxa"/>
            <w:tcBorders/>
            <w:vAlign w:val="center"/>
          </w:tcPr>
          <w:p>
            <w:pPr>
              <w:pStyle w:val="TableContents"/>
              <w:bidi w:val="0"/>
              <w:spacing w:before="0" w:after="0"/>
              <w:jc w:val="left"/>
              <w:rPr/>
            </w:pPr>
            <w:r>
              <w:rPr/>
              <w:t> </w:t>
            </w:r>
          </w:p>
        </w:tc>
        <w:tc>
          <w:tcPr>
            <w:tcW w:w="167" w:type="dxa"/>
            <w:tcBorders/>
            <w:vAlign w:val="center"/>
          </w:tcPr>
          <w:p>
            <w:pPr>
              <w:pStyle w:val="TableContents"/>
              <w:bidi w:val="0"/>
              <w:spacing w:before="0" w:after="0"/>
              <w:jc w:val="left"/>
              <w:rPr/>
            </w:pPr>
            <w:r>
              <w:rPr/>
              <w:t> </w:t>
            </w:r>
          </w:p>
        </w:tc>
        <w:tc>
          <w:tcPr>
            <w:tcW w:w="195" w:type="dxa"/>
            <w:tcBorders/>
            <w:vAlign w:val="center"/>
          </w:tcPr>
          <w:p>
            <w:pPr>
              <w:pStyle w:val="TableContents"/>
              <w:bidi w:val="0"/>
              <w:spacing w:before="0" w:after="0"/>
              <w:jc w:val="left"/>
              <w:rPr/>
            </w:pPr>
            <w:r>
              <w:rPr/>
              <w:t> </w:t>
            </w:r>
          </w:p>
        </w:tc>
        <w:tc>
          <w:tcPr>
            <w:tcW w:w="948" w:type="dxa"/>
            <w:tcBorders/>
            <w:vAlign w:val="center"/>
          </w:tcPr>
          <w:p>
            <w:pPr>
              <w:pStyle w:val="TableContents"/>
              <w:bidi w:val="0"/>
              <w:spacing w:before="0" w:after="0"/>
              <w:jc w:val="left"/>
              <w:rPr/>
            </w:pPr>
            <w:r>
              <w:rPr/>
              <w:t> </w:t>
            </w:r>
          </w:p>
        </w:tc>
        <w:tc>
          <w:tcPr>
            <w:tcW w:w="83" w:type="dxa"/>
            <w:tcBorders/>
            <w:vAlign w:val="center"/>
          </w:tcPr>
          <w:p>
            <w:pPr>
              <w:pStyle w:val="TableContents"/>
              <w:bidi w:val="0"/>
              <w:spacing w:before="0" w:after="0"/>
              <w:jc w:val="left"/>
              <w:rPr/>
            </w:pPr>
            <w:r>
              <w:rPr/>
              <w:t> </w:t>
            </w:r>
          </w:p>
        </w:tc>
        <w:tc>
          <w:tcPr>
            <w:tcW w:w="167" w:type="dxa"/>
            <w:tcBorders/>
            <w:vAlign w:val="center"/>
          </w:tcPr>
          <w:p>
            <w:pPr>
              <w:pStyle w:val="TableContents"/>
              <w:bidi w:val="0"/>
              <w:spacing w:before="0" w:after="0"/>
              <w:jc w:val="left"/>
              <w:rPr/>
            </w:pPr>
            <w:r>
              <w:rPr/>
              <w:t> </w:t>
            </w:r>
          </w:p>
        </w:tc>
        <w:tc>
          <w:tcPr>
            <w:tcW w:w="264"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pPr>
            <w:r>
              <w:rPr/>
              <w:t> </w:t>
            </w:r>
          </w:p>
        </w:tc>
        <w:tc>
          <w:tcPr>
            <w:tcW w:w="83" w:type="dxa"/>
            <w:tcBorders/>
            <w:vAlign w:val="center"/>
          </w:tcPr>
          <w:p>
            <w:pPr>
              <w:pStyle w:val="TableContents"/>
              <w:bidi w:val="0"/>
              <w:spacing w:before="0" w:after="0"/>
              <w:jc w:val="left"/>
              <w:rPr/>
            </w:pPr>
            <w:r>
              <w:rPr/>
              <w:t> </w:t>
            </w:r>
          </w:p>
        </w:tc>
        <w:tc>
          <w:tcPr>
            <w:tcW w:w="167" w:type="dxa"/>
            <w:tcBorders/>
            <w:vAlign w:val="center"/>
          </w:tcPr>
          <w:p>
            <w:pPr>
              <w:pStyle w:val="TableContents"/>
              <w:bidi w:val="0"/>
              <w:spacing w:before="0" w:after="0"/>
              <w:jc w:val="left"/>
              <w:rPr/>
            </w:pPr>
            <w:r>
              <w:rPr/>
              <w:t> </w:t>
            </w:r>
          </w:p>
        </w:tc>
        <w:tc>
          <w:tcPr>
            <w:tcW w:w="195" w:type="dxa"/>
            <w:tcBorders/>
            <w:vAlign w:val="center"/>
          </w:tcPr>
          <w:p>
            <w:pPr>
              <w:pStyle w:val="TableContents"/>
              <w:bidi w:val="0"/>
              <w:spacing w:before="0" w:after="0"/>
              <w:jc w:val="left"/>
              <w:rPr/>
            </w:pPr>
            <w:r>
              <w:rPr/>
              <w:t> </w:t>
            </w:r>
          </w:p>
        </w:tc>
        <w:tc>
          <w:tcPr>
            <w:tcW w:w="948"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258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4973" w:type="dxa"/>
            <w:gridSpan w:val="14"/>
            <w:tcBorders/>
            <w:vAlign w:val="center"/>
          </w:tcPr>
          <w:p>
            <w:pPr>
              <w:pStyle w:val="TableContents"/>
              <w:bidi w:val="0"/>
              <w:spacing w:before="0" w:after="0"/>
              <w:jc w:val="center"/>
              <w:rPr>
                <w:b/>
                <w:spacing w:val="0"/>
              </w:rPr>
            </w:pPr>
            <w:r>
              <w:rPr>
                <w:b/>
                <w:spacing w:val="0"/>
              </w:rPr>
              <w:t>Fair Value Measurements at December 31, 2025</w:t>
            </w:r>
          </w:p>
        </w:tc>
        <w:tc>
          <w:tcPr>
            <w:tcW w:w="75" w:type="dxa"/>
            <w:tcBorders/>
            <w:vAlign w:val="center"/>
          </w:tcPr>
          <w:p>
            <w:pPr>
              <w:pStyle w:val="TableContents"/>
              <w:bidi w:val="0"/>
              <w:spacing w:before="0" w:after="0"/>
              <w:jc w:val="left"/>
              <w:rPr>
                <w:spacing w:val="0"/>
              </w:rPr>
            </w:pPr>
            <w:r>
              <w:rPr>
                <w:spacing w:val="0"/>
              </w:rPr>
              <w:t> </w:t>
            </w:r>
          </w:p>
        </w:tc>
      </w:tr>
      <w:tr>
        <w:trPr/>
        <w:tc>
          <w:tcPr>
            <w:tcW w:w="258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43" w:type="dxa"/>
            <w:gridSpan w:val="2"/>
            <w:tcBorders/>
            <w:vAlign w:val="center"/>
          </w:tcPr>
          <w:p>
            <w:pPr>
              <w:pStyle w:val="TableContents"/>
              <w:bidi w:val="0"/>
              <w:spacing w:before="0" w:after="0"/>
              <w:jc w:val="center"/>
              <w:rPr>
                <w:b/>
                <w:spacing w:val="0"/>
              </w:rPr>
            </w:pPr>
            <w:r>
              <w:rPr>
                <w:b/>
                <w:spacing w:val="0"/>
              </w:rPr>
              <w:t>Level 1</w:t>
            </w:r>
          </w:p>
        </w:tc>
        <w:tc>
          <w:tcPr>
            <w:tcW w:w="83" w:type="dxa"/>
            <w:tcBorders/>
            <w:vAlign w:val="center"/>
          </w:tcPr>
          <w:p>
            <w:pPr>
              <w:pStyle w:val="TableContents"/>
              <w:bidi w:val="0"/>
              <w:spacing w:before="0" w:after="0"/>
              <w:jc w:val="left"/>
              <w:rPr>
                <w:spacing w:val="0"/>
              </w:rPr>
            </w:pPr>
            <w:r>
              <w:rPr>
                <w:spacing w:val="0"/>
              </w:rPr>
              <w:t> </w:t>
            </w:r>
          </w:p>
        </w:tc>
        <w:tc>
          <w:tcPr>
            <w:tcW w:w="167" w:type="dxa"/>
            <w:tcBorders/>
            <w:vAlign w:val="center"/>
          </w:tcPr>
          <w:p>
            <w:pPr>
              <w:pStyle w:val="TableContents"/>
              <w:bidi w:val="0"/>
              <w:spacing w:before="0" w:after="0"/>
              <w:jc w:val="left"/>
              <w:rPr>
                <w:spacing w:val="0"/>
              </w:rPr>
            </w:pPr>
            <w:r>
              <w:rPr>
                <w:spacing w:val="0"/>
              </w:rPr>
              <w:t>  </w:t>
            </w:r>
          </w:p>
        </w:tc>
        <w:tc>
          <w:tcPr>
            <w:tcW w:w="1143" w:type="dxa"/>
            <w:gridSpan w:val="2"/>
            <w:tcBorders/>
            <w:vAlign w:val="center"/>
          </w:tcPr>
          <w:p>
            <w:pPr>
              <w:pStyle w:val="TableContents"/>
              <w:bidi w:val="0"/>
              <w:spacing w:before="0" w:after="0"/>
              <w:jc w:val="center"/>
              <w:rPr>
                <w:b/>
                <w:spacing w:val="0"/>
              </w:rPr>
            </w:pPr>
            <w:r>
              <w:rPr>
                <w:b/>
                <w:spacing w:val="0"/>
              </w:rPr>
              <w:t>Level 2</w:t>
            </w:r>
          </w:p>
        </w:tc>
        <w:tc>
          <w:tcPr>
            <w:tcW w:w="83" w:type="dxa"/>
            <w:tcBorders/>
            <w:vAlign w:val="center"/>
          </w:tcPr>
          <w:p>
            <w:pPr>
              <w:pStyle w:val="TableContents"/>
              <w:bidi w:val="0"/>
              <w:spacing w:before="0" w:after="0"/>
              <w:jc w:val="left"/>
              <w:rPr>
                <w:spacing w:val="0"/>
              </w:rPr>
            </w:pPr>
            <w:r>
              <w:rPr>
                <w:spacing w:val="0"/>
              </w:rPr>
              <w:t> </w:t>
            </w:r>
          </w:p>
        </w:tc>
        <w:tc>
          <w:tcPr>
            <w:tcW w:w="167" w:type="dxa"/>
            <w:tcBorders/>
            <w:vAlign w:val="center"/>
          </w:tcPr>
          <w:p>
            <w:pPr>
              <w:pStyle w:val="TableContents"/>
              <w:bidi w:val="0"/>
              <w:spacing w:before="0" w:after="0"/>
              <w:jc w:val="left"/>
              <w:rPr>
                <w:spacing w:val="0"/>
              </w:rPr>
            </w:pPr>
            <w:r>
              <w:rPr>
                <w:spacing w:val="0"/>
              </w:rPr>
              <w:t>  </w:t>
            </w:r>
          </w:p>
        </w:tc>
        <w:tc>
          <w:tcPr>
            <w:tcW w:w="794" w:type="dxa"/>
            <w:gridSpan w:val="2"/>
            <w:tcBorders/>
            <w:vAlign w:val="center"/>
          </w:tcPr>
          <w:p>
            <w:pPr>
              <w:pStyle w:val="TableContents"/>
              <w:bidi w:val="0"/>
              <w:spacing w:before="0" w:after="0"/>
              <w:jc w:val="center"/>
              <w:rPr>
                <w:b/>
                <w:spacing w:val="0"/>
              </w:rPr>
            </w:pPr>
            <w:r>
              <w:rPr>
                <w:b/>
                <w:spacing w:val="0"/>
              </w:rPr>
              <w:t>Level 3</w:t>
            </w:r>
          </w:p>
        </w:tc>
        <w:tc>
          <w:tcPr>
            <w:tcW w:w="83" w:type="dxa"/>
            <w:tcBorders/>
            <w:vAlign w:val="center"/>
          </w:tcPr>
          <w:p>
            <w:pPr>
              <w:pStyle w:val="TableContents"/>
              <w:bidi w:val="0"/>
              <w:spacing w:before="0" w:after="0"/>
              <w:jc w:val="left"/>
              <w:rPr>
                <w:spacing w:val="0"/>
              </w:rPr>
            </w:pPr>
            <w:r>
              <w:rPr>
                <w:spacing w:val="0"/>
              </w:rPr>
              <w:t> </w:t>
            </w:r>
          </w:p>
        </w:tc>
        <w:tc>
          <w:tcPr>
            <w:tcW w:w="167" w:type="dxa"/>
            <w:tcBorders/>
            <w:vAlign w:val="center"/>
          </w:tcPr>
          <w:p>
            <w:pPr>
              <w:pStyle w:val="TableContents"/>
              <w:bidi w:val="0"/>
              <w:spacing w:before="0" w:after="0"/>
              <w:jc w:val="left"/>
              <w:rPr>
                <w:spacing w:val="0"/>
              </w:rPr>
            </w:pPr>
            <w:r>
              <w:rPr>
                <w:spacing w:val="0"/>
              </w:rPr>
              <w:t>  </w:t>
            </w:r>
          </w:p>
        </w:tc>
        <w:tc>
          <w:tcPr>
            <w:tcW w:w="1143" w:type="dxa"/>
            <w:gridSpan w:val="2"/>
            <w:tcBorders/>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0"/>
              <w:jc w:val="left"/>
              <w:rPr>
                <w:spacing w:val="0"/>
              </w:rPr>
            </w:pPr>
            <w:r>
              <w:rPr>
                <w:spacing w:val="0"/>
              </w:rPr>
              <w:t> </w:t>
            </w:r>
          </w:p>
        </w:tc>
      </w:tr>
      <w:tr>
        <w:trPr/>
        <w:tc>
          <w:tcPr>
            <w:tcW w:w="25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Assets: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95"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0"/>
              <w:jc w:val="left"/>
              <w:rPr>
                <w:spacing w:val="0"/>
              </w:rPr>
            </w:pPr>
            <w:r>
              <w:rPr>
                <w:spacing w:val="0"/>
              </w:rPr>
              <w:t>  </w:t>
            </w:r>
          </w:p>
        </w:tc>
        <w:tc>
          <w:tcPr>
            <w:tcW w:w="195"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0"/>
              <w:jc w:val="left"/>
              <w:rPr>
                <w:spacing w:val="0"/>
              </w:rPr>
            </w:pPr>
            <w:r>
              <w:rPr>
                <w:spacing w:val="0"/>
              </w:rPr>
              <w:t>  </w:t>
            </w:r>
          </w:p>
        </w:tc>
        <w:tc>
          <w:tcPr>
            <w:tcW w:w="264"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0"/>
              <w:jc w:val="left"/>
              <w:rPr>
                <w:spacing w:val="0"/>
              </w:rPr>
            </w:pPr>
            <w:r>
              <w:rPr>
                <w:spacing w:val="0"/>
              </w:rPr>
              <w:t>  </w:t>
            </w:r>
          </w:p>
        </w:tc>
        <w:tc>
          <w:tcPr>
            <w:tcW w:w="195"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Money market funds</w:t>
            </w:r>
          </w:p>
        </w:tc>
        <w:tc>
          <w:tcPr>
            <w:tcW w:w="120"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rPr>
            </w:pPr>
            <w:r>
              <w:rPr>
                <w:spacing w:val="0"/>
              </w:rPr>
              <w:t>$</w:t>
            </w:r>
          </w:p>
        </w:tc>
        <w:tc>
          <w:tcPr>
            <w:tcW w:w="948" w:type="dxa"/>
            <w:tcBorders/>
            <w:vAlign w:val="center"/>
          </w:tcPr>
          <w:p>
            <w:pPr>
              <w:pStyle w:val="TableContents"/>
              <w:bidi w:val="0"/>
              <w:spacing w:before="0" w:after="0"/>
              <w:jc w:val="right"/>
              <w:rPr>
                <w:spacing w:val="0"/>
              </w:rPr>
            </w:pPr>
            <w:r>
              <w:rPr>
                <w:spacing w:val="0"/>
              </w:rPr>
              <w:t>39,905</w:t>
            </w:r>
          </w:p>
        </w:tc>
        <w:tc>
          <w:tcPr>
            <w:tcW w:w="83" w:type="dxa"/>
            <w:tcBorders/>
            <w:vAlign w:val="center"/>
          </w:tcPr>
          <w:p>
            <w:pPr>
              <w:pStyle w:val="TableContents"/>
              <w:bidi w:val="0"/>
              <w:spacing w:before="0" w:after="0"/>
              <w:jc w:val="left"/>
              <w:rPr>
                <w:spacing w:val="0"/>
              </w:rPr>
            </w:pPr>
            <w:r>
              <w:rPr>
                <w:spacing w:val="0"/>
              </w:rPr>
              <w:t> </w:t>
            </w:r>
          </w:p>
        </w:tc>
        <w:tc>
          <w:tcPr>
            <w:tcW w:w="167"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rPr>
            </w:pPr>
            <w:r>
              <w:rPr>
                <w:spacing w:val="0"/>
              </w:rPr>
              <w:t>$</w:t>
            </w:r>
          </w:p>
        </w:tc>
        <w:tc>
          <w:tcPr>
            <w:tcW w:w="948" w:type="dxa"/>
            <w:tcBorders/>
            <w:vAlign w:val="center"/>
          </w:tcPr>
          <w:p>
            <w:pPr>
              <w:pStyle w:val="TableContents"/>
              <w:bidi w:val="0"/>
              <w:spacing w:before="0" w:after="0"/>
              <w:jc w:val="right"/>
              <w:rPr>
                <w:spacing w:val="0"/>
              </w:rPr>
            </w:pPr>
            <w:r>
              <w:rPr>
                <w:spacing w:val="0"/>
              </w:rPr>
              <w:t>— </w:t>
            </w:r>
          </w:p>
        </w:tc>
        <w:tc>
          <w:tcPr>
            <w:tcW w:w="83" w:type="dxa"/>
            <w:tcBorders/>
            <w:vAlign w:val="center"/>
          </w:tcPr>
          <w:p>
            <w:pPr>
              <w:pStyle w:val="TableContents"/>
              <w:bidi w:val="0"/>
              <w:spacing w:before="0" w:after="0"/>
              <w:jc w:val="left"/>
              <w:rPr>
                <w:spacing w:val="0"/>
              </w:rPr>
            </w:pPr>
            <w:r>
              <w:rPr>
                <w:spacing w:val="0"/>
              </w:rPr>
              <w:t> </w:t>
            </w:r>
          </w:p>
        </w:tc>
        <w:tc>
          <w:tcPr>
            <w:tcW w:w="167" w:type="dxa"/>
            <w:tcBorders/>
            <w:vAlign w:val="center"/>
          </w:tcPr>
          <w:p>
            <w:pPr>
              <w:pStyle w:val="TableContents"/>
              <w:bidi w:val="0"/>
              <w:spacing w:before="0" w:after="0"/>
              <w:jc w:val="left"/>
              <w:rPr>
                <w:spacing w:val="0"/>
              </w:rPr>
            </w:pPr>
            <w:r>
              <w:rPr>
                <w:spacing w:val="0"/>
              </w:rPr>
              <w:t>  </w:t>
            </w:r>
          </w:p>
        </w:tc>
        <w:tc>
          <w:tcPr>
            <w:tcW w:w="264" w:type="dxa"/>
            <w:tcBorders/>
            <w:vAlign w:val="center"/>
          </w:tcPr>
          <w:p>
            <w:pPr>
              <w:pStyle w:val="TableContents"/>
              <w:bidi w:val="0"/>
              <w:spacing w:before="0" w:after="0"/>
              <w:jc w:val="left"/>
              <w:rPr>
                <w:spacing w:val="0"/>
              </w:rPr>
            </w:pPr>
            <w:r>
              <w:rPr>
                <w:spacing w:val="0"/>
              </w:rPr>
              <w:t>$</w:t>
            </w:r>
          </w:p>
        </w:tc>
        <w:tc>
          <w:tcPr>
            <w:tcW w:w="530" w:type="dxa"/>
            <w:tcBorders/>
            <w:vAlign w:val="center"/>
          </w:tcPr>
          <w:p>
            <w:pPr>
              <w:pStyle w:val="TableContents"/>
              <w:bidi w:val="0"/>
              <w:spacing w:before="0" w:after="0"/>
              <w:jc w:val="right"/>
              <w:rPr>
                <w:spacing w:val="0"/>
              </w:rPr>
            </w:pPr>
            <w:r>
              <w:rPr>
                <w:spacing w:val="0"/>
              </w:rPr>
              <w:t>— </w:t>
            </w:r>
          </w:p>
        </w:tc>
        <w:tc>
          <w:tcPr>
            <w:tcW w:w="83" w:type="dxa"/>
            <w:tcBorders/>
            <w:vAlign w:val="center"/>
          </w:tcPr>
          <w:p>
            <w:pPr>
              <w:pStyle w:val="TableContents"/>
              <w:bidi w:val="0"/>
              <w:spacing w:before="0" w:after="0"/>
              <w:jc w:val="left"/>
              <w:rPr>
                <w:spacing w:val="0"/>
              </w:rPr>
            </w:pPr>
            <w:r>
              <w:rPr>
                <w:spacing w:val="0"/>
              </w:rPr>
              <w:t> </w:t>
            </w:r>
          </w:p>
        </w:tc>
        <w:tc>
          <w:tcPr>
            <w:tcW w:w="167"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rPr>
            </w:pPr>
            <w:r>
              <w:rPr>
                <w:spacing w:val="0"/>
              </w:rPr>
              <w:t>$</w:t>
            </w:r>
          </w:p>
        </w:tc>
        <w:tc>
          <w:tcPr>
            <w:tcW w:w="948" w:type="dxa"/>
            <w:tcBorders/>
            <w:vAlign w:val="center"/>
          </w:tcPr>
          <w:p>
            <w:pPr>
              <w:pStyle w:val="TableContents"/>
              <w:bidi w:val="0"/>
              <w:spacing w:before="0" w:after="0"/>
              <w:jc w:val="right"/>
              <w:rPr>
                <w:spacing w:val="0"/>
              </w:rPr>
            </w:pPr>
            <w:r>
              <w:rPr>
                <w:spacing w:val="0"/>
              </w:rPr>
              <w:t>39,905</w:t>
            </w:r>
          </w:p>
        </w:tc>
        <w:tc>
          <w:tcPr>
            <w:tcW w:w="75" w:type="dxa"/>
            <w:tcBorders/>
            <w:vAlign w:val="center"/>
          </w:tcPr>
          <w:p>
            <w:pPr>
              <w:pStyle w:val="TableContents"/>
              <w:bidi w:val="0"/>
              <w:spacing w:before="0" w:after="0"/>
              <w:jc w:val="left"/>
              <w:rPr>
                <w:spacing w:val="0"/>
              </w:rPr>
            </w:pPr>
            <w:r>
              <w:rPr>
                <w:spacing w:val="0"/>
              </w:rPr>
              <w:t> </w:t>
            </w:r>
          </w:p>
        </w:tc>
      </w:tr>
      <w:tr>
        <w:trPr/>
        <w:tc>
          <w:tcPr>
            <w:tcW w:w="25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U.S. Treasuries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95" w:type="dxa"/>
            <w:tcBorders/>
            <w:shd w:fill="CCEEFF" w:val="clear"/>
            <w:vAlign w:val="center"/>
          </w:tcPr>
          <w:p>
            <w:pPr>
              <w:pStyle w:val="TableContents"/>
              <w:bidi w:val="0"/>
              <w:spacing w:before="0" w:after="0"/>
              <w:jc w:val="left"/>
              <w:rPr>
                <w:spacing w:val="0"/>
              </w:rPr>
            </w:pPr>
            <w:r>
              <w:rPr>
                <w:spacing w:val="0"/>
              </w:rPr>
              <w:t> </w:t>
            </w:r>
          </w:p>
        </w:tc>
        <w:tc>
          <w:tcPr>
            <w:tcW w:w="948" w:type="dxa"/>
            <w:tcBorders/>
            <w:shd w:fill="CCEEFF" w:val="clear"/>
            <w:vAlign w:val="center"/>
          </w:tcPr>
          <w:p>
            <w:pPr>
              <w:pStyle w:val="TableContents"/>
              <w:bidi w:val="0"/>
              <w:spacing w:before="0" w:after="0"/>
              <w:jc w:val="right"/>
              <w:rPr>
                <w:spacing w:val="0"/>
              </w:rPr>
            </w:pPr>
            <w:r>
              <w:rPr>
                <w:spacing w:val="0"/>
              </w:rPr>
              <w:t>— </w:t>
            </w:r>
          </w:p>
        </w:tc>
        <w:tc>
          <w:tcPr>
            <w:tcW w:w="83" w:type="dxa"/>
            <w:tcBorders/>
            <w:shd w:fill="CCEEFF" w:val="clear"/>
            <w:vAlign w:val="center"/>
          </w:tcPr>
          <w:p>
            <w:pPr>
              <w:pStyle w:val="TableContents"/>
              <w:bidi w:val="0"/>
              <w:spacing w:before="0" w:after="0"/>
              <w:jc w:val="left"/>
              <w:rPr>
                <w:spacing w:val="0"/>
              </w:rPr>
            </w:pPr>
            <w:r>
              <w:rPr>
                <w:spacing w:val="0"/>
              </w:rPr>
              <w:t> </w:t>
            </w:r>
          </w:p>
        </w:tc>
        <w:tc>
          <w:tcPr>
            <w:tcW w:w="167" w:type="dxa"/>
            <w:tcBorders/>
            <w:shd w:fill="CCEEFF" w:val="clear"/>
            <w:vAlign w:val="center"/>
          </w:tcPr>
          <w:p>
            <w:pPr>
              <w:pStyle w:val="TableContents"/>
              <w:bidi w:val="0"/>
              <w:spacing w:before="0" w:after="0"/>
              <w:jc w:val="left"/>
              <w:rPr>
                <w:spacing w:val="0"/>
              </w:rPr>
            </w:pPr>
            <w:r>
              <w:rPr>
                <w:spacing w:val="0"/>
              </w:rPr>
              <w:t>  </w:t>
            </w:r>
          </w:p>
        </w:tc>
        <w:tc>
          <w:tcPr>
            <w:tcW w:w="195" w:type="dxa"/>
            <w:tcBorders/>
            <w:shd w:fill="CCEEFF" w:val="clear"/>
            <w:vAlign w:val="center"/>
          </w:tcPr>
          <w:p>
            <w:pPr>
              <w:pStyle w:val="TableContents"/>
              <w:bidi w:val="0"/>
              <w:spacing w:before="0" w:after="0"/>
              <w:jc w:val="left"/>
              <w:rPr>
                <w:spacing w:val="0"/>
              </w:rPr>
            </w:pPr>
            <w:r>
              <w:rPr>
                <w:spacing w:val="0"/>
              </w:rPr>
              <w:t> </w:t>
            </w:r>
          </w:p>
        </w:tc>
        <w:tc>
          <w:tcPr>
            <w:tcW w:w="948" w:type="dxa"/>
            <w:tcBorders/>
            <w:shd w:fill="CCEEFF" w:val="clear"/>
            <w:vAlign w:val="center"/>
          </w:tcPr>
          <w:p>
            <w:pPr>
              <w:pStyle w:val="TableContents"/>
              <w:bidi w:val="0"/>
              <w:spacing w:before="0" w:after="0"/>
              <w:jc w:val="right"/>
              <w:rPr>
                <w:spacing w:val="0"/>
              </w:rPr>
            </w:pPr>
            <w:r>
              <w:rPr>
                <w:spacing w:val="0"/>
              </w:rPr>
              <w:t>40,081</w:t>
            </w:r>
          </w:p>
        </w:tc>
        <w:tc>
          <w:tcPr>
            <w:tcW w:w="83" w:type="dxa"/>
            <w:tcBorders/>
            <w:shd w:fill="CCEEFF" w:val="clear"/>
            <w:vAlign w:val="center"/>
          </w:tcPr>
          <w:p>
            <w:pPr>
              <w:pStyle w:val="TableContents"/>
              <w:bidi w:val="0"/>
              <w:spacing w:before="0" w:after="0"/>
              <w:jc w:val="left"/>
              <w:rPr>
                <w:spacing w:val="0"/>
              </w:rPr>
            </w:pPr>
            <w:r>
              <w:rPr>
                <w:spacing w:val="0"/>
              </w:rPr>
              <w:t> </w:t>
            </w:r>
          </w:p>
        </w:tc>
        <w:tc>
          <w:tcPr>
            <w:tcW w:w="167" w:type="dxa"/>
            <w:tcBorders/>
            <w:shd w:fill="CCEEFF" w:val="clear"/>
            <w:vAlign w:val="center"/>
          </w:tcPr>
          <w:p>
            <w:pPr>
              <w:pStyle w:val="TableContents"/>
              <w:bidi w:val="0"/>
              <w:spacing w:before="0" w:after="0"/>
              <w:jc w:val="left"/>
              <w:rPr>
                <w:spacing w:val="0"/>
              </w:rPr>
            </w:pPr>
            <w:r>
              <w:rPr>
                <w:spacing w:val="0"/>
              </w:rPr>
              <w:t>  </w:t>
            </w:r>
          </w:p>
        </w:tc>
        <w:tc>
          <w:tcPr>
            <w:tcW w:w="264" w:type="dxa"/>
            <w:tcBorders/>
            <w:shd w:fill="CCEEFF" w:val="clear"/>
            <w:vAlign w:val="center"/>
          </w:tcPr>
          <w:p>
            <w:pPr>
              <w:pStyle w:val="TableContents"/>
              <w:bidi w:val="0"/>
              <w:spacing w:before="0" w:after="0"/>
              <w:jc w:val="left"/>
              <w:rPr>
                <w:spacing w:val="0"/>
              </w:rPr>
            </w:pPr>
            <w:r>
              <w:rPr>
                <w:spacing w:val="0"/>
              </w:rPr>
              <w:t> </w:t>
            </w:r>
          </w:p>
        </w:tc>
        <w:tc>
          <w:tcPr>
            <w:tcW w:w="530" w:type="dxa"/>
            <w:tcBorders/>
            <w:shd w:fill="CCEEFF" w:val="clear"/>
            <w:vAlign w:val="center"/>
          </w:tcPr>
          <w:p>
            <w:pPr>
              <w:pStyle w:val="TableContents"/>
              <w:bidi w:val="0"/>
              <w:spacing w:before="0" w:after="0"/>
              <w:jc w:val="right"/>
              <w:rPr>
                <w:spacing w:val="0"/>
              </w:rPr>
            </w:pPr>
            <w:r>
              <w:rPr>
                <w:spacing w:val="0"/>
              </w:rPr>
              <w:t>— </w:t>
            </w:r>
          </w:p>
        </w:tc>
        <w:tc>
          <w:tcPr>
            <w:tcW w:w="83" w:type="dxa"/>
            <w:tcBorders/>
            <w:shd w:fill="CCEEFF" w:val="clear"/>
            <w:vAlign w:val="center"/>
          </w:tcPr>
          <w:p>
            <w:pPr>
              <w:pStyle w:val="TableContents"/>
              <w:bidi w:val="0"/>
              <w:spacing w:before="0" w:after="0"/>
              <w:jc w:val="left"/>
              <w:rPr>
                <w:spacing w:val="0"/>
              </w:rPr>
            </w:pPr>
            <w:r>
              <w:rPr>
                <w:spacing w:val="0"/>
              </w:rPr>
              <w:t> </w:t>
            </w:r>
          </w:p>
        </w:tc>
        <w:tc>
          <w:tcPr>
            <w:tcW w:w="167" w:type="dxa"/>
            <w:tcBorders/>
            <w:shd w:fill="CCEEFF" w:val="clear"/>
            <w:vAlign w:val="center"/>
          </w:tcPr>
          <w:p>
            <w:pPr>
              <w:pStyle w:val="TableContents"/>
              <w:bidi w:val="0"/>
              <w:spacing w:before="0" w:after="0"/>
              <w:jc w:val="left"/>
              <w:rPr>
                <w:spacing w:val="0"/>
              </w:rPr>
            </w:pPr>
            <w:r>
              <w:rPr>
                <w:spacing w:val="0"/>
              </w:rPr>
              <w:t>  </w:t>
            </w:r>
          </w:p>
        </w:tc>
        <w:tc>
          <w:tcPr>
            <w:tcW w:w="195" w:type="dxa"/>
            <w:tcBorders/>
            <w:shd w:fill="CCEEFF" w:val="clear"/>
            <w:vAlign w:val="center"/>
          </w:tcPr>
          <w:p>
            <w:pPr>
              <w:pStyle w:val="TableContents"/>
              <w:bidi w:val="0"/>
              <w:spacing w:before="0" w:after="0"/>
              <w:jc w:val="left"/>
              <w:rPr>
                <w:spacing w:val="0"/>
              </w:rPr>
            </w:pPr>
            <w:r>
              <w:rPr>
                <w:spacing w:val="0"/>
              </w:rPr>
              <w:t> </w:t>
            </w:r>
          </w:p>
        </w:tc>
        <w:tc>
          <w:tcPr>
            <w:tcW w:w="948" w:type="dxa"/>
            <w:tcBorders/>
            <w:shd w:fill="CCEEFF" w:val="clear"/>
            <w:vAlign w:val="center"/>
          </w:tcPr>
          <w:p>
            <w:pPr>
              <w:pStyle w:val="TableContents"/>
              <w:bidi w:val="0"/>
              <w:spacing w:before="0" w:after="0"/>
              <w:jc w:val="right"/>
              <w:rPr>
                <w:spacing w:val="0"/>
              </w:rPr>
            </w:pPr>
            <w:r>
              <w:rPr>
                <w:spacing w:val="0"/>
              </w:rPr>
              <w:t>40,081</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25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4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3" w:type="dxa"/>
            <w:tcBorders/>
            <w:vAlign w:val="center"/>
          </w:tcPr>
          <w:p>
            <w:pPr>
              <w:pStyle w:val="TableContents"/>
              <w:bidi w:val="0"/>
              <w:spacing w:before="0" w:after="0"/>
              <w:jc w:val="left"/>
              <w:rPr>
                <w:spacing w:val="0"/>
              </w:rPr>
            </w:pPr>
            <w:r>
              <w:rPr>
                <w:spacing w:val="0"/>
              </w:rPr>
              <w:t> </w:t>
            </w:r>
          </w:p>
        </w:tc>
        <w:tc>
          <w:tcPr>
            <w:tcW w:w="167"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4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3" w:type="dxa"/>
            <w:tcBorders/>
            <w:vAlign w:val="center"/>
          </w:tcPr>
          <w:p>
            <w:pPr>
              <w:pStyle w:val="TableContents"/>
              <w:bidi w:val="0"/>
              <w:spacing w:before="0" w:after="0"/>
              <w:jc w:val="left"/>
              <w:rPr>
                <w:spacing w:val="0"/>
              </w:rPr>
            </w:pPr>
            <w:r>
              <w:rPr>
                <w:spacing w:val="0"/>
              </w:rPr>
              <w:t> </w:t>
            </w:r>
          </w:p>
        </w:tc>
        <w:tc>
          <w:tcPr>
            <w:tcW w:w="167" w:type="dxa"/>
            <w:tcBorders/>
            <w:vAlign w:val="center"/>
          </w:tcPr>
          <w:p>
            <w:pPr>
              <w:pStyle w:val="TableContents"/>
              <w:bidi w:val="0"/>
              <w:spacing w:before="0" w:after="0"/>
              <w:jc w:val="left"/>
              <w:rPr>
                <w:spacing w:val="0"/>
              </w:rPr>
            </w:pPr>
            <w:r>
              <w:rPr>
                <w:spacing w:val="0"/>
              </w:rPr>
              <w:t>  </w:t>
            </w:r>
          </w:p>
        </w:tc>
        <w:tc>
          <w:tcPr>
            <w:tcW w:w="2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3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3" w:type="dxa"/>
            <w:tcBorders/>
            <w:vAlign w:val="center"/>
          </w:tcPr>
          <w:p>
            <w:pPr>
              <w:pStyle w:val="TableContents"/>
              <w:bidi w:val="0"/>
              <w:spacing w:before="0" w:after="0"/>
              <w:jc w:val="left"/>
              <w:rPr>
                <w:spacing w:val="0"/>
              </w:rPr>
            </w:pPr>
            <w:r>
              <w:rPr>
                <w:spacing w:val="0"/>
              </w:rPr>
              <w:t> </w:t>
            </w:r>
          </w:p>
        </w:tc>
        <w:tc>
          <w:tcPr>
            <w:tcW w:w="167"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4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0"/>
              <w:jc w:val="left"/>
              <w:rPr>
                <w:spacing w:val="0"/>
              </w:rPr>
            </w:pPr>
            <w:r>
              <w:rPr>
                <w:spacing w:val="0"/>
              </w:rPr>
              <w:t> </w:t>
            </w:r>
          </w:p>
        </w:tc>
      </w:tr>
      <w:tr>
        <w:trPr/>
        <w:tc>
          <w:tcPr>
            <w:tcW w:w="25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assets</w:t>
            </w:r>
          </w:p>
        </w:tc>
        <w:tc>
          <w:tcPr>
            <w:tcW w:w="120"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rPr>
            </w:pPr>
            <w:r>
              <w:rPr>
                <w:spacing w:val="0"/>
              </w:rPr>
              <w:t>$</w:t>
            </w:r>
          </w:p>
        </w:tc>
        <w:tc>
          <w:tcPr>
            <w:tcW w:w="948" w:type="dxa"/>
            <w:tcBorders/>
            <w:vAlign w:val="center"/>
          </w:tcPr>
          <w:p>
            <w:pPr>
              <w:pStyle w:val="TableContents"/>
              <w:bidi w:val="0"/>
              <w:spacing w:before="0" w:after="0"/>
              <w:jc w:val="right"/>
              <w:rPr>
                <w:spacing w:val="0"/>
              </w:rPr>
            </w:pPr>
            <w:r>
              <w:rPr>
                <w:spacing w:val="0"/>
              </w:rPr>
              <w:t>39,905</w:t>
            </w:r>
          </w:p>
        </w:tc>
        <w:tc>
          <w:tcPr>
            <w:tcW w:w="83" w:type="dxa"/>
            <w:tcBorders/>
            <w:vAlign w:val="center"/>
          </w:tcPr>
          <w:p>
            <w:pPr>
              <w:pStyle w:val="TableContents"/>
              <w:bidi w:val="0"/>
              <w:spacing w:before="0" w:after="0"/>
              <w:jc w:val="left"/>
              <w:rPr>
                <w:spacing w:val="0"/>
              </w:rPr>
            </w:pPr>
            <w:r>
              <w:rPr>
                <w:spacing w:val="0"/>
              </w:rPr>
              <w:t> </w:t>
            </w:r>
          </w:p>
        </w:tc>
        <w:tc>
          <w:tcPr>
            <w:tcW w:w="167"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rPr>
            </w:pPr>
            <w:r>
              <w:rPr>
                <w:spacing w:val="0"/>
              </w:rPr>
              <w:t>$</w:t>
            </w:r>
          </w:p>
        </w:tc>
        <w:tc>
          <w:tcPr>
            <w:tcW w:w="948" w:type="dxa"/>
            <w:tcBorders/>
            <w:vAlign w:val="center"/>
          </w:tcPr>
          <w:p>
            <w:pPr>
              <w:pStyle w:val="TableContents"/>
              <w:bidi w:val="0"/>
              <w:spacing w:before="0" w:after="0"/>
              <w:jc w:val="right"/>
              <w:rPr>
                <w:spacing w:val="0"/>
              </w:rPr>
            </w:pPr>
            <w:r>
              <w:rPr>
                <w:spacing w:val="0"/>
              </w:rPr>
              <w:t>40,081</w:t>
            </w:r>
          </w:p>
        </w:tc>
        <w:tc>
          <w:tcPr>
            <w:tcW w:w="83" w:type="dxa"/>
            <w:tcBorders/>
            <w:vAlign w:val="center"/>
          </w:tcPr>
          <w:p>
            <w:pPr>
              <w:pStyle w:val="TableContents"/>
              <w:bidi w:val="0"/>
              <w:spacing w:before="0" w:after="0"/>
              <w:jc w:val="left"/>
              <w:rPr>
                <w:spacing w:val="0"/>
              </w:rPr>
            </w:pPr>
            <w:r>
              <w:rPr>
                <w:spacing w:val="0"/>
              </w:rPr>
              <w:t> </w:t>
            </w:r>
          </w:p>
        </w:tc>
        <w:tc>
          <w:tcPr>
            <w:tcW w:w="167" w:type="dxa"/>
            <w:tcBorders/>
            <w:vAlign w:val="center"/>
          </w:tcPr>
          <w:p>
            <w:pPr>
              <w:pStyle w:val="TableContents"/>
              <w:bidi w:val="0"/>
              <w:spacing w:before="0" w:after="0"/>
              <w:jc w:val="left"/>
              <w:rPr>
                <w:spacing w:val="0"/>
              </w:rPr>
            </w:pPr>
            <w:r>
              <w:rPr>
                <w:spacing w:val="0"/>
              </w:rPr>
              <w:t>  </w:t>
            </w:r>
          </w:p>
        </w:tc>
        <w:tc>
          <w:tcPr>
            <w:tcW w:w="264" w:type="dxa"/>
            <w:tcBorders/>
            <w:vAlign w:val="center"/>
          </w:tcPr>
          <w:p>
            <w:pPr>
              <w:pStyle w:val="TableContents"/>
              <w:bidi w:val="0"/>
              <w:spacing w:before="0" w:after="0"/>
              <w:jc w:val="left"/>
              <w:rPr>
                <w:spacing w:val="0"/>
              </w:rPr>
            </w:pPr>
            <w:r>
              <w:rPr>
                <w:spacing w:val="0"/>
              </w:rPr>
              <w:t>$</w:t>
            </w:r>
          </w:p>
        </w:tc>
        <w:tc>
          <w:tcPr>
            <w:tcW w:w="530" w:type="dxa"/>
            <w:tcBorders/>
            <w:vAlign w:val="center"/>
          </w:tcPr>
          <w:p>
            <w:pPr>
              <w:pStyle w:val="TableContents"/>
              <w:bidi w:val="0"/>
              <w:spacing w:before="0" w:after="0"/>
              <w:jc w:val="right"/>
              <w:rPr>
                <w:spacing w:val="0"/>
              </w:rPr>
            </w:pPr>
            <w:r>
              <w:rPr>
                <w:spacing w:val="0"/>
              </w:rPr>
              <w:t>— </w:t>
            </w:r>
          </w:p>
        </w:tc>
        <w:tc>
          <w:tcPr>
            <w:tcW w:w="83" w:type="dxa"/>
            <w:tcBorders/>
            <w:vAlign w:val="center"/>
          </w:tcPr>
          <w:p>
            <w:pPr>
              <w:pStyle w:val="TableContents"/>
              <w:bidi w:val="0"/>
              <w:spacing w:before="0" w:after="0"/>
              <w:jc w:val="left"/>
              <w:rPr>
                <w:spacing w:val="0"/>
              </w:rPr>
            </w:pPr>
            <w:r>
              <w:rPr>
                <w:spacing w:val="0"/>
              </w:rPr>
              <w:t> </w:t>
            </w:r>
          </w:p>
        </w:tc>
        <w:tc>
          <w:tcPr>
            <w:tcW w:w="167"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rPr>
            </w:pPr>
            <w:r>
              <w:rPr>
                <w:spacing w:val="0"/>
              </w:rPr>
              <w:t>$</w:t>
            </w:r>
          </w:p>
        </w:tc>
        <w:tc>
          <w:tcPr>
            <w:tcW w:w="948" w:type="dxa"/>
            <w:tcBorders/>
            <w:vAlign w:val="center"/>
          </w:tcPr>
          <w:p>
            <w:pPr>
              <w:pStyle w:val="TableContents"/>
              <w:bidi w:val="0"/>
              <w:spacing w:before="0" w:after="0"/>
              <w:jc w:val="right"/>
              <w:rPr>
                <w:spacing w:val="0"/>
              </w:rPr>
            </w:pPr>
            <w:r>
              <w:rPr>
                <w:spacing w:val="0"/>
              </w:rPr>
              <w:t>79,986</w:t>
            </w:r>
          </w:p>
        </w:tc>
        <w:tc>
          <w:tcPr>
            <w:tcW w:w="75" w:type="dxa"/>
            <w:tcBorders/>
            <w:vAlign w:val="center"/>
          </w:tcPr>
          <w:p>
            <w:pPr>
              <w:pStyle w:val="TableContents"/>
              <w:bidi w:val="0"/>
              <w:spacing w:before="0" w:after="0"/>
              <w:jc w:val="left"/>
              <w:rPr>
                <w:spacing w:val="0"/>
              </w:rPr>
            </w:pPr>
            <w:r>
              <w:rPr>
                <w:spacing w:val="0"/>
              </w:rPr>
              <w:t> </w:t>
            </w:r>
          </w:p>
        </w:tc>
      </w:tr>
      <w:tr>
        <w:trPr/>
        <w:tc>
          <w:tcPr>
            <w:tcW w:w="25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4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3" w:type="dxa"/>
            <w:tcBorders/>
            <w:vAlign w:val="center"/>
          </w:tcPr>
          <w:p>
            <w:pPr>
              <w:pStyle w:val="TableContents"/>
              <w:bidi w:val="0"/>
              <w:spacing w:before="0" w:after="0"/>
              <w:jc w:val="left"/>
              <w:rPr>
                <w:spacing w:val="0"/>
              </w:rPr>
            </w:pPr>
            <w:r>
              <w:rPr>
                <w:spacing w:val="0"/>
              </w:rPr>
              <w:t> </w:t>
            </w:r>
          </w:p>
        </w:tc>
        <w:tc>
          <w:tcPr>
            <w:tcW w:w="167"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4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3" w:type="dxa"/>
            <w:tcBorders/>
            <w:vAlign w:val="center"/>
          </w:tcPr>
          <w:p>
            <w:pPr>
              <w:pStyle w:val="TableContents"/>
              <w:bidi w:val="0"/>
              <w:spacing w:before="0" w:after="0"/>
              <w:jc w:val="left"/>
              <w:rPr>
                <w:spacing w:val="0"/>
              </w:rPr>
            </w:pPr>
            <w:r>
              <w:rPr>
                <w:spacing w:val="0"/>
              </w:rPr>
              <w:t> </w:t>
            </w:r>
          </w:p>
        </w:tc>
        <w:tc>
          <w:tcPr>
            <w:tcW w:w="167" w:type="dxa"/>
            <w:tcBorders/>
            <w:vAlign w:val="center"/>
          </w:tcPr>
          <w:p>
            <w:pPr>
              <w:pStyle w:val="TableContents"/>
              <w:bidi w:val="0"/>
              <w:spacing w:before="0" w:after="0"/>
              <w:jc w:val="left"/>
              <w:rPr>
                <w:spacing w:val="0"/>
              </w:rPr>
            </w:pPr>
            <w:r>
              <w:rPr>
                <w:spacing w:val="0"/>
              </w:rPr>
              <w:t>  </w:t>
            </w:r>
          </w:p>
        </w:tc>
        <w:tc>
          <w:tcPr>
            <w:tcW w:w="2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3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3" w:type="dxa"/>
            <w:tcBorders/>
            <w:vAlign w:val="center"/>
          </w:tcPr>
          <w:p>
            <w:pPr>
              <w:pStyle w:val="TableContents"/>
              <w:bidi w:val="0"/>
              <w:spacing w:before="0" w:after="0"/>
              <w:jc w:val="left"/>
              <w:rPr>
                <w:spacing w:val="0"/>
              </w:rPr>
            </w:pPr>
            <w:r>
              <w:rPr>
                <w:spacing w:val="0"/>
              </w:rPr>
              <w:t> </w:t>
            </w:r>
          </w:p>
        </w:tc>
        <w:tc>
          <w:tcPr>
            <w:tcW w:w="167"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4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0"/>
              <w:jc w:val="left"/>
              <w:rPr>
                <w:spacing w:val="0"/>
              </w:rPr>
            </w:pPr>
            <w:r>
              <w:rPr>
                <w:spacing w:val="0"/>
              </w:rPr>
              <w:t> </w:t>
            </w:r>
          </w:p>
        </w:tc>
      </w:tr>
      <w:tr>
        <w:trPr/>
        <w:tc>
          <w:tcPr>
            <w:tcW w:w="25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Liabilities: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95"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0"/>
              <w:jc w:val="left"/>
              <w:rPr>
                <w:spacing w:val="0"/>
              </w:rPr>
            </w:pPr>
            <w:r>
              <w:rPr>
                <w:spacing w:val="0"/>
              </w:rPr>
              <w:t>  </w:t>
            </w:r>
          </w:p>
        </w:tc>
        <w:tc>
          <w:tcPr>
            <w:tcW w:w="195"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0"/>
              <w:jc w:val="left"/>
              <w:rPr>
                <w:spacing w:val="0"/>
              </w:rPr>
            </w:pPr>
            <w:r>
              <w:rPr>
                <w:spacing w:val="0"/>
              </w:rPr>
              <w:t>  </w:t>
            </w:r>
          </w:p>
        </w:tc>
        <w:tc>
          <w:tcPr>
            <w:tcW w:w="264"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0"/>
              <w:jc w:val="left"/>
              <w:rPr>
                <w:spacing w:val="0"/>
              </w:rPr>
            </w:pPr>
            <w:r>
              <w:rPr>
                <w:spacing w:val="0"/>
              </w:rPr>
              <w:t>  </w:t>
            </w:r>
          </w:p>
        </w:tc>
        <w:tc>
          <w:tcPr>
            <w:tcW w:w="195"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Preferred stock warrant liability</w:t>
            </w:r>
          </w:p>
        </w:tc>
        <w:tc>
          <w:tcPr>
            <w:tcW w:w="120"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rPr>
            </w:pPr>
            <w:r>
              <w:rPr>
                <w:spacing w:val="0"/>
              </w:rPr>
              <w:t>$</w:t>
            </w:r>
          </w:p>
        </w:tc>
        <w:tc>
          <w:tcPr>
            <w:tcW w:w="948" w:type="dxa"/>
            <w:tcBorders/>
            <w:vAlign w:val="center"/>
          </w:tcPr>
          <w:p>
            <w:pPr>
              <w:pStyle w:val="TableContents"/>
              <w:bidi w:val="0"/>
              <w:spacing w:before="0" w:after="0"/>
              <w:jc w:val="right"/>
              <w:rPr>
                <w:spacing w:val="0"/>
              </w:rPr>
            </w:pPr>
            <w:r>
              <w:rPr>
                <w:spacing w:val="0"/>
              </w:rPr>
              <w:t>— </w:t>
            </w:r>
          </w:p>
        </w:tc>
        <w:tc>
          <w:tcPr>
            <w:tcW w:w="83" w:type="dxa"/>
            <w:tcBorders/>
            <w:vAlign w:val="center"/>
          </w:tcPr>
          <w:p>
            <w:pPr>
              <w:pStyle w:val="TableContents"/>
              <w:bidi w:val="0"/>
              <w:spacing w:before="0" w:after="0"/>
              <w:jc w:val="left"/>
              <w:rPr>
                <w:spacing w:val="0"/>
              </w:rPr>
            </w:pPr>
            <w:r>
              <w:rPr>
                <w:spacing w:val="0"/>
              </w:rPr>
              <w:t> </w:t>
            </w:r>
          </w:p>
        </w:tc>
        <w:tc>
          <w:tcPr>
            <w:tcW w:w="167"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rPr>
            </w:pPr>
            <w:r>
              <w:rPr>
                <w:spacing w:val="0"/>
              </w:rPr>
              <w:t>$</w:t>
            </w:r>
          </w:p>
        </w:tc>
        <w:tc>
          <w:tcPr>
            <w:tcW w:w="948" w:type="dxa"/>
            <w:tcBorders/>
            <w:vAlign w:val="center"/>
          </w:tcPr>
          <w:p>
            <w:pPr>
              <w:pStyle w:val="TableContents"/>
              <w:bidi w:val="0"/>
              <w:spacing w:before="0" w:after="0"/>
              <w:jc w:val="right"/>
              <w:rPr>
                <w:spacing w:val="0"/>
              </w:rPr>
            </w:pPr>
            <w:r>
              <w:rPr>
                <w:spacing w:val="0"/>
              </w:rPr>
              <w:t>— </w:t>
            </w:r>
          </w:p>
        </w:tc>
        <w:tc>
          <w:tcPr>
            <w:tcW w:w="83" w:type="dxa"/>
            <w:tcBorders/>
            <w:vAlign w:val="center"/>
          </w:tcPr>
          <w:p>
            <w:pPr>
              <w:pStyle w:val="TableContents"/>
              <w:bidi w:val="0"/>
              <w:spacing w:before="0" w:after="0"/>
              <w:jc w:val="left"/>
              <w:rPr>
                <w:spacing w:val="0"/>
              </w:rPr>
            </w:pPr>
            <w:r>
              <w:rPr>
                <w:spacing w:val="0"/>
              </w:rPr>
              <w:t> </w:t>
            </w:r>
          </w:p>
        </w:tc>
        <w:tc>
          <w:tcPr>
            <w:tcW w:w="167" w:type="dxa"/>
            <w:tcBorders/>
            <w:vAlign w:val="center"/>
          </w:tcPr>
          <w:p>
            <w:pPr>
              <w:pStyle w:val="TableContents"/>
              <w:bidi w:val="0"/>
              <w:spacing w:before="0" w:after="0"/>
              <w:jc w:val="left"/>
              <w:rPr>
                <w:spacing w:val="0"/>
              </w:rPr>
            </w:pPr>
            <w:r>
              <w:rPr>
                <w:spacing w:val="0"/>
              </w:rPr>
              <w:t>  </w:t>
            </w:r>
          </w:p>
        </w:tc>
        <w:tc>
          <w:tcPr>
            <w:tcW w:w="264" w:type="dxa"/>
            <w:tcBorders/>
            <w:vAlign w:val="center"/>
          </w:tcPr>
          <w:p>
            <w:pPr>
              <w:pStyle w:val="TableContents"/>
              <w:bidi w:val="0"/>
              <w:spacing w:before="0" w:after="0"/>
              <w:jc w:val="left"/>
              <w:rPr>
                <w:spacing w:val="0"/>
              </w:rPr>
            </w:pPr>
            <w:r>
              <w:rPr>
                <w:spacing w:val="0"/>
              </w:rPr>
              <w:t>$</w:t>
            </w:r>
          </w:p>
        </w:tc>
        <w:tc>
          <w:tcPr>
            <w:tcW w:w="530" w:type="dxa"/>
            <w:tcBorders/>
            <w:vAlign w:val="center"/>
          </w:tcPr>
          <w:p>
            <w:pPr>
              <w:pStyle w:val="TableContents"/>
              <w:bidi w:val="0"/>
              <w:spacing w:before="0" w:after="0"/>
              <w:jc w:val="right"/>
              <w:rPr>
                <w:spacing w:val="0"/>
              </w:rPr>
            </w:pPr>
            <w:r>
              <w:rPr>
                <w:spacing w:val="0"/>
              </w:rPr>
              <w:t>3</w:t>
            </w:r>
          </w:p>
        </w:tc>
        <w:tc>
          <w:tcPr>
            <w:tcW w:w="83" w:type="dxa"/>
            <w:tcBorders/>
            <w:vAlign w:val="center"/>
          </w:tcPr>
          <w:p>
            <w:pPr>
              <w:pStyle w:val="TableContents"/>
              <w:bidi w:val="0"/>
              <w:spacing w:before="0" w:after="0"/>
              <w:jc w:val="left"/>
              <w:rPr>
                <w:spacing w:val="0"/>
              </w:rPr>
            </w:pPr>
            <w:r>
              <w:rPr>
                <w:spacing w:val="0"/>
              </w:rPr>
              <w:t> </w:t>
            </w:r>
          </w:p>
        </w:tc>
        <w:tc>
          <w:tcPr>
            <w:tcW w:w="167"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rPr>
            </w:pPr>
            <w:r>
              <w:rPr>
                <w:spacing w:val="0"/>
              </w:rPr>
              <w:t>$</w:t>
            </w:r>
          </w:p>
        </w:tc>
        <w:tc>
          <w:tcPr>
            <w:tcW w:w="948" w:type="dxa"/>
            <w:tcBorders/>
            <w:vAlign w:val="center"/>
          </w:tcPr>
          <w:p>
            <w:pPr>
              <w:pStyle w:val="TableContents"/>
              <w:bidi w:val="0"/>
              <w:spacing w:before="0" w:after="0"/>
              <w:jc w:val="right"/>
              <w:rPr>
                <w:spacing w:val="0"/>
              </w:rPr>
            </w:pPr>
            <w:r>
              <w:rPr>
                <w:spacing w:val="0"/>
              </w:rPr>
              <w:t>3</w:t>
            </w:r>
          </w:p>
        </w:tc>
        <w:tc>
          <w:tcPr>
            <w:tcW w:w="75" w:type="dxa"/>
            <w:tcBorders/>
            <w:vAlign w:val="center"/>
          </w:tcPr>
          <w:p>
            <w:pPr>
              <w:pStyle w:val="TableContents"/>
              <w:bidi w:val="0"/>
              <w:spacing w:before="0" w:after="0"/>
              <w:jc w:val="left"/>
              <w:rPr>
                <w:spacing w:val="0"/>
              </w:rPr>
            </w:pPr>
            <w:r>
              <w:rPr>
                <w:spacing w:val="0"/>
              </w:rPr>
              <w:t> </w:t>
            </w:r>
          </w:p>
        </w:tc>
      </w:tr>
      <w:tr>
        <w:trPr/>
        <w:tc>
          <w:tcPr>
            <w:tcW w:w="25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4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3" w:type="dxa"/>
            <w:tcBorders/>
            <w:vAlign w:val="center"/>
          </w:tcPr>
          <w:p>
            <w:pPr>
              <w:pStyle w:val="TableContents"/>
              <w:bidi w:val="0"/>
              <w:spacing w:before="0" w:after="0"/>
              <w:jc w:val="left"/>
              <w:rPr>
                <w:spacing w:val="0"/>
              </w:rPr>
            </w:pPr>
            <w:r>
              <w:rPr>
                <w:spacing w:val="0"/>
              </w:rPr>
              <w:t> </w:t>
            </w:r>
          </w:p>
        </w:tc>
        <w:tc>
          <w:tcPr>
            <w:tcW w:w="167"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4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3" w:type="dxa"/>
            <w:tcBorders/>
            <w:vAlign w:val="center"/>
          </w:tcPr>
          <w:p>
            <w:pPr>
              <w:pStyle w:val="TableContents"/>
              <w:bidi w:val="0"/>
              <w:spacing w:before="0" w:after="0"/>
              <w:jc w:val="left"/>
              <w:rPr>
                <w:spacing w:val="0"/>
              </w:rPr>
            </w:pPr>
            <w:r>
              <w:rPr>
                <w:spacing w:val="0"/>
              </w:rPr>
              <w:t> </w:t>
            </w:r>
          </w:p>
        </w:tc>
        <w:tc>
          <w:tcPr>
            <w:tcW w:w="167" w:type="dxa"/>
            <w:tcBorders/>
            <w:vAlign w:val="center"/>
          </w:tcPr>
          <w:p>
            <w:pPr>
              <w:pStyle w:val="TableContents"/>
              <w:bidi w:val="0"/>
              <w:spacing w:before="0" w:after="0"/>
              <w:jc w:val="left"/>
              <w:rPr>
                <w:spacing w:val="0"/>
              </w:rPr>
            </w:pPr>
            <w:r>
              <w:rPr>
                <w:spacing w:val="0"/>
              </w:rPr>
              <w:t>  </w:t>
            </w:r>
          </w:p>
        </w:tc>
        <w:tc>
          <w:tcPr>
            <w:tcW w:w="2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3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3" w:type="dxa"/>
            <w:tcBorders/>
            <w:vAlign w:val="center"/>
          </w:tcPr>
          <w:p>
            <w:pPr>
              <w:pStyle w:val="TableContents"/>
              <w:bidi w:val="0"/>
              <w:spacing w:before="0" w:after="0"/>
              <w:jc w:val="left"/>
              <w:rPr>
                <w:spacing w:val="0"/>
              </w:rPr>
            </w:pPr>
            <w:r>
              <w:rPr>
                <w:spacing w:val="0"/>
              </w:rPr>
              <w:t> </w:t>
            </w:r>
          </w:p>
        </w:tc>
        <w:tc>
          <w:tcPr>
            <w:tcW w:w="167"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4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0"/>
              <w:jc w:val="left"/>
              <w:rPr>
                <w:spacing w:val="0"/>
              </w:rPr>
            </w:pPr>
            <w:r>
              <w:rPr>
                <w:spacing w:val="0"/>
              </w:rPr>
              <w:t> </w:t>
            </w:r>
          </w:p>
        </w:tc>
      </w:tr>
      <w:tr>
        <w:trPr/>
        <w:tc>
          <w:tcPr>
            <w:tcW w:w="25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liabilities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95" w:type="dxa"/>
            <w:tcBorders/>
            <w:shd w:fill="CCEEFF" w:val="clear"/>
            <w:vAlign w:val="center"/>
          </w:tcPr>
          <w:p>
            <w:pPr>
              <w:pStyle w:val="TableContents"/>
              <w:bidi w:val="0"/>
              <w:spacing w:before="0" w:after="0"/>
              <w:jc w:val="left"/>
              <w:rPr>
                <w:spacing w:val="0"/>
              </w:rPr>
            </w:pPr>
            <w:r>
              <w:rPr>
                <w:spacing w:val="0"/>
              </w:rPr>
              <w:t>$</w:t>
            </w:r>
          </w:p>
        </w:tc>
        <w:tc>
          <w:tcPr>
            <w:tcW w:w="948" w:type="dxa"/>
            <w:tcBorders/>
            <w:shd w:fill="CCEEFF" w:val="clear"/>
            <w:vAlign w:val="center"/>
          </w:tcPr>
          <w:p>
            <w:pPr>
              <w:pStyle w:val="TableContents"/>
              <w:bidi w:val="0"/>
              <w:spacing w:before="0" w:after="0"/>
              <w:jc w:val="right"/>
              <w:rPr>
                <w:spacing w:val="0"/>
              </w:rPr>
            </w:pPr>
            <w:r>
              <w:rPr>
                <w:spacing w:val="0"/>
              </w:rPr>
              <w:t>— </w:t>
            </w:r>
          </w:p>
        </w:tc>
        <w:tc>
          <w:tcPr>
            <w:tcW w:w="83" w:type="dxa"/>
            <w:tcBorders/>
            <w:shd w:fill="CCEEFF" w:val="clear"/>
            <w:vAlign w:val="center"/>
          </w:tcPr>
          <w:p>
            <w:pPr>
              <w:pStyle w:val="TableContents"/>
              <w:bidi w:val="0"/>
              <w:spacing w:before="0" w:after="0"/>
              <w:jc w:val="left"/>
              <w:rPr>
                <w:spacing w:val="0"/>
              </w:rPr>
            </w:pPr>
            <w:r>
              <w:rPr>
                <w:spacing w:val="0"/>
              </w:rPr>
              <w:t> </w:t>
            </w:r>
          </w:p>
        </w:tc>
        <w:tc>
          <w:tcPr>
            <w:tcW w:w="167" w:type="dxa"/>
            <w:tcBorders/>
            <w:shd w:fill="CCEEFF" w:val="clear"/>
            <w:vAlign w:val="center"/>
          </w:tcPr>
          <w:p>
            <w:pPr>
              <w:pStyle w:val="TableContents"/>
              <w:bidi w:val="0"/>
              <w:spacing w:before="0" w:after="0"/>
              <w:jc w:val="left"/>
              <w:rPr>
                <w:spacing w:val="0"/>
              </w:rPr>
            </w:pPr>
            <w:r>
              <w:rPr>
                <w:spacing w:val="0"/>
              </w:rPr>
              <w:t>  </w:t>
            </w:r>
          </w:p>
        </w:tc>
        <w:tc>
          <w:tcPr>
            <w:tcW w:w="195" w:type="dxa"/>
            <w:tcBorders/>
            <w:shd w:fill="CCEEFF" w:val="clear"/>
            <w:vAlign w:val="center"/>
          </w:tcPr>
          <w:p>
            <w:pPr>
              <w:pStyle w:val="TableContents"/>
              <w:bidi w:val="0"/>
              <w:spacing w:before="0" w:after="0"/>
              <w:jc w:val="left"/>
              <w:rPr>
                <w:spacing w:val="0"/>
              </w:rPr>
            </w:pPr>
            <w:r>
              <w:rPr>
                <w:spacing w:val="0"/>
              </w:rPr>
              <w:t>$</w:t>
            </w:r>
          </w:p>
        </w:tc>
        <w:tc>
          <w:tcPr>
            <w:tcW w:w="948" w:type="dxa"/>
            <w:tcBorders/>
            <w:shd w:fill="CCEEFF" w:val="clear"/>
            <w:vAlign w:val="center"/>
          </w:tcPr>
          <w:p>
            <w:pPr>
              <w:pStyle w:val="TableContents"/>
              <w:bidi w:val="0"/>
              <w:spacing w:before="0" w:after="0"/>
              <w:jc w:val="right"/>
              <w:rPr>
                <w:spacing w:val="0"/>
              </w:rPr>
            </w:pPr>
            <w:r>
              <w:rPr>
                <w:spacing w:val="0"/>
              </w:rPr>
              <w:t>— </w:t>
            </w:r>
          </w:p>
        </w:tc>
        <w:tc>
          <w:tcPr>
            <w:tcW w:w="83" w:type="dxa"/>
            <w:tcBorders/>
            <w:shd w:fill="CCEEFF" w:val="clear"/>
            <w:vAlign w:val="center"/>
          </w:tcPr>
          <w:p>
            <w:pPr>
              <w:pStyle w:val="TableContents"/>
              <w:bidi w:val="0"/>
              <w:spacing w:before="0" w:after="0"/>
              <w:jc w:val="left"/>
              <w:rPr>
                <w:spacing w:val="0"/>
              </w:rPr>
            </w:pPr>
            <w:r>
              <w:rPr>
                <w:spacing w:val="0"/>
              </w:rPr>
              <w:t> </w:t>
            </w:r>
          </w:p>
        </w:tc>
        <w:tc>
          <w:tcPr>
            <w:tcW w:w="167" w:type="dxa"/>
            <w:tcBorders/>
            <w:shd w:fill="CCEEFF" w:val="clear"/>
            <w:vAlign w:val="center"/>
          </w:tcPr>
          <w:p>
            <w:pPr>
              <w:pStyle w:val="TableContents"/>
              <w:bidi w:val="0"/>
              <w:spacing w:before="0" w:after="0"/>
              <w:jc w:val="left"/>
              <w:rPr>
                <w:spacing w:val="0"/>
              </w:rPr>
            </w:pPr>
            <w:r>
              <w:rPr>
                <w:spacing w:val="0"/>
              </w:rPr>
              <w:t>  </w:t>
            </w:r>
          </w:p>
        </w:tc>
        <w:tc>
          <w:tcPr>
            <w:tcW w:w="264" w:type="dxa"/>
            <w:tcBorders/>
            <w:shd w:fill="CCEEFF" w:val="clear"/>
            <w:vAlign w:val="center"/>
          </w:tcPr>
          <w:p>
            <w:pPr>
              <w:pStyle w:val="TableContents"/>
              <w:bidi w:val="0"/>
              <w:spacing w:before="0" w:after="0"/>
              <w:jc w:val="left"/>
              <w:rPr>
                <w:spacing w:val="0"/>
              </w:rPr>
            </w:pPr>
            <w:r>
              <w:rPr>
                <w:spacing w:val="0"/>
              </w:rPr>
              <w:t>$</w:t>
            </w:r>
          </w:p>
        </w:tc>
        <w:tc>
          <w:tcPr>
            <w:tcW w:w="530" w:type="dxa"/>
            <w:tcBorders/>
            <w:shd w:fill="CCEEFF" w:val="clear"/>
            <w:vAlign w:val="center"/>
          </w:tcPr>
          <w:p>
            <w:pPr>
              <w:pStyle w:val="TableContents"/>
              <w:bidi w:val="0"/>
              <w:spacing w:before="0" w:after="0"/>
              <w:jc w:val="right"/>
              <w:rPr>
                <w:spacing w:val="0"/>
              </w:rPr>
            </w:pPr>
            <w:r>
              <w:rPr>
                <w:spacing w:val="0"/>
              </w:rPr>
              <w:t>3</w:t>
            </w:r>
          </w:p>
        </w:tc>
        <w:tc>
          <w:tcPr>
            <w:tcW w:w="83" w:type="dxa"/>
            <w:tcBorders/>
            <w:shd w:fill="CCEEFF" w:val="clear"/>
            <w:vAlign w:val="center"/>
          </w:tcPr>
          <w:p>
            <w:pPr>
              <w:pStyle w:val="TableContents"/>
              <w:bidi w:val="0"/>
              <w:spacing w:before="0" w:after="0"/>
              <w:jc w:val="left"/>
              <w:rPr>
                <w:spacing w:val="0"/>
              </w:rPr>
            </w:pPr>
            <w:r>
              <w:rPr>
                <w:spacing w:val="0"/>
              </w:rPr>
              <w:t> </w:t>
            </w:r>
          </w:p>
        </w:tc>
        <w:tc>
          <w:tcPr>
            <w:tcW w:w="167" w:type="dxa"/>
            <w:tcBorders/>
            <w:shd w:fill="CCEEFF" w:val="clear"/>
            <w:vAlign w:val="center"/>
          </w:tcPr>
          <w:p>
            <w:pPr>
              <w:pStyle w:val="TableContents"/>
              <w:bidi w:val="0"/>
              <w:spacing w:before="0" w:after="0"/>
              <w:jc w:val="left"/>
              <w:rPr>
                <w:spacing w:val="0"/>
              </w:rPr>
            </w:pPr>
            <w:r>
              <w:rPr>
                <w:spacing w:val="0"/>
              </w:rPr>
              <w:t>  </w:t>
            </w:r>
          </w:p>
        </w:tc>
        <w:tc>
          <w:tcPr>
            <w:tcW w:w="195" w:type="dxa"/>
            <w:tcBorders/>
            <w:shd w:fill="CCEEFF" w:val="clear"/>
            <w:vAlign w:val="center"/>
          </w:tcPr>
          <w:p>
            <w:pPr>
              <w:pStyle w:val="TableContents"/>
              <w:bidi w:val="0"/>
              <w:spacing w:before="0" w:after="0"/>
              <w:jc w:val="left"/>
              <w:rPr>
                <w:spacing w:val="0"/>
              </w:rPr>
            </w:pPr>
            <w:r>
              <w:rPr>
                <w:spacing w:val="0"/>
              </w:rPr>
              <w:t>$</w:t>
            </w:r>
          </w:p>
        </w:tc>
        <w:tc>
          <w:tcPr>
            <w:tcW w:w="948" w:type="dxa"/>
            <w:tcBorders/>
            <w:shd w:fill="CCEEFF" w:val="clear"/>
            <w:vAlign w:val="center"/>
          </w:tcPr>
          <w:p>
            <w:pPr>
              <w:pStyle w:val="TableContents"/>
              <w:bidi w:val="0"/>
              <w:spacing w:before="0" w:after="0"/>
              <w:jc w:val="right"/>
              <w:rPr>
                <w:spacing w:val="0"/>
              </w:rPr>
            </w:pPr>
            <w:r>
              <w:rPr>
                <w:spacing w:val="0"/>
              </w:rPr>
              <w:t>3</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25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4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3" w:type="dxa"/>
            <w:tcBorders/>
            <w:vAlign w:val="center"/>
          </w:tcPr>
          <w:p>
            <w:pPr>
              <w:pStyle w:val="TableContents"/>
              <w:bidi w:val="0"/>
              <w:spacing w:before="0" w:after="0"/>
              <w:jc w:val="left"/>
              <w:rPr>
                <w:spacing w:val="0"/>
              </w:rPr>
            </w:pPr>
            <w:r>
              <w:rPr>
                <w:spacing w:val="0"/>
              </w:rPr>
              <w:t> </w:t>
            </w:r>
          </w:p>
        </w:tc>
        <w:tc>
          <w:tcPr>
            <w:tcW w:w="167"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4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3" w:type="dxa"/>
            <w:tcBorders/>
            <w:vAlign w:val="center"/>
          </w:tcPr>
          <w:p>
            <w:pPr>
              <w:pStyle w:val="TableContents"/>
              <w:bidi w:val="0"/>
              <w:spacing w:before="0" w:after="0"/>
              <w:jc w:val="left"/>
              <w:rPr>
                <w:spacing w:val="0"/>
              </w:rPr>
            </w:pPr>
            <w:r>
              <w:rPr>
                <w:spacing w:val="0"/>
              </w:rPr>
              <w:t> </w:t>
            </w:r>
          </w:p>
        </w:tc>
        <w:tc>
          <w:tcPr>
            <w:tcW w:w="167" w:type="dxa"/>
            <w:tcBorders/>
            <w:vAlign w:val="center"/>
          </w:tcPr>
          <w:p>
            <w:pPr>
              <w:pStyle w:val="TableContents"/>
              <w:bidi w:val="0"/>
              <w:spacing w:before="0" w:after="0"/>
              <w:jc w:val="left"/>
              <w:rPr>
                <w:spacing w:val="0"/>
              </w:rPr>
            </w:pPr>
            <w:r>
              <w:rPr>
                <w:spacing w:val="0"/>
              </w:rPr>
              <w:t>  </w:t>
            </w:r>
          </w:p>
        </w:tc>
        <w:tc>
          <w:tcPr>
            <w:tcW w:w="2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3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3" w:type="dxa"/>
            <w:tcBorders/>
            <w:vAlign w:val="center"/>
          </w:tcPr>
          <w:p>
            <w:pPr>
              <w:pStyle w:val="TableContents"/>
              <w:bidi w:val="0"/>
              <w:spacing w:before="0" w:after="0"/>
              <w:jc w:val="left"/>
              <w:rPr>
                <w:spacing w:val="0"/>
              </w:rPr>
            </w:pPr>
            <w:r>
              <w:rPr>
                <w:spacing w:val="0"/>
              </w:rPr>
              <w:t> </w:t>
            </w:r>
          </w:p>
        </w:tc>
        <w:tc>
          <w:tcPr>
            <w:tcW w:w="167"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4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0"/>
              <w:jc w:val="left"/>
              <w:rPr>
                <w:spacing w:val="0"/>
              </w:rPr>
            </w:pPr>
            <w:r>
              <w:rPr>
                <w:spacing w:val="0"/>
              </w:rPr>
              <w:t> </w:t>
            </w:r>
          </w:p>
        </w:tc>
      </w:tr>
    </w:tbl>
    <w:p>
      <w:pPr>
        <w:pStyle w:val="TextBody"/>
        <w:bidi w:val="0"/>
        <w:spacing w:before="200" w:after="0"/>
        <w:ind w:left="0" w:right="0" w:hanging="0"/>
        <w:jc w:val="left"/>
        <w:rPr>
          <w:rFonts w:ascii="Times New Roman" w:hAnsi="Times New Roman"/>
          <w:spacing w:val="0"/>
          <w:sz w:val="20"/>
        </w:rPr>
      </w:pPr>
      <w:r>
        <w:rPr>
          <w:rFonts w:ascii="Times New Roman" w:hAnsi="Times New Roman"/>
          <w:spacing w:val="0"/>
          <w:sz w:val="20"/>
        </w:rPr>
        <w:t xml:space="preserve">There were no transfers between Level 1, Level 2 and Level 3 categories during the three and six months ended June 30, 2026. </w:t>
      </w: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Warrants to Purchase Redeemable Convertible Preferred Stock Subject to Conditional Redemption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There were no material changes to the terms, classification, or accounting for the Company’s warrants to purchase redeemable convertible preferred stock subject to conditional redemption during the three and six months ended June 30,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F-3</w:t>
      </w:r>
    </w:p>
    <w:p>
      <w:pPr>
        <w:pStyle w:val="TextBody"/>
        <w:bidi w:val="0"/>
        <w:spacing w:before="0" w:after="0"/>
        <w:jc w:val="center"/>
        <w:rPr>
          <w:rFonts w:ascii="Times New Roman" w:hAnsi="Times New Roman"/>
          <w:spacing w:val="0"/>
          <w:sz w:val="20"/>
        </w:rPr>
      </w:pPr>
      <w:r>
        <w:rPr>
          <w:rFonts w:ascii="Times New Roman" w:hAnsi="Times New Roman"/>
          <w:spacing w:val="0"/>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pacing w:val="0"/>
          <w:sz w:val="20"/>
        </w:rPr>
      </w:pPr>
      <w:r>
        <w:rPr>
          <w:rFonts w:ascii="Times New Roman" w:hAnsi="Times New Roman"/>
          <w:b/>
          <w:spacing w:val="0"/>
          <w:sz w:val="20"/>
        </w:rPr>
        <w:t xml:space="preserve">Cash and Cash Equivalents and Marketable Securities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following tables summarizes the Company’s cash, cash equivalents and marketable securities as of June 30, 2026 and December 31, 2025 (in thousands): </w:t>
      </w:r>
    </w:p>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4318"/>
        <w:gridCol w:w="120"/>
        <w:gridCol w:w="187"/>
        <w:gridCol w:w="913"/>
        <w:gridCol w:w="60"/>
        <w:gridCol w:w="120"/>
        <w:gridCol w:w="395"/>
        <w:gridCol w:w="735"/>
        <w:gridCol w:w="60"/>
        <w:gridCol w:w="120"/>
        <w:gridCol w:w="395"/>
        <w:gridCol w:w="735"/>
        <w:gridCol w:w="155"/>
        <w:gridCol w:w="60"/>
        <w:gridCol w:w="140"/>
        <w:gridCol w:w="616"/>
        <w:gridCol w:w="60"/>
        <w:gridCol w:w="120"/>
        <w:gridCol w:w="140"/>
        <w:gridCol w:w="680"/>
        <w:gridCol w:w="76"/>
      </w:tblGrid>
      <w:tr>
        <w:trPr/>
        <w:tc>
          <w:tcPr>
            <w:tcW w:w="4318"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87" w:type="dxa"/>
            <w:tcBorders/>
            <w:vAlign w:val="center"/>
          </w:tcPr>
          <w:p>
            <w:pPr>
              <w:pStyle w:val="TableContents"/>
              <w:bidi w:val="0"/>
              <w:spacing w:before="0" w:after="0"/>
              <w:jc w:val="left"/>
              <w:rPr/>
            </w:pPr>
            <w:r>
              <w:rPr/>
              <w:t> </w:t>
            </w:r>
          </w:p>
        </w:tc>
        <w:tc>
          <w:tcPr>
            <w:tcW w:w="913"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 </w:t>
            </w:r>
          </w:p>
        </w:tc>
        <w:tc>
          <w:tcPr>
            <w:tcW w:w="73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 </w:t>
            </w:r>
          </w:p>
        </w:tc>
        <w:tc>
          <w:tcPr>
            <w:tcW w:w="735"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6"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76" w:type="dxa"/>
            <w:tcBorders/>
            <w:vAlign w:val="center"/>
          </w:tcPr>
          <w:p>
            <w:pPr>
              <w:pStyle w:val="TableContents"/>
              <w:bidi w:val="0"/>
              <w:spacing w:before="0" w:after="0"/>
              <w:jc w:val="left"/>
              <w:rPr/>
            </w:pPr>
            <w:r>
              <w:rPr/>
              <w:t> </w:t>
            </w:r>
          </w:p>
        </w:tc>
      </w:tr>
      <w:tr>
        <w:trPr/>
        <w:tc>
          <w:tcPr>
            <w:tcW w:w="4318"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5691" w:type="dxa"/>
            <w:gridSpan w:val="18"/>
            <w:tcBorders/>
            <w:vAlign w:val="center"/>
          </w:tcPr>
          <w:p>
            <w:pPr>
              <w:pStyle w:val="TableContents"/>
              <w:bidi w:val="0"/>
              <w:spacing w:before="0" w:after="0"/>
              <w:jc w:val="center"/>
              <w:rPr>
                <w:b/>
                <w:spacing w:val="0"/>
              </w:rPr>
            </w:pPr>
            <w:r>
              <w:rPr>
                <w:b/>
                <w:spacing w:val="0"/>
              </w:rPr>
              <w:t>Fair Value Measurements at June 30, 2026</w:t>
            </w:r>
          </w:p>
        </w:tc>
        <w:tc>
          <w:tcPr>
            <w:tcW w:w="76" w:type="dxa"/>
            <w:tcBorders/>
            <w:vAlign w:val="center"/>
          </w:tcPr>
          <w:p>
            <w:pPr>
              <w:pStyle w:val="TableContents"/>
              <w:bidi w:val="0"/>
              <w:spacing w:before="0" w:after="0"/>
              <w:jc w:val="left"/>
              <w:rPr>
                <w:spacing w:val="0"/>
              </w:rPr>
            </w:pPr>
            <w:r>
              <w:rPr>
                <w:spacing w:val="0"/>
              </w:rPr>
              <w:t> </w:t>
            </w:r>
          </w:p>
        </w:tc>
      </w:tr>
      <w:tr>
        <w:trPr/>
        <w:tc>
          <w:tcPr>
            <w:tcW w:w="4318"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00" w:type="dxa"/>
            <w:gridSpan w:val="2"/>
            <w:tcBorders/>
            <w:vAlign w:val="center"/>
          </w:tcPr>
          <w:p>
            <w:pPr>
              <w:pStyle w:val="TableContents"/>
              <w:bidi w:val="0"/>
              <w:spacing w:before="0" w:after="0"/>
              <w:jc w:val="center"/>
              <w:rPr>
                <w:b/>
                <w:spacing w:val="0"/>
              </w:rPr>
            </w:pPr>
            <w:r>
              <w:rPr>
                <w:b/>
                <w:spacing w:val="0"/>
              </w:rPr>
              <w:t>Amortized</w:t>
              <w:br/>
              <w:t>Cost</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30" w:type="dxa"/>
            <w:gridSpan w:val="2"/>
            <w:tcBorders/>
            <w:vAlign w:val="center"/>
          </w:tcPr>
          <w:p>
            <w:pPr>
              <w:pStyle w:val="TableContents"/>
              <w:bidi w:val="0"/>
              <w:spacing w:before="0" w:after="0"/>
              <w:jc w:val="center"/>
              <w:rPr>
                <w:b/>
                <w:spacing w:val="0"/>
              </w:rPr>
            </w:pPr>
            <w:r>
              <w:rPr>
                <w:b/>
                <w:spacing w:val="0"/>
              </w:rPr>
              <w:t>Gross</w:t>
              <w:br/>
              <w:t>Unrealized</w:t>
              <w:br/>
              <w:t>Gains</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30" w:type="dxa"/>
            <w:gridSpan w:val="2"/>
            <w:tcBorders/>
            <w:vAlign w:val="center"/>
          </w:tcPr>
          <w:p>
            <w:pPr>
              <w:pStyle w:val="TableContents"/>
              <w:bidi w:val="0"/>
              <w:spacing w:before="0" w:after="0"/>
              <w:jc w:val="center"/>
              <w:rPr>
                <w:b/>
                <w:spacing w:val="0"/>
              </w:rPr>
            </w:pPr>
            <w:r>
              <w:rPr>
                <w:b/>
                <w:spacing w:val="0"/>
              </w:rPr>
              <w:t>Gross</w:t>
              <w:br/>
              <w:t>Unrealized</w:t>
              <w:br/>
              <w:t>Losses</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756" w:type="dxa"/>
            <w:gridSpan w:val="2"/>
            <w:tcBorders/>
            <w:vAlign w:val="center"/>
          </w:tcPr>
          <w:p>
            <w:pPr>
              <w:pStyle w:val="TableContents"/>
              <w:bidi w:val="0"/>
              <w:spacing w:before="0" w:after="0"/>
              <w:jc w:val="center"/>
              <w:rPr>
                <w:b/>
                <w:spacing w:val="0"/>
              </w:rPr>
            </w:pPr>
            <w:r>
              <w:rPr>
                <w:b/>
                <w:spacing w:val="0"/>
              </w:rPr>
              <w:t>Credit</w:t>
              <w:br/>
              <w:t>Losses</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20" w:type="dxa"/>
            <w:gridSpan w:val="2"/>
            <w:tcBorders/>
            <w:vAlign w:val="center"/>
          </w:tcPr>
          <w:p>
            <w:pPr>
              <w:pStyle w:val="TableContents"/>
              <w:bidi w:val="0"/>
              <w:spacing w:before="0" w:after="0"/>
              <w:jc w:val="center"/>
              <w:rPr>
                <w:b/>
                <w:spacing w:val="0"/>
              </w:rPr>
            </w:pPr>
            <w:r>
              <w:rPr>
                <w:b/>
                <w:spacing w:val="0"/>
              </w:rPr>
              <w:t>Total</w:t>
            </w:r>
          </w:p>
        </w:tc>
        <w:tc>
          <w:tcPr>
            <w:tcW w:w="76" w:type="dxa"/>
            <w:tcBorders/>
            <w:vAlign w:val="center"/>
          </w:tcPr>
          <w:p>
            <w:pPr>
              <w:pStyle w:val="TableContents"/>
              <w:bidi w:val="0"/>
              <w:spacing w:before="0" w:after="0"/>
              <w:jc w:val="left"/>
              <w:rPr>
                <w:spacing w:val="0"/>
              </w:rPr>
            </w:pPr>
            <w:r>
              <w:rPr>
                <w:spacing w:val="0"/>
              </w:rPr>
              <w:t> </w:t>
            </w:r>
          </w:p>
        </w:tc>
      </w:tr>
      <w:tr>
        <w:trPr/>
        <w:tc>
          <w:tcPr>
            <w:tcW w:w="4318"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87" w:type="dxa"/>
            <w:tcBorders/>
            <w:shd w:fill="CCEEFF" w:val="clear"/>
            <w:vAlign w:val="center"/>
          </w:tcPr>
          <w:p>
            <w:pPr>
              <w:pStyle w:val="TableContents"/>
              <w:bidi w:val="0"/>
              <w:spacing w:before="0" w:after="0"/>
              <w:jc w:val="left"/>
              <w:rPr>
                <w:spacing w:val="0"/>
              </w:rPr>
            </w:pPr>
            <w:r>
              <w:rPr>
                <w:spacing w:val="0"/>
              </w:rPr>
              <w:t>$</w:t>
            </w:r>
          </w:p>
        </w:tc>
        <w:tc>
          <w:tcPr>
            <w:tcW w:w="913" w:type="dxa"/>
            <w:tcBorders/>
            <w:shd w:fill="CCEEFF" w:val="clear"/>
            <w:vAlign w:val="center"/>
          </w:tcPr>
          <w:p>
            <w:pPr>
              <w:pStyle w:val="TableContents"/>
              <w:bidi w:val="0"/>
              <w:spacing w:before="0" w:after="0"/>
              <w:jc w:val="right"/>
              <w:rPr>
                <w:spacing w:val="0"/>
              </w:rPr>
            </w:pPr>
            <w:r>
              <w:rPr>
                <w:spacing w:val="0"/>
              </w:rPr>
              <w:t>17,983</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395" w:type="dxa"/>
            <w:tcBorders/>
            <w:shd w:fill="CCEEFF" w:val="clear"/>
            <w:vAlign w:val="center"/>
          </w:tcPr>
          <w:p>
            <w:pPr>
              <w:pStyle w:val="TableContents"/>
              <w:bidi w:val="0"/>
              <w:spacing w:before="0" w:after="0"/>
              <w:jc w:val="left"/>
              <w:rPr>
                <w:spacing w:val="0"/>
              </w:rPr>
            </w:pPr>
            <w:r>
              <w:rPr>
                <w:spacing w:val="0"/>
              </w:rPr>
              <w:t>$</w:t>
            </w:r>
          </w:p>
        </w:tc>
        <w:tc>
          <w:tcPr>
            <w:tcW w:w="735" w:type="dxa"/>
            <w:tcBorders/>
            <w:shd w:fill="CCEEFF" w:val="clear"/>
            <w:vAlign w:val="center"/>
          </w:tcPr>
          <w:p>
            <w:pPr>
              <w:pStyle w:val="TableContents"/>
              <w:bidi w:val="0"/>
              <w:spacing w:before="0" w:after="0"/>
              <w:jc w:val="right"/>
              <w:rPr>
                <w:spacing w:val="0"/>
              </w:rPr>
            </w:pPr>
            <w:r>
              <w:rPr>
                <w:spacing w:val="0"/>
              </w:rPr>
              <w:t> — 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395" w:type="dxa"/>
            <w:tcBorders/>
            <w:shd w:fill="CCEEFF" w:val="clear"/>
            <w:vAlign w:val="center"/>
          </w:tcPr>
          <w:p>
            <w:pPr>
              <w:pStyle w:val="TableContents"/>
              <w:bidi w:val="0"/>
              <w:spacing w:before="0" w:after="0"/>
              <w:jc w:val="left"/>
              <w:rPr>
                <w:spacing w:val="0"/>
              </w:rPr>
            </w:pPr>
            <w:r>
              <w:rPr>
                <w:spacing w:val="0"/>
              </w:rPr>
              <w:t>$</w:t>
            </w:r>
          </w:p>
        </w:tc>
        <w:tc>
          <w:tcPr>
            <w:tcW w:w="735" w:type="dxa"/>
            <w:tcBorders/>
            <w:shd w:fill="CCEEFF" w:val="clear"/>
            <w:vAlign w:val="center"/>
          </w:tcPr>
          <w:p>
            <w:pPr>
              <w:pStyle w:val="TableContents"/>
              <w:bidi w:val="0"/>
              <w:spacing w:before="0" w:after="0"/>
              <w:jc w:val="right"/>
              <w:rPr>
                <w:spacing w:val="0"/>
              </w:rPr>
            </w:pPr>
            <w:r>
              <w:rPr>
                <w:spacing w:val="0"/>
              </w:rPr>
              <w:t> — 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w:t>
            </w:r>
          </w:p>
        </w:tc>
        <w:tc>
          <w:tcPr>
            <w:tcW w:w="616" w:type="dxa"/>
            <w:tcBorders/>
            <w:shd w:fill="CCEEFF" w:val="clear"/>
            <w:vAlign w:val="center"/>
          </w:tcPr>
          <w:p>
            <w:pPr>
              <w:pStyle w:val="TableContents"/>
              <w:bidi w:val="0"/>
              <w:spacing w:before="0" w:after="0"/>
              <w:jc w:val="right"/>
              <w:rPr>
                <w:spacing w:val="0"/>
              </w:rPr>
            </w:pPr>
            <w:r>
              <w:rPr>
                <w:spacing w:val="0"/>
              </w:rPr>
              <w:t> — 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w:t>
            </w:r>
          </w:p>
        </w:tc>
        <w:tc>
          <w:tcPr>
            <w:tcW w:w="680" w:type="dxa"/>
            <w:tcBorders/>
            <w:shd w:fill="CCEEFF" w:val="clear"/>
            <w:vAlign w:val="center"/>
          </w:tcPr>
          <w:p>
            <w:pPr>
              <w:pStyle w:val="TableContents"/>
              <w:bidi w:val="0"/>
              <w:spacing w:before="0" w:after="0"/>
              <w:jc w:val="right"/>
              <w:rPr>
                <w:spacing w:val="0"/>
              </w:rPr>
            </w:pPr>
            <w:r>
              <w:rPr>
                <w:spacing w:val="0"/>
              </w:rPr>
              <w:t>17,983</w:t>
            </w:r>
          </w:p>
        </w:tc>
        <w:tc>
          <w:tcPr>
            <w:tcW w:w="76" w:type="dxa"/>
            <w:tcBorders/>
            <w:shd w:fill="CCEEFF" w:val="clear"/>
            <w:vAlign w:val="center"/>
          </w:tcPr>
          <w:p>
            <w:pPr>
              <w:pStyle w:val="TableContents"/>
              <w:bidi w:val="0"/>
              <w:spacing w:before="0" w:after="0"/>
              <w:jc w:val="left"/>
              <w:rPr>
                <w:spacing w:val="0"/>
              </w:rPr>
            </w:pPr>
            <w:r>
              <w:rPr>
                <w:spacing w:val="0"/>
              </w:rPr>
              <w:t> </w:t>
            </w:r>
          </w:p>
        </w:tc>
      </w:tr>
      <w:tr>
        <w:trPr/>
        <w:tc>
          <w:tcPr>
            <w:tcW w:w="4318"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U.S. Treasuries</w:t>
            </w:r>
          </w:p>
        </w:tc>
        <w:tc>
          <w:tcPr>
            <w:tcW w:w="120" w:type="dxa"/>
            <w:tcBorders/>
            <w:vAlign w:val="center"/>
          </w:tcPr>
          <w:p>
            <w:pPr>
              <w:pStyle w:val="TableContents"/>
              <w:bidi w:val="0"/>
              <w:spacing w:before="0" w:after="0"/>
              <w:jc w:val="left"/>
              <w:rPr>
                <w:spacing w:val="0"/>
              </w:rPr>
            </w:pPr>
            <w:r>
              <w:rPr>
                <w:spacing w:val="0"/>
              </w:rPr>
              <w:t>  </w:t>
            </w:r>
          </w:p>
        </w:tc>
        <w:tc>
          <w:tcPr>
            <w:tcW w:w="187" w:type="dxa"/>
            <w:tcBorders/>
            <w:vAlign w:val="center"/>
          </w:tcPr>
          <w:p>
            <w:pPr>
              <w:pStyle w:val="TableContents"/>
              <w:bidi w:val="0"/>
              <w:spacing w:before="0" w:after="0"/>
              <w:jc w:val="left"/>
              <w:rPr>
                <w:spacing w:val="0"/>
              </w:rPr>
            </w:pPr>
            <w:r>
              <w:rPr>
                <w:spacing w:val="0"/>
              </w:rPr>
              <w:t> </w:t>
            </w:r>
          </w:p>
        </w:tc>
        <w:tc>
          <w:tcPr>
            <w:tcW w:w="913" w:type="dxa"/>
            <w:tcBorders/>
            <w:vAlign w:val="center"/>
          </w:tcPr>
          <w:p>
            <w:pPr>
              <w:pStyle w:val="TableContents"/>
              <w:bidi w:val="0"/>
              <w:spacing w:before="0" w:after="0"/>
              <w:jc w:val="right"/>
              <w:rPr>
                <w:spacing w:val="0"/>
              </w:rPr>
            </w:pPr>
            <w:r>
              <w:rPr>
                <w:spacing w:val="0"/>
              </w:rPr>
              <w:t>16,465</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95" w:type="dxa"/>
            <w:tcBorders/>
            <w:vAlign w:val="center"/>
          </w:tcPr>
          <w:p>
            <w:pPr>
              <w:pStyle w:val="TableContents"/>
              <w:bidi w:val="0"/>
              <w:spacing w:before="0" w:after="0"/>
              <w:jc w:val="left"/>
              <w:rPr>
                <w:spacing w:val="0"/>
              </w:rPr>
            </w:pPr>
            <w:r>
              <w:rPr>
                <w:spacing w:val="0"/>
              </w:rPr>
              <w:t>$</w:t>
            </w:r>
          </w:p>
        </w:tc>
        <w:tc>
          <w:tcPr>
            <w:tcW w:w="735"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95" w:type="dxa"/>
            <w:tcBorders/>
            <w:vAlign w:val="center"/>
          </w:tcPr>
          <w:p>
            <w:pPr>
              <w:pStyle w:val="TableContents"/>
              <w:bidi w:val="0"/>
              <w:spacing w:before="0" w:after="0"/>
              <w:jc w:val="left"/>
              <w:rPr>
                <w:spacing w:val="0"/>
              </w:rPr>
            </w:pPr>
            <w:r>
              <w:rPr>
                <w:spacing w:val="0"/>
              </w:rPr>
              <w:t> </w:t>
            </w:r>
          </w:p>
        </w:tc>
        <w:tc>
          <w:tcPr>
            <w:tcW w:w="735" w:type="dxa"/>
            <w:tcBorders/>
            <w:vAlign w:val="center"/>
          </w:tcPr>
          <w:p>
            <w:pPr>
              <w:pStyle w:val="TableContents"/>
              <w:bidi w:val="0"/>
              <w:spacing w:before="0" w:after="0"/>
              <w:jc w:val="right"/>
              <w:rPr>
                <w:spacing w:val="0"/>
              </w:rPr>
            </w:pPr>
            <w:r>
              <w:rPr>
                <w:spacing w:val="0"/>
              </w:rPr>
              <w:t>(3</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616"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680" w:type="dxa"/>
            <w:tcBorders/>
            <w:vAlign w:val="center"/>
          </w:tcPr>
          <w:p>
            <w:pPr>
              <w:pStyle w:val="TableContents"/>
              <w:bidi w:val="0"/>
              <w:spacing w:before="0" w:after="0"/>
              <w:jc w:val="right"/>
              <w:rPr>
                <w:spacing w:val="0"/>
              </w:rPr>
            </w:pPr>
            <w:r>
              <w:rPr>
                <w:spacing w:val="0"/>
              </w:rPr>
              <w:t>16,462</w:t>
            </w:r>
          </w:p>
        </w:tc>
        <w:tc>
          <w:tcPr>
            <w:tcW w:w="76" w:type="dxa"/>
            <w:tcBorders/>
            <w:vAlign w:val="center"/>
          </w:tcPr>
          <w:p>
            <w:pPr>
              <w:pStyle w:val="TableContents"/>
              <w:bidi w:val="0"/>
              <w:spacing w:before="0" w:after="0"/>
              <w:jc w:val="left"/>
              <w:rPr>
                <w:spacing w:val="0"/>
              </w:rPr>
            </w:pPr>
            <w:r>
              <w:rPr>
                <w:spacing w:val="0"/>
              </w:rPr>
              <w:t> </w:t>
            </w:r>
          </w:p>
        </w:tc>
      </w:tr>
      <w:tr>
        <w:trPr/>
        <w:tc>
          <w:tcPr>
            <w:tcW w:w="431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1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6" w:type="dxa"/>
            <w:tcBorders/>
            <w:vAlign w:val="center"/>
          </w:tcPr>
          <w:p>
            <w:pPr>
              <w:pStyle w:val="TableContents"/>
              <w:bidi w:val="0"/>
              <w:spacing w:before="0" w:after="0"/>
              <w:jc w:val="left"/>
              <w:rPr>
                <w:spacing w:val="0"/>
              </w:rPr>
            </w:pPr>
            <w:r>
              <w:rPr>
                <w:spacing w:val="0"/>
              </w:rPr>
              <w:t> </w:t>
            </w:r>
          </w:p>
        </w:tc>
      </w:tr>
      <w:tr>
        <w:trPr/>
        <w:tc>
          <w:tcPr>
            <w:tcW w:w="4318"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cash, cash equivalents, and marketable securities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87" w:type="dxa"/>
            <w:tcBorders/>
            <w:shd w:fill="CCEEFF" w:val="clear"/>
            <w:vAlign w:val="center"/>
          </w:tcPr>
          <w:p>
            <w:pPr>
              <w:pStyle w:val="TableContents"/>
              <w:bidi w:val="0"/>
              <w:spacing w:before="0" w:after="0"/>
              <w:jc w:val="left"/>
              <w:rPr>
                <w:spacing w:val="0"/>
              </w:rPr>
            </w:pPr>
            <w:r>
              <w:rPr>
                <w:spacing w:val="0"/>
              </w:rPr>
              <w:t>$</w:t>
            </w:r>
          </w:p>
        </w:tc>
        <w:tc>
          <w:tcPr>
            <w:tcW w:w="913" w:type="dxa"/>
            <w:tcBorders/>
            <w:shd w:fill="CCEEFF" w:val="clear"/>
            <w:vAlign w:val="center"/>
          </w:tcPr>
          <w:p>
            <w:pPr>
              <w:pStyle w:val="TableContents"/>
              <w:bidi w:val="0"/>
              <w:spacing w:before="0" w:after="0"/>
              <w:jc w:val="right"/>
              <w:rPr>
                <w:spacing w:val="0"/>
              </w:rPr>
            </w:pPr>
            <w:r>
              <w:rPr>
                <w:spacing w:val="0"/>
              </w:rPr>
              <w:t>34,448</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395" w:type="dxa"/>
            <w:tcBorders/>
            <w:shd w:fill="CCEEFF" w:val="clear"/>
            <w:vAlign w:val="center"/>
          </w:tcPr>
          <w:p>
            <w:pPr>
              <w:pStyle w:val="TableContents"/>
              <w:bidi w:val="0"/>
              <w:spacing w:before="0" w:after="0"/>
              <w:jc w:val="left"/>
              <w:rPr>
                <w:spacing w:val="0"/>
              </w:rPr>
            </w:pPr>
            <w:r>
              <w:rPr>
                <w:spacing w:val="0"/>
              </w:rPr>
              <w:t>$</w:t>
            </w:r>
          </w:p>
        </w:tc>
        <w:tc>
          <w:tcPr>
            <w:tcW w:w="735"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395" w:type="dxa"/>
            <w:tcBorders/>
            <w:shd w:fill="CCEEFF" w:val="clear"/>
            <w:vAlign w:val="center"/>
          </w:tcPr>
          <w:p>
            <w:pPr>
              <w:pStyle w:val="TableContents"/>
              <w:bidi w:val="0"/>
              <w:spacing w:before="0" w:after="0"/>
              <w:jc w:val="left"/>
              <w:rPr>
                <w:spacing w:val="0"/>
              </w:rPr>
            </w:pPr>
            <w:r>
              <w:rPr>
                <w:spacing w:val="0"/>
              </w:rPr>
              <w:t>$</w:t>
            </w:r>
          </w:p>
        </w:tc>
        <w:tc>
          <w:tcPr>
            <w:tcW w:w="735" w:type="dxa"/>
            <w:tcBorders/>
            <w:shd w:fill="CCEEFF" w:val="clear"/>
            <w:vAlign w:val="center"/>
          </w:tcPr>
          <w:p>
            <w:pPr>
              <w:pStyle w:val="TableContents"/>
              <w:bidi w:val="0"/>
              <w:spacing w:before="0" w:after="0"/>
              <w:jc w:val="right"/>
              <w:rPr>
                <w:spacing w:val="0"/>
              </w:rPr>
            </w:pPr>
            <w:r>
              <w:rPr>
                <w:spacing w:val="0"/>
              </w:rPr>
              <w:t>(3</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w:t>
            </w:r>
          </w:p>
        </w:tc>
        <w:tc>
          <w:tcPr>
            <w:tcW w:w="616"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w:t>
            </w:r>
          </w:p>
        </w:tc>
        <w:tc>
          <w:tcPr>
            <w:tcW w:w="680" w:type="dxa"/>
            <w:tcBorders/>
            <w:shd w:fill="CCEEFF" w:val="clear"/>
            <w:vAlign w:val="center"/>
          </w:tcPr>
          <w:p>
            <w:pPr>
              <w:pStyle w:val="TableContents"/>
              <w:bidi w:val="0"/>
              <w:spacing w:before="0" w:after="0"/>
              <w:jc w:val="right"/>
              <w:rPr>
                <w:spacing w:val="0"/>
              </w:rPr>
            </w:pPr>
            <w:r>
              <w:rPr>
                <w:spacing w:val="0"/>
              </w:rPr>
              <w:t>34,445</w:t>
            </w:r>
          </w:p>
        </w:tc>
        <w:tc>
          <w:tcPr>
            <w:tcW w:w="76" w:type="dxa"/>
            <w:tcBorders/>
            <w:shd w:fill="CCEEFF" w:val="clear"/>
            <w:vAlign w:val="center"/>
          </w:tcPr>
          <w:p>
            <w:pPr>
              <w:pStyle w:val="TableContents"/>
              <w:bidi w:val="0"/>
              <w:spacing w:before="0" w:after="0"/>
              <w:jc w:val="left"/>
              <w:rPr>
                <w:spacing w:val="0"/>
              </w:rPr>
            </w:pPr>
            <w:r>
              <w:rPr>
                <w:spacing w:val="0"/>
              </w:rPr>
              <w:t> </w:t>
            </w:r>
          </w:p>
        </w:tc>
      </w:tr>
      <w:tr>
        <w:trPr/>
        <w:tc>
          <w:tcPr>
            <w:tcW w:w="431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8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1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3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3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1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6" w:type="dxa"/>
            <w:tcBorders/>
            <w:vAlign w:val="center"/>
          </w:tcPr>
          <w:p>
            <w:pPr>
              <w:pStyle w:val="TableContents"/>
              <w:bidi w:val="0"/>
              <w:spacing w:before="0" w:after="0"/>
              <w:jc w:val="left"/>
              <w:rPr>
                <w:spacing w:val="0"/>
              </w:rPr>
            </w:pPr>
            <w:r>
              <w:rPr>
                <w:spacing w:val="0"/>
              </w:rPr>
              <w:t> </w:t>
            </w:r>
          </w:p>
        </w:tc>
      </w:tr>
      <w:tr>
        <w:trPr/>
        <w:tc>
          <w:tcPr>
            <w:tcW w:w="4318"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As reported:</w:t>
            </w:r>
          </w:p>
        </w:tc>
        <w:tc>
          <w:tcPr>
            <w:tcW w:w="120" w:type="dxa"/>
            <w:tcBorders/>
            <w:vAlign w:val="center"/>
          </w:tcPr>
          <w:p>
            <w:pPr>
              <w:pStyle w:val="TableContents"/>
              <w:bidi w:val="0"/>
              <w:spacing w:before="0" w:after="0"/>
              <w:jc w:val="left"/>
              <w:rPr>
                <w:spacing w:val="0"/>
              </w:rPr>
            </w:pPr>
            <w:r>
              <w:rPr>
                <w:spacing w:val="0"/>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395"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395"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4318"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87" w:type="dxa"/>
            <w:tcBorders/>
            <w:shd w:fill="CCEEFF" w:val="clear"/>
            <w:vAlign w:val="center"/>
          </w:tcPr>
          <w:p>
            <w:pPr>
              <w:pStyle w:val="TableContents"/>
              <w:bidi w:val="0"/>
              <w:spacing w:before="0" w:after="0"/>
              <w:jc w:val="left"/>
              <w:rPr>
                <w:spacing w:val="0"/>
              </w:rPr>
            </w:pPr>
            <w:r>
              <w:rPr>
                <w:spacing w:val="0"/>
              </w:rPr>
              <w:t>$</w:t>
            </w:r>
          </w:p>
        </w:tc>
        <w:tc>
          <w:tcPr>
            <w:tcW w:w="913" w:type="dxa"/>
            <w:tcBorders/>
            <w:shd w:fill="CCEEFF" w:val="clear"/>
            <w:vAlign w:val="center"/>
          </w:tcPr>
          <w:p>
            <w:pPr>
              <w:pStyle w:val="TableContents"/>
              <w:bidi w:val="0"/>
              <w:spacing w:before="0" w:after="0"/>
              <w:jc w:val="right"/>
              <w:rPr>
                <w:spacing w:val="0"/>
              </w:rPr>
            </w:pPr>
            <w:r>
              <w:rPr>
                <w:spacing w:val="0"/>
              </w:rPr>
              <w:t>17,983</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395" w:type="dxa"/>
            <w:tcBorders/>
            <w:shd w:fill="CCEEFF" w:val="clear"/>
            <w:vAlign w:val="center"/>
          </w:tcPr>
          <w:p>
            <w:pPr>
              <w:pStyle w:val="TableContents"/>
              <w:bidi w:val="0"/>
              <w:spacing w:before="0" w:after="0"/>
              <w:jc w:val="left"/>
              <w:rPr>
                <w:spacing w:val="0"/>
              </w:rPr>
            </w:pPr>
            <w:r>
              <w:rPr>
                <w:spacing w:val="0"/>
              </w:rPr>
              <w:t>$</w:t>
            </w:r>
          </w:p>
        </w:tc>
        <w:tc>
          <w:tcPr>
            <w:tcW w:w="735"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395" w:type="dxa"/>
            <w:tcBorders/>
            <w:shd w:fill="CCEEFF" w:val="clear"/>
            <w:vAlign w:val="center"/>
          </w:tcPr>
          <w:p>
            <w:pPr>
              <w:pStyle w:val="TableContents"/>
              <w:bidi w:val="0"/>
              <w:spacing w:before="0" w:after="0"/>
              <w:jc w:val="left"/>
              <w:rPr>
                <w:spacing w:val="0"/>
              </w:rPr>
            </w:pPr>
            <w:r>
              <w:rPr>
                <w:spacing w:val="0"/>
              </w:rPr>
              <w:t>$</w:t>
            </w:r>
          </w:p>
        </w:tc>
        <w:tc>
          <w:tcPr>
            <w:tcW w:w="735"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w:t>
            </w:r>
          </w:p>
        </w:tc>
        <w:tc>
          <w:tcPr>
            <w:tcW w:w="616"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w:t>
            </w:r>
          </w:p>
        </w:tc>
        <w:tc>
          <w:tcPr>
            <w:tcW w:w="680" w:type="dxa"/>
            <w:tcBorders/>
            <w:shd w:fill="CCEEFF" w:val="clear"/>
            <w:vAlign w:val="center"/>
          </w:tcPr>
          <w:p>
            <w:pPr>
              <w:pStyle w:val="TableContents"/>
              <w:bidi w:val="0"/>
              <w:spacing w:before="0" w:after="0"/>
              <w:jc w:val="right"/>
              <w:rPr>
                <w:spacing w:val="0"/>
              </w:rPr>
            </w:pPr>
            <w:r>
              <w:rPr>
                <w:spacing w:val="0"/>
              </w:rPr>
              <w:t>17,983</w:t>
            </w:r>
          </w:p>
        </w:tc>
        <w:tc>
          <w:tcPr>
            <w:tcW w:w="76" w:type="dxa"/>
            <w:tcBorders/>
            <w:shd w:fill="CCEEFF" w:val="clear"/>
            <w:vAlign w:val="center"/>
          </w:tcPr>
          <w:p>
            <w:pPr>
              <w:pStyle w:val="TableContents"/>
              <w:bidi w:val="0"/>
              <w:spacing w:before="0" w:after="0"/>
              <w:jc w:val="left"/>
              <w:rPr>
                <w:spacing w:val="0"/>
              </w:rPr>
            </w:pPr>
            <w:r>
              <w:rPr>
                <w:spacing w:val="0"/>
              </w:rPr>
              <w:t> </w:t>
            </w:r>
          </w:p>
        </w:tc>
      </w:tr>
      <w:tr>
        <w:trPr/>
        <w:tc>
          <w:tcPr>
            <w:tcW w:w="4318"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Marketable securities</w:t>
            </w:r>
          </w:p>
        </w:tc>
        <w:tc>
          <w:tcPr>
            <w:tcW w:w="120" w:type="dxa"/>
            <w:tcBorders/>
            <w:vAlign w:val="center"/>
          </w:tcPr>
          <w:p>
            <w:pPr>
              <w:pStyle w:val="TableContents"/>
              <w:bidi w:val="0"/>
              <w:spacing w:before="0" w:after="0"/>
              <w:jc w:val="left"/>
              <w:rPr>
                <w:spacing w:val="0"/>
              </w:rPr>
            </w:pPr>
            <w:r>
              <w:rPr>
                <w:spacing w:val="0"/>
              </w:rPr>
              <w:t>  </w:t>
            </w:r>
          </w:p>
        </w:tc>
        <w:tc>
          <w:tcPr>
            <w:tcW w:w="187" w:type="dxa"/>
            <w:tcBorders/>
            <w:vAlign w:val="center"/>
          </w:tcPr>
          <w:p>
            <w:pPr>
              <w:pStyle w:val="TableContents"/>
              <w:bidi w:val="0"/>
              <w:spacing w:before="0" w:after="0"/>
              <w:jc w:val="left"/>
              <w:rPr>
                <w:spacing w:val="0"/>
              </w:rPr>
            </w:pPr>
            <w:r>
              <w:rPr>
                <w:spacing w:val="0"/>
              </w:rPr>
              <w:t> </w:t>
            </w:r>
          </w:p>
        </w:tc>
        <w:tc>
          <w:tcPr>
            <w:tcW w:w="913" w:type="dxa"/>
            <w:tcBorders/>
            <w:vAlign w:val="center"/>
          </w:tcPr>
          <w:p>
            <w:pPr>
              <w:pStyle w:val="TableContents"/>
              <w:bidi w:val="0"/>
              <w:spacing w:before="0" w:after="0"/>
              <w:jc w:val="right"/>
              <w:rPr>
                <w:spacing w:val="0"/>
              </w:rPr>
            </w:pPr>
            <w:r>
              <w:rPr>
                <w:spacing w:val="0"/>
              </w:rPr>
              <w:t>16,465</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95" w:type="dxa"/>
            <w:tcBorders/>
            <w:vAlign w:val="center"/>
          </w:tcPr>
          <w:p>
            <w:pPr>
              <w:pStyle w:val="TableContents"/>
              <w:bidi w:val="0"/>
              <w:spacing w:before="0" w:after="0"/>
              <w:jc w:val="left"/>
              <w:rPr>
                <w:spacing w:val="0"/>
              </w:rPr>
            </w:pPr>
            <w:r>
              <w:rPr>
                <w:spacing w:val="0"/>
              </w:rPr>
              <w:t>$</w:t>
            </w:r>
          </w:p>
        </w:tc>
        <w:tc>
          <w:tcPr>
            <w:tcW w:w="735"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95" w:type="dxa"/>
            <w:tcBorders/>
            <w:vAlign w:val="center"/>
          </w:tcPr>
          <w:p>
            <w:pPr>
              <w:pStyle w:val="TableContents"/>
              <w:bidi w:val="0"/>
              <w:spacing w:before="0" w:after="0"/>
              <w:jc w:val="left"/>
              <w:rPr>
                <w:spacing w:val="0"/>
              </w:rPr>
            </w:pPr>
            <w:r>
              <w:rPr>
                <w:spacing w:val="0"/>
              </w:rPr>
              <w:t> </w:t>
            </w:r>
          </w:p>
        </w:tc>
        <w:tc>
          <w:tcPr>
            <w:tcW w:w="735" w:type="dxa"/>
            <w:tcBorders/>
            <w:vAlign w:val="center"/>
          </w:tcPr>
          <w:p>
            <w:pPr>
              <w:pStyle w:val="TableContents"/>
              <w:bidi w:val="0"/>
              <w:spacing w:before="0" w:after="0"/>
              <w:jc w:val="right"/>
              <w:rPr>
                <w:spacing w:val="0"/>
              </w:rPr>
            </w:pPr>
            <w:r>
              <w:rPr>
                <w:spacing w:val="0"/>
              </w:rPr>
              <w:t>(3</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616"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680" w:type="dxa"/>
            <w:tcBorders/>
            <w:vAlign w:val="center"/>
          </w:tcPr>
          <w:p>
            <w:pPr>
              <w:pStyle w:val="TableContents"/>
              <w:bidi w:val="0"/>
              <w:spacing w:before="0" w:after="0"/>
              <w:jc w:val="right"/>
              <w:rPr>
                <w:spacing w:val="0"/>
              </w:rPr>
            </w:pPr>
            <w:r>
              <w:rPr>
                <w:spacing w:val="0"/>
              </w:rPr>
              <w:t>16,462</w:t>
            </w:r>
          </w:p>
        </w:tc>
        <w:tc>
          <w:tcPr>
            <w:tcW w:w="76" w:type="dxa"/>
            <w:tcBorders/>
            <w:vAlign w:val="center"/>
          </w:tcPr>
          <w:p>
            <w:pPr>
              <w:pStyle w:val="TableContents"/>
              <w:bidi w:val="0"/>
              <w:spacing w:before="0" w:after="0"/>
              <w:jc w:val="left"/>
              <w:rPr>
                <w:spacing w:val="0"/>
              </w:rPr>
            </w:pPr>
            <w:r>
              <w:rPr>
                <w:spacing w:val="0"/>
              </w:rPr>
              <w:t> </w:t>
            </w:r>
          </w:p>
        </w:tc>
      </w:tr>
      <w:tr>
        <w:trPr/>
        <w:tc>
          <w:tcPr>
            <w:tcW w:w="431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1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6" w:type="dxa"/>
            <w:tcBorders/>
            <w:vAlign w:val="center"/>
          </w:tcPr>
          <w:p>
            <w:pPr>
              <w:pStyle w:val="TableContents"/>
              <w:bidi w:val="0"/>
              <w:spacing w:before="0" w:after="0"/>
              <w:jc w:val="left"/>
              <w:rPr>
                <w:spacing w:val="0"/>
              </w:rPr>
            </w:pPr>
            <w:r>
              <w:rPr>
                <w:spacing w:val="0"/>
              </w:rPr>
              <w:t> </w:t>
            </w:r>
          </w:p>
        </w:tc>
      </w:tr>
      <w:tr>
        <w:trPr/>
        <w:tc>
          <w:tcPr>
            <w:tcW w:w="4318"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87" w:type="dxa"/>
            <w:tcBorders/>
            <w:shd w:fill="CCEEFF" w:val="clear"/>
            <w:vAlign w:val="center"/>
          </w:tcPr>
          <w:p>
            <w:pPr>
              <w:pStyle w:val="TableContents"/>
              <w:bidi w:val="0"/>
              <w:spacing w:before="0" w:after="0"/>
              <w:jc w:val="left"/>
              <w:rPr>
                <w:spacing w:val="0"/>
              </w:rPr>
            </w:pPr>
            <w:r>
              <w:rPr>
                <w:spacing w:val="0"/>
              </w:rPr>
              <w:t>$</w:t>
            </w:r>
          </w:p>
        </w:tc>
        <w:tc>
          <w:tcPr>
            <w:tcW w:w="913" w:type="dxa"/>
            <w:tcBorders/>
            <w:shd w:fill="CCEEFF" w:val="clear"/>
            <w:vAlign w:val="center"/>
          </w:tcPr>
          <w:p>
            <w:pPr>
              <w:pStyle w:val="TableContents"/>
              <w:bidi w:val="0"/>
              <w:spacing w:before="0" w:after="0"/>
              <w:jc w:val="right"/>
              <w:rPr>
                <w:spacing w:val="0"/>
              </w:rPr>
            </w:pPr>
            <w:r>
              <w:rPr>
                <w:spacing w:val="0"/>
              </w:rPr>
              <w:t>34,448</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395" w:type="dxa"/>
            <w:tcBorders/>
            <w:shd w:fill="CCEEFF" w:val="clear"/>
            <w:vAlign w:val="center"/>
          </w:tcPr>
          <w:p>
            <w:pPr>
              <w:pStyle w:val="TableContents"/>
              <w:bidi w:val="0"/>
              <w:spacing w:before="0" w:after="0"/>
              <w:jc w:val="left"/>
              <w:rPr>
                <w:spacing w:val="0"/>
              </w:rPr>
            </w:pPr>
            <w:r>
              <w:rPr>
                <w:spacing w:val="0"/>
              </w:rPr>
              <w:t>$</w:t>
            </w:r>
          </w:p>
        </w:tc>
        <w:tc>
          <w:tcPr>
            <w:tcW w:w="735"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395" w:type="dxa"/>
            <w:tcBorders/>
            <w:shd w:fill="CCEEFF" w:val="clear"/>
            <w:vAlign w:val="center"/>
          </w:tcPr>
          <w:p>
            <w:pPr>
              <w:pStyle w:val="TableContents"/>
              <w:bidi w:val="0"/>
              <w:spacing w:before="0" w:after="0"/>
              <w:jc w:val="left"/>
              <w:rPr>
                <w:spacing w:val="0"/>
              </w:rPr>
            </w:pPr>
            <w:r>
              <w:rPr>
                <w:spacing w:val="0"/>
              </w:rPr>
              <w:t>$</w:t>
            </w:r>
          </w:p>
        </w:tc>
        <w:tc>
          <w:tcPr>
            <w:tcW w:w="735" w:type="dxa"/>
            <w:tcBorders/>
            <w:shd w:fill="CCEEFF" w:val="clear"/>
            <w:vAlign w:val="center"/>
          </w:tcPr>
          <w:p>
            <w:pPr>
              <w:pStyle w:val="TableContents"/>
              <w:bidi w:val="0"/>
              <w:spacing w:before="0" w:after="0"/>
              <w:jc w:val="right"/>
              <w:rPr>
                <w:spacing w:val="0"/>
              </w:rPr>
            </w:pPr>
            <w:r>
              <w:rPr>
                <w:spacing w:val="0"/>
              </w:rPr>
              <w:t>(3</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w:t>
            </w:r>
          </w:p>
        </w:tc>
        <w:tc>
          <w:tcPr>
            <w:tcW w:w="616"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w:t>
            </w:r>
          </w:p>
        </w:tc>
        <w:tc>
          <w:tcPr>
            <w:tcW w:w="680" w:type="dxa"/>
            <w:tcBorders/>
            <w:shd w:fill="CCEEFF" w:val="clear"/>
            <w:vAlign w:val="center"/>
          </w:tcPr>
          <w:p>
            <w:pPr>
              <w:pStyle w:val="TableContents"/>
              <w:bidi w:val="0"/>
              <w:spacing w:before="0" w:after="0"/>
              <w:jc w:val="right"/>
              <w:rPr>
                <w:spacing w:val="0"/>
              </w:rPr>
            </w:pPr>
            <w:r>
              <w:rPr>
                <w:spacing w:val="0"/>
              </w:rPr>
              <w:t>34,445</w:t>
            </w:r>
          </w:p>
        </w:tc>
        <w:tc>
          <w:tcPr>
            <w:tcW w:w="76" w:type="dxa"/>
            <w:tcBorders/>
            <w:shd w:fill="CCEEFF" w:val="clear"/>
            <w:vAlign w:val="center"/>
          </w:tcPr>
          <w:p>
            <w:pPr>
              <w:pStyle w:val="TableContents"/>
              <w:bidi w:val="0"/>
              <w:spacing w:before="0" w:after="0"/>
              <w:jc w:val="left"/>
              <w:rPr>
                <w:spacing w:val="0"/>
              </w:rPr>
            </w:pPr>
            <w:r>
              <w:rPr>
                <w:spacing w:val="0"/>
              </w:rPr>
              <w:t> </w:t>
            </w:r>
          </w:p>
        </w:tc>
      </w:tr>
      <w:tr>
        <w:trPr/>
        <w:tc>
          <w:tcPr>
            <w:tcW w:w="431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8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1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3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3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1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6" w:type="dxa"/>
            <w:tcBorders/>
            <w:vAlign w:val="center"/>
          </w:tcPr>
          <w:p>
            <w:pPr>
              <w:pStyle w:val="TableContents"/>
              <w:bidi w:val="0"/>
              <w:spacing w:before="0" w:after="0"/>
              <w:jc w:val="left"/>
              <w:rPr>
                <w:spacing w:val="0"/>
              </w:rPr>
            </w:pPr>
            <w:r>
              <w:rPr>
                <w:spacing w:val="0"/>
              </w:rPr>
              <w:t> </w:t>
            </w:r>
          </w:p>
        </w:tc>
      </w:tr>
    </w:tbl>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4236"/>
        <w:gridCol w:w="120"/>
        <w:gridCol w:w="187"/>
        <w:gridCol w:w="913"/>
        <w:gridCol w:w="62"/>
        <w:gridCol w:w="125"/>
        <w:gridCol w:w="395"/>
        <w:gridCol w:w="735"/>
        <w:gridCol w:w="62"/>
        <w:gridCol w:w="125"/>
        <w:gridCol w:w="395"/>
        <w:gridCol w:w="735"/>
        <w:gridCol w:w="62"/>
        <w:gridCol w:w="125"/>
        <w:gridCol w:w="148"/>
        <w:gridCol w:w="647"/>
        <w:gridCol w:w="62"/>
        <w:gridCol w:w="125"/>
        <w:gridCol w:w="147"/>
        <w:gridCol w:w="716"/>
        <w:gridCol w:w="83"/>
      </w:tblGrid>
      <w:tr>
        <w:trPr/>
        <w:tc>
          <w:tcPr>
            <w:tcW w:w="4236"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87" w:type="dxa"/>
            <w:tcBorders/>
            <w:vAlign w:val="center"/>
          </w:tcPr>
          <w:p>
            <w:pPr>
              <w:pStyle w:val="TableContents"/>
              <w:bidi w:val="0"/>
              <w:spacing w:before="0" w:after="0"/>
              <w:jc w:val="left"/>
              <w:rPr/>
            </w:pPr>
            <w:r>
              <w:rPr/>
              <w:t> </w:t>
            </w:r>
          </w:p>
        </w:tc>
        <w:tc>
          <w:tcPr>
            <w:tcW w:w="913" w:type="dxa"/>
            <w:tcBorders/>
            <w:vAlign w:val="center"/>
          </w:tcPr>
          <w:p>
            <w:pPr>
              <w:pStyle w:val="TableContents"/>
              <w:bidi w:val="0"/>
              <w:spacing w:before="0" w:after="0"/>
              <w:jc w:val="left"/>
              <w:rPr/>
            </w:pPr>
            <w:r>
              <w:rPr/>
              <w:t> </w:t>
            </w:r>
          </w:p>
        </w:tc>
        <w:tc>
          <w:tcPr>
            <w:tcW w:w="62"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 </w:t>
            </w:r>
          </w:p>
        </w:tc>
        <w:tc>
          <w:tcPr>
            <w:tcW w:w="735" w:type="dxa"/>
            <w:tcBorders/>
            <w:vAlign w:val="center"/>
          </w:tcPr>
          <w:p>
            <w:pPr>
              <w:pStyle w:val="TableContents"/>
              <w:bidi w:val="0"/>
              <w:spacing w:before="0" w:after="0"/>
              <w:jc w:val="left"/>
              <w:rPr/>
            </w:pPr>
            <w:r>
              <w:rPr/>
              <w:t> </w:t>
            </w:r>
          </w:p>
        </w:tc>
        <w:tc>
          <w:tcPr>
            <w:tcW w:w="62"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 </w:t>
            </w:r>
          </w:p>
        </w:tc>
        <w:tc>
          <w:tcPr>
            <w:tcW w:w="735" w:type="dxa"/>
            <w:tcBorders/>
            <w:vAlign w:val="center"/>
          </w:tcPr>
          <w:p>
            <w:pPr>
              <w:pStyle w:val="TableContents"/>
              <w:bidi w:val="0"/>
              <w:spacing w:before="0" w:after="0"/>
              <w:jc w:val="left"/>
              <w:rPr/>
            </w:pPr>
            <w:r>
              <w:rPr/>
              <w:t> </w:t>
            </w:r>
          </w:p>
        </w:tc>
        <w:tc>
          <w:tcPr>
            <w:tcW w:w="62"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647" w:type="dxa"/>
            <w:tcBorders/>
            <w:vAlign w:val="center"/>
          </w:tcPr>
          <w:p>
            <w:pPr>
              <w:pStyle w:val="TableContents"/>
              <w:bidi w:val="0"/>
              <w:spacing w:before="0" w:after="0"/>
              <w:jc w:val="left"/>
              <w:rPr/>
            </w:pPr>
            <w:r>
              <w:rPr/>
              <w:t> </w:t>
            </w:r>
          </w:p>
        </w:tc>
        <w:tc>
          <w:tcPr>
            <w:tcW w:w="62"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716" w:type="dxa"/>
            <w:tcBorders/>
            <w:vAlign w:val="center"/>
          </w:tcPr>
          <w:p>
            <w:pPr>
              <w:pStyle w:val="TableContents"/>
              <w:bidi w:val="0"/>
              <w:spacing w:before="0" w:after="0"/>
              <w:jc w:val="left"/>
              <w:rPr/>
            </w:pPr>
            <w:r>
              <w:rPr/>
              <w:t> </w:t>
            </w:r>
          </w:p>
        </w:tc>
        <w:tc>
          <w:tcPr>
            <w:tcW w:w="83" w:type="dxa"/>
            <w:tcBorders/>
            <w:vAlign w:val="center"/>
          </w:tcPr>
          <w:p>
            <w:pPr>
              <w:pStyle w:val="TableContents"/>
              <w:bidi w:val="0"/>
              <w:spacing w:before="0" w:after="0"/>
              <w:jc w:val="left"/>
              <w:rPr/>
            </w:pPr>
            <w:r>
              <w:rPr/>
              <w:t> </w:t>
            </w:r>
          </w:p>
        </w:tc>
      </w:tr>
      <w:tr>
        <w:trPr/>
        <w:tc>
          <w:tcPr>
            <w:tcW w:w="4236"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5766" w:type="dxa"/>
            <w:gridSpan w:val="18"/>
            <w:tcBorders/>
            <w:vAlign w:val="center"/>
          </w:tcPr>
          <w:p>
            <w:pPr>
              <w:pStyle w:val="TableContents"/>
              <w:bidi w:val="0"/>
              <w:spacing w:before="0" w:after="0"/>
              <w:jc w:val="center"/>
              <w:rPr>
                <w:b/>
                <w:spacing w:val="0"/>
              </w:rPr>
            </w:pPr>
            <w:r>
              <w:rPr>
                <w:b/>
                <w:spacing w:val="0"/>
              </w:rPr>
              <w:t>Fair Value Measurements at December 31, 2025</w:t>
            </w:r>
          </w:p>
        </w:tc>
        <w:tc>
          <w:tcPr>
            <w:tcW w:w="83" w:type="dxa"/>
            <w:tcBorders/>
            <w:vAlign w:val="center"/>
          </w:tcPr>
          <w:p>
            <w:pPr>
              <w:pStyle w:val="TableContents"/>
              <w:bidi w:val="0"/>
              <w:spacing w:before="0" w:after="0"/>
              <w:jc w:val="left"/>
              <w:rPr>
                <w:spacing w:val="0"/>
              </w:rPr>
            </w:pPr>
            <w:r>
              <w:rPr>
                <w:spacing w:val="0"/>
              </w:rPr>
              <w:t> </w:t>
            </w:r>
          </w:p>
        </w:tc>
      </w:tr>
      <w:tr>
        <w:trPr/>
        <w:tc>
          <w:tcPr>
            <w:tcW w:w="4236"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00" w:type="dxa"/>
            <w:gridSpan w:val="2"/>
            <w:tcBorders/>
            <w:vAlign w:val="center"/>
          </w:tcPr>
          <w:p>
            <w:pPr>
              <w:pStyle w:val="TableContents"/>
              <w:bidi w:val="0"/>
              <w:spacing w:before="0" w:after="0"/>
              <w:jc w:val="center"/>
              <w:rPr>
                <w:b/>
                <w:spacing w:val="0"/>
              </w:rPr>
            </w:pPr>
            <w:r>
              <w:rPr>
                <w:b/>
                <w:spacing w:val="0"/>
              </w:rPr>
              <w:t>Amortized</w:t>
              <w:br/>
              <w:t>Cost</w:t>
            </w:r>
          </w:p>
        </w:tc>
        <w:tc>
          <w:tcPr>
            <w:tcW w:w="62" w:type="dxa"/>
            <w:tcBorders/>
            <w:vAlign w:val="center"/>
          </w:tcPr>
          <w:p>
            <w:pPr>
              <w:pStyle w:val="TableContents"/>
              <w:bidi w:val="0"/>
              <w:spacing w:before="0" w:after="0"/>
              <w:jc w:val="left"/>
              <w:rPr>
                <w:spacing w:val="0"/>
              </w:rPr>
            </w:pPr>
            <w:r>
              <w:rPr>
                <w:spacing w:val="0"/>
              </w:rPr>
              <w:t> </w:t>
            </w:r>
          </w:p>
        </w:tc>
        <w:tc>
          <w:tcPr>
            <w:tcW w:w="125" w:type="dxa"/>
            <w:tcBorders/>
            <w:vAlign w:val="center"/>
          </w:tcPr>
          <w:p>
            <w:pPr>
              <w:pStyle w:val="TableContents"/>
              <w:bidi w:val="0"/>
              <w:spacing w:before="0" w:after="0"/>
              <w:jc w:val="left"/>
              <w:rPr>
                <w:spacing w:val="0"/>
              </w:rPr>
            </w:pPr>
            <w:r>
              <w:rPr>
                <w:spacing w:val="0"/>
              </w:rPr>
              <w:t>  </w:t>
            </w:r>
          </w:p>
        </w:tc>
        <w:tc>
          <w:tcPr>
            <w:tcW w:w="1130" w:type="dxa"/>
            <w:gridSpan w:val="2"/>
            <w:tcBorders/>
            <w:vAlign w:val="center"/>
          </w:tcPr>
          <w:p>
            <w:pPr>
              <w:pStyle w:val="TableContents"/>
              <w:bidi w:val="0"/>
              <w:spacing w:before="0" w:after="0"/>
              <w:jc w:val="center"/>
              <w:rPr>
                <w:b/>
                <w:spacing w:val="0"/>
              </w:rPr>
            </w:pPr>
            <w:r>
              <w:rPr>
                <w:b/>
                <w:spacing w:val="0"/>
              </w:rPr>
              <w:t>Gross</w:t>
              <w:br/>
              <w:t>Unrealized</w:t>
              <w:br/>
              <w:t>Gains</w:t>
            </w:r>
          </w:p>
        </w:tc>
        <w:tc>
          <w:tcPr>
            <w:tcW w:w="62" w:type="dxa"/>
            <w:tcBorders/>
            <w:vAlign w:val="center"/>
          </w:tcPr>
          <w:p>
            <w:pPr>
              <w:pStyle w:val="TableContents"/>
              <w:bidi w:val="0"/>
              <w:spacing w:before="0" w:after="0"/>
              <w:jc w:val="left"/>
              <w:rPr>
                <w:spacing w:val="0"/>
              </w:rPr>
            </w:pPr>
            <w:r>
              <w:rPr>
                <w:spacing w:val="0"/>
              </w:rPr>
              <w:t> </w:t>
            </w:r>
          </w:p>
        </w:tc>
        <w:tc>
          <w:tcPr>
            <w:tcW w:w="125" w:type="dxa"/>
            <w:tcBorders/>
            <w:vAlign w:val="center"/>
          </w:tcPr>
          <w:p>
            <w:pPr>
              <w:pStyle w:val="TableContents"/>
              <w:bidi w:val="0"/>
              <w:spacing w:before="0" w:after="0"/>
              <w:jc w:val="left"/>
              <w:rPr>
                <w:spacing w:val="0"/>
              </w:rPr>
            </w:pPr>
            <w:r>
              <w:rPr>
                <w:spacing w:val="0"/>
              </w:rPr>
              <w:t>  </w:t>
            </w:r>
          </w:p>
        </w:tc>
        <w:tc>
          <w:tcPr>
            <w:tcW w:w="1130" w:type="dxa"/>
            <w:gridSpan w:val="2"/>
            <w:tcBorders/>
            <w:vAlign w:val="center"/>
          </w:tcPr>
          <w:p>
            <w:pPr>
              <w:pStyle w:val="TableContents"/>
              <w:bidi w:val="0"/>
              <w:spacing w:before="0" w:after="0"/>
              <w:jc w:val="center"/>
              <w:rPr>
                <w:b/>
                <w:spacing w:val="0"/>
              </w:rPr>
            </w:pPr>
            <w:r>
              <w:rPr>
                <w:b/>
                <w:spacing w:val="0"/>
              </w:rPr>
              <w:t>Gross</w:t>
              <w:br/>
              <w:t>Unrealized</w:t>
              <w:br/>
              <w:t>Losses</w:t>
            </w:r>
          </w:p>
        </w:tc>
        <w:tc>
          <w:tcPr>
            <w:tcW w:w="62" w:type="dxa"/>
            <w:tcBorders/>
            <w:vAlign w:val="center"/>
          </w:tcPr>
          <w:p>
            <w:pPr>
              <w:pStyle w:val="TableContents"/>
              <w:bidi w:val="0"/>
              <w:spacing w:before="0" w:after="0"/>
              <w:jc w:val="left"/>
              <w:rPr>
                <w:spacing w:val="0"/>
              </w:rPr>
            </w:pPr>
            <w:r>
              <w:rPr>
                <w:spacing w:val="0"/>
              </w:rPr>
              <w:t> </w:t>
            </w:r>
          </w:p>
        </w:tc>
        <w:tc>
          <w:tcPr>
            <w:tcW w:w="125" w:type="dxa"/>
            <w:tcBorders/>
            <w:vAlign w:val="center"/>
          </w:tcPr>
          <w:p>
            <w:pPr>
              <w:pStyle w:val="TableContents"/>
              <w:bidi w:val="0"/>
              <w:spacing w:before="0" w:after="0"/>
              <w:jc w:val="left"/>
              <w:rPr>
                <w:spacing w:val="0"/>
              </w:rPr>
            </w:pPr>
            <w:r>
              <w:rPr>
                <w:spacing w:val="0"/>
              </w:rPr>
              <w:t>  </w:t>
            </w:r>
          </w:p>
        </w:tc>
        <w:tc>
          <w:tcPr>
            <w:tcW w:w="795" w:type="dxa"/>
            <w:gridSpan w:val="2"/>
            <w:tcBorders/>
            <w:vAlign w:val="center"/>
          </w:tcPr>
          <w:p>
            <w:pPr>
              <w:pStyle w:val="TableContents"/>
              <w:bidi w:val="0"/>
              <w:spacing w:before="0" w:after="0"/>
              <w:jc w:val="center"/>
              <w:rPr>
                <w:b/>
                <w:spacing w:val="0"/>
              </w:rPr>
            </w:pPr>
            <w:r>
              <w:rPr>
                <w:b/>
                <w:spacing w:val="0"/>
              </w:rPr>
              <w:t>Credit</w:t>
              <w:br/>
              <w:t>Losses</w:t>
            </w:r>
          </w:p>
        </w:tc>
        <w:tc>
          <w:tcPr>
            <w:tcW w:w="62" w:type="dxa"/>
            <w:tcBorders/>
            <w:vAlign w:val="center"/>
          </w:tcPr>
          <w:p>
            <w:pPr>
              <w:pStyle w:val="TableContents"/>
              <w:bidi w:val="0"/>
              <w:spacing w:before="0" w:after="0"/>
              <w:jc w:val="left"/>
              <w:rPr>
                <w:spacing w:val="0"/>
              </w:rPr>
            </w:pPr>
            <w:r>
              <w:rPr>
                <w:spacing w:val="0"/>
              </w:rPr>
              <w:t> </w:t>
            </w:r>
          </w:p>
        </w:tc>
        <w:tc>
          <w:tcPr>
            <w:tcW w:w="125" w:type="dxa"/>
            <w:tcBorders/>
            <w:vAlign w:val="center"/>
          </w:tcPr>
          <w:p>
            <w:pPr>
              <w:pStyle w:val="TableContents"/>
              <w:bidi w:val="0"/>
              <w:spacing w:before="0" w:after="0"/>
              <w:jc w:val="left"/>
              <w:rPr>
                <w:spacing w:val="0"/>
              </w:rPr>
            </w:pPr>
            <w:r>
              <w:rPr>
                <w:spacing w:val="0"/>
              </w:rPr>
              <w:t>  </w:t>
            </w:r>
          </w:p>
        </w:tc>
        <w:tc>
          <w:tcPr>
            <w:tcW w:w="863" w:type="dxa"/>
            <w:gridSpan w:val="2"/>
            <w:tcBorders/>
            <w:vAlign w:val="center"/>
          </w:tcPr>
          <w:p>
            <w:pPr>
              <w:pStyle w:val="TableContents"/>
              <w:bidi w:val="0"/>
              <w:spacing w:before="0" w:after="0"/>
              <w:jc w:val="center"/>
              <w:rPr>
                <w:b/>
                <w:spacing w:val="0"/>
              </w:rPr>
            </w:pPr>
            <w:r>
              <w:rPr>
                <w:b/>
                <w:spacing w:val="0"/>
              </w:rPr>
              <w:t>Total</w:t>
            </w:r>
          </w:p>
        </w:tc>
        <w:tc>
          <w:tcPr>
            <w:tcW w:w="83" w:type="dxa"/>
            <w:tcBorders/>
            <w:vAlign w:val="center"/>
          </w:tcPr>
          <w:p>
            <w:pPr>
              <w:pStyle w:val="TableContents"/>
              <w:bidi w:val="0"/>
              <w:spacing w:before="0" w:after="0"/>
              <w:jc w:val="left"/>
              <w:rPr>
                <w:spacing w:val="0"/>
              </w:rPr>
            </w:pPr>
            <w:r>
              <w:rPr>
                <w:spacing w:val="0"/>
              </w:rPr>
              <w:t> </w:t>
            </w:r>
          </w:p>
        </w:tc>
      </w:tr>
      <w:tr>
        <w:trPr/>
        <w:tc>
          <w:tcPr>
            <w:tcW w:w="4236"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87" w:type="dxa"/>
            <w:tcBorders/>
            <w:shd w:fill="CCEEFF" w:val="clear"/>
            <w:vAlign w:val="center"/>
          </w:tcPr>
          <w:p>
            <w:pPr>
              <w:pStyle w:val="TableContents"/>
              <w:bidi w:val="0"/>
              <w:spacing w:before="0" w:after="0"/>
              <w:jc w:val="left"/>
              <w:rPr>
                <w:spacing w:val="0"/>
              </w:rPr>
            </w:pPr>
            <w:r>
              <w:rPr>
                <w:spacing w:val="0"/>
              </w:rPr>
              <w:t>$</w:t>
            </w:r>
          </w:p>
        </w:tc>
        <w:tc>
          <w:tcPr>
            <w:tcW w:w="913" w:type="dxa"/>
            <w:tcBorders/>
            <w:shd w:fill="CCEEFF" w:val="clear"/>
            <w:vAlign w:val="center"/>
          </w:tcPr>
          <w:p>
            <w:pPr>
              <w:pStyle w:val="TableContents"/>
              <w:bidi w:val="0"/>
              <w:spacing w:before="0" w:after="0"/>
              <w:jc w:val="right"/>
              <w:rPr>
                <w:spacing w:val="0"/>
              </w:rPr>
            </w:pPr>
            <w:r>
              <w:rPr>
                <w:spacing w:val="0"/>
              </w:rPr>
              <w:t>40,405</w:t>
            </w:r>
          </w:p>
        </w:tc>
        <w:tc>
          <w:tcPr>
            <w:tcW w:w="62" w:type="dxa"/>
            <w:tcBorders/>
            <w:shd w:fill="CCEEFF" w:val="clear"/>
            <w:vAlign w:val="center"/>
          </w:tcPr>
          <w:p>
            <w:pPr>
              <w:pStyle w:val="TableContents"/>
              <w:bidi w:val="0"/>
              <w:spacing w:before="0" w:after="0"/>
              <w:jc w:val="left"/>
              <w:rPr>
                <w:spacing w:val="0"/>
              </w:rPr>
            </w:pPr>
            <w:r>
              <w:rPr>
                <w:spacing w:val="0"/>
              </w:rPr>
              <w:t> </w:t>
            </w:r>
          </w:p>
        </w:tc>
        <w:tc>
          <w:tcPr>
            <w:tcW w:w="125" w:type="dxa"/>
            <w:tcBorders/>
            <w:shd w:fill="CCEEFF" w:val="clear"/>
            <w:vAlign w:val="center"/>
          </w:tcPr>
          <w:p>
            <w:pPr>
              <w:pStyle w:val="TableContents"/>
              <w:bidi w:val="0"/>
              <w:spacing w:before="0" w:after="0"/>
              <w:jc w:val="left"/>
              <w:rPr>
                <w:spacing w:val="0"/>
              </w:rPr>
            </w:pPr>
            <w:r>
              <w:rPr>
                <w:spacing w:val="0"/>
              </w:rPr>
              <w:t>  </w:t>
            </w:r>
          </w:p>
        </w:tc>
        <w:tc>
          <w:tcPr>
            <w:tcW w:w="395" w:type="dxa"/>
            <w:tcBorders/>
            <w:shd w:fill="CCEEFF" w:val="clear"/>
            <w:vAlign w:val="center"/>
          </w:tcPr>
          <w:p>
            <w:pPr>
              <w:pStyle w:val="TableContents"/>
              <w:bidi w:val="0"/>
              <w:spacing w:before="0" w:after="0"/>
              <w:jc w:val="left"/>
              <w:rPr>
                <w:spacing w:val="0"/>
              </w:rPr>
            </w:pPr>
            <w:r>
              <w:rPr>
                <w:spacing w:val="0"/>
              </w:rPr>
              <w:t>$</w:t>
            </w:r>
          </w:p>
        </w:tc>
        <w:tc>
          <w:tcPr>
            <w:tcW w:w="735" w:type="dxa"/>
            <w:tcBorders/>
            <w:shd w:fill="CCEEFF" w:val="clear"/>
            <w:vAlign w:val="center"/>
          </w:tcPr>
          <w:p>
            <w:pPr>
              <w:pStyle w:val="TableContents"/>
              <w:bidi w:val="0"/>
              <w:spacing w:before="0" w:after="0"/>
              <w:jc w:val="right"/>
              <w:rPr>
                <w:spacing w:val="0"/>
              </w:rPr>
            </w:pPr>
            <w:r>
              <w:rPr>
                <w:spacing w:val="0"/>
              </w:rPr>
              <w:t> — </w:t>
            </w:r>
          </w:p>
        </w:tc>
        <w:tc>
          <w:tcPr>
            <w:tcW w:w="62" w:type="dxa"/>
            <w:tcBorders/>
            <w:shd w:fill="CCEEFF" w:val="clear"/>
            <w:vAlign w:val="center"/>
          </w:tcPr>
          <w:p>
            <w:pPr>
              <w:pStyle w:val="TableContents"/>
              <w:bidi w:val="0"/>
              <w:spacing w:before="0" w:after="0"/>
              <w:jc w:val="left"/>
              <w:rPr>
                <w:spacing w:val="0"/>
              </w:rPr>
            </w:pPr>
            <w:r>
              <w:rPr>
                <w:spacing w:val="0"/>
              </w:rPr>
              <w:t> </w:t>
            </w:r>
          </w:p>
        </w:tc>
        <w:tc>
          <w:tcPr>
            <w:tcW w:w="125" w:type="dxa"/>
            <w:tcBorders/>
            <w:shd w:fill="CCEEFF" w:val="clear"/>
            <w:vAlign w:val="center"/>
          </w:tcPr>
          <w:p>
            <w:pPr>
              <w:pStyle w:val="TableContents"/>
              <w:bidi w:val="0"/>
              <w:spacing w:before="0" w:after="0"/>
              <w:jc w:val="left"/>
              <w:rPr>
                <w:spacing w:val="0"/>
              </w:rPr>
            </w:pPr>
            <w:r>
              <w:rPr>
                <w:spacing w:val="0"/>
              </w:rPr>
              <w:t>  </w:t>
            </w:r>
          </w:p>
        </w:tc>
        <w:tc>
          <w:tcPr>
            <w:tcW w:w="395" w:type="dxa"/>
            <w:tcBorders/>
            <w:shd w:fill="CCEEFF" w:val="clear"/>
            <w:vAlign w:val="center"/>
          </w:tcPr>
          <w:p>
            <w:pPr>
              <w:pStyle w:val="TableContents"/>
              <w:bidi w:val="0"/>
              <w:spacing w:before="0" w:after="0"/>
              <w:jc w:val="left"/>
              <w:rPr>
                <w:spacing w:val="0"/>
              </w:rPr>
            </w:pPr>
            <w:r>
              <w:rPr>
                <w:spacing w:val="0"/>
              </w:rPr>
              <w:t>$</w:t>
            </w:r>
          </w:p>
        </w:tc>
        <w:tc>
          <w:tcPr>
            <w:tcW w:w="735" w:type="dxa"/>
            <w:tcBorders/>
            <w:shd w:fill="CCEEFF" w:val="clear"/>
            <w:vAlign w:val="center"/>
          </w:tcPr>
          <w:p>
            <w:pPr>
              <w:pStyle w:val="TableContents"/>
              <w:bidi w:val="0"/>
              <w:spacing w:before="0" w:after="0"/>
              <w:jc w:val="right"/>
              <w:rPr>
                <w:spacing w:val="0"/>
              </w:rPr>
            </w:pPr>
            <w:r>
              <w:rPr>
                <w:spacing w:val="0"/>
              </w:rPr>
              <w:t> — </w:t>
            </w:r>
          </w:p>
        </w:tc>
        <w:tc>
          <w:tcPr>
            <w:tcW w:w="62" w:type="dxa"/>
            <w:tcBorders/>
            <w:shd w:fill="CCEEFF" w:val="clear"/>
            <w:vAlign w:val="center"/>
          </w:tcPr>
          <w:p>
            <w:pPr>
              <w:pStyle w:val="TableContents"/>
              <w:bidi w:val="0"/>
              <w:spacing w:before="0" w:after="0"/>
              <w:jc w:val="left"/>
              <w:rPr>
                <w:spacing w:val="0"/>
              </w:rPr>
            </w:pPr>
            <w:r>
              <w:rPr>
                <w:spacing w:val="0"/>
              </w:rPr>
              <w:t> </w:t>
            </w:r>
          </w:p>
        </w:tc>
        <w:tc>
          <w:tcPr>
            <w:tcW w:w="125" w:type="dxa"/>
            <w:tcBorders/>
            <w:shd w:fill="CCEEFF" w:val="clear"/>
            <w:vAlign w:val="center"/>
          </w:tcPr>
          <w:p>
            <w:pPr>
              <w:pStyle w:val="TableContents"/>
              <w:bidi w:val="0"/>
              <w:spacing w:before="0" w:after="0"/>
              <w:jc w:val="left"/>
              <w:rPr>
                <w:spacing w:val="0"/>
              </w:rPr>
            </w:pPr>
            <w:r>
              <w:rPr>
                <w:spacing w:val="0"/>
              </w:rPr>
              <w:t>  </w:t>
            </w:r>
          </w:p>
        </w:tc>
        <w:tc>
          <w:tcPr>
            <w:tcW w:w="148" w:type="dxa"/>
            <w:tcBorders/>
            <w:shd w:fill="CCEEFF" w:val="clear"/>
            <w:vAlign w:val="center"/>
          </w:tcPr>
          <w:p>
            <w:pPr>
              <w:pStyle w:val="TableContents"/>
              <w:bidi w:val="0"/>
              <w:spacing w:before="0" w:after="0"/>
              <w:jc w:val="left"/>
              <w:rPr>
                <w:spacing w:val="0"/>
              </w:rPr>
            </w:pPr>
            <w:r>
              <w:rPr>
                <w:spacing w:val="0"/>
              </w:rPr>
              <w:t>$</w:t>
            </w:r>
          </w:p>
        </w:tc>
        <w:tc>
          <w:tcPr>
            <w:tcW w:w="647" w:type="dxa"/>
            <w:tcBorders/>
            <w:shd w:fill="CCEEFF" w:val="clear"/>
            <w:vAlign w:val="center"/>
          </w:tcPr>
          <w:p>
            <w:pPr>
              <w:pStyle w:val="TableContents"/>
              <w:bidi w:val="0"/>
              <w:spacing w:before="0" w:after="0"/>
              <w:jc w:val="right"/>
              <w:rPr>
                <w:spacing w:val="0"/>
              </w:rPr>
            </w:pPr>
            <w:r>
              <w:rPr>
                <w:spacing w:val="0"/>
              </w:rPr>
              <w:t> — </w:t>
            </w:r>
          </w:p>
        </w:tc>
        <w:tc>
          <w:tcPr>
            <w:tcW w:w="62" w:type="dxa"/>
            <w:tcBorders/>
            <w:shd w:fill="CCEEFF" w:val="clear"/>
            <w:vAlign w:val="center"/>
          </w:tcPr>
          <w:p>
            <w:pPr>
              <w:pStyle w:val="TableContents"/>
              <w:bidi w:val="0"/>
              <w:spacing w:before="0" w:after="0"/>
              <w:jc w:val="left"/>
              <w:rPr>
                <w:spacing w:val="0"/>
              </w:rPr>
            </w:pPr>
            <w:r>
              <w:rPr>
                <w:spacing w:val="0"/>
              </w:rPr>
              <w:t> </w:t>
            </w:r>
          </w:p>
        </w:tc>
        <w:tc>
          <w:tcPr>
            <w:tcW w:w="125" w:type="dxa"/>
            <w:tcBorders/>
            <w:shd w:fill="CCEEFF" w:val="clear"/>
            <w:vAlign w:val="center"/>
          </w:tcPr>
          <w:p>
            <w:pPr>
              <w:pStyle w:val="TableContents"/>
              <w:bidi w:val="0"/>
              <w:spacing w:before="0" w:after="0"/>
              <w:jc w:val="left"/>
              <w:rPr>
                <w:spacing w:val="0"/>
              </w:rPr>
            </w:pPr>
            <w:r>
              <w:rPr>
                <w:spacing w:val="0"/>
              </w:rPr>
              <w:t>  </w:t>
            </w:r>
          </w:p>
        </w:tc>
        <w:tc>
          <w:tcPr>
            <w:tcW w:w="147" w:type="dxa"/>
            <w:tcBorders/>
            <w:shd w:fill="CCEEFF" w:val="clear"/>
            <w:vAlign w:val="center"/>
          </w:tcPr>
          <w:p>
            <w:pPr>
              <w:pStyle w:val="TableContents"/>
              <w:bidi w:val="0"/>
              <w:spacing w:before="0" w:after="0"/>
              <w:jc w:val="left"/>
              <w:rPr>
                <w:spacing w:val="0"/>
              </w:rPr>
            </w:pPr>
            <w:r>
              <w:rPr>
                <w:spacing w:val="0"/>
              </w:rPr>
              <w:t>$</w:t>
            </w:r>
          </w:p>
        </w:tc>
        <w:tc>
          <w:tcPr>
            <w:tcW w:w="716" w:type="dxa"/>
            <w:tcBorders/>
            <w:shd w:fill="CCEEFF" w:val="clear"/>
            <w:vAlign w:val="center"/>
          </w:tcPr>
          <w:p>
            <w:pPr>
              <w:pStyle w:val="TableContents"/>
              <w:bidi w:val="0"/>
              <w:spacing w:before="0" w:after="0"/>
              <w:jc w:val="right"/>
              <w:rPr>
                <w:spacing w:val="0"/>
              </w:rPr>
            </w:pPr>
            <w:r>
              <w:rPr>
                <w:spacing w:val="0"/>
              </w:rPr>
              <w:t>40,405</w:t>
            </w:r>
          </w:p>
        </w:tc>
        <w:tc>
          <w:tcPr>
            <w:tcW w:w="83" w:type="dxa"/>
            <w:tcBorders/>
            <w:shd w:fill="CCEEFF" w:val="clear"/>
            <w:vAlign w:val="center"/>
          </w:tcPr>
          <w:p>
            <w:pPr>
              <w:pStyle w:val="TableContents"/>
              <w:bidi w:val="0"/>
              <w:spacing w:before="0" w:after="0"/>
              <w:jc w:val="left"/>
              <w:rPr>
                <w:spacing w:val="0"/>
              </w:rPr>
            </w:pPr>
            <w:r>
              <w:rPr>
                <w:spacing w:val="0"/>
              </w:rPr>
              <w:t> </w:t>
            </w:r>
          </w:p>
        </w:tc>
      </w:tr>
      <w:tr>
        <w:trPr/>
        <w:tc>
          <w:tcPr>
            <w:tcW w:w="423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U.S. Treasuries</w:t>
            </w:r>
          </w:p>
        </w:tc>
        <w:tc>
          <w:tcPr>
            <w:tcW w:w="120" w:type="dxa"/>
            <w:tcBorders/>
            <w:vAlign w:val="center"/>
          </w:tcPr>
          <w:p>
            <w:pPr>
              <w:pStyle w:val="TableContents"/>
              <w:bidi w:val="0"/>
              <w:spacing w:before="0" w:after="0"/>
              <w:jc w:val="left"/>
              <w:rPr>
                <w:spacing w:val="0"/>
              </w:rPr>
            </w:pPr>
            <w:r>
              <w:rPr>
                <w:spacing w:val="0"/>
              </w:rPr>
              <w:t>  </w:t>
            </w:r>
          </w:p>
        </w:tc>
        <w:tc>
          <w:tcPr>
            <w:tcW w:w="187" w:type="dxa"/>
            <w:tcBorders/>
            <w:vAlign w:val="center"/>
          </w:tcPr>
          <w:p>
            <w:pPr>
              <w:pStyle w:val="TableContents"/>
              <w:bidi w:val="0"/>
              <w:spacing w:before="0" w:after="0"/>
              <w:jc w:val="left"/>
              <w:rPr>
                <w:spacing w:val="0"/>
              </w:rPr>
            </w:pPr>
            <w:r>
              <w:rPr>
                <w:spacing w:val="0"/>
              </w:rPr>
              <w:t> </w:t>
            </w:r>
          </w:p>
        </w:tc>
        <w:tc>
          <w:tcPr>
            <w:tcW w:w="913" w:type="dxa"/>
            <w:tcBorders/>
            <w:vAlign w:val="center"/>
          </w:tcPr>
          <w:p>
            <w:pPr>
              <w:pStyle w:val="TableContents"/>
              <w:bidi w:val="0"/>
              <w:spacing w:before="0" w:after="0"/>
              <w:jc w:val="right"/>
              <w:rPr>
                <w:spacing w:val="0"/>
              </w:rPr>
            </w:pPr>
            <w:r>
              <w:rPr>
                <w:spacing w:val="0"/>
              </w:rPr>
              <w:t>40,058</w:t>
            </w:r>
          </w:p>
        </w:tc>
        <w:tc>
          <w:tcPr>
            <w:tcW w:w="62" w:type="dxa"/>
            <w:tcBorders/>
            <w:vAlign w:val="center"/>
          </w:tcPr>
          <w:p>
            <w:pPr>
              <w:pStyle w:val="TableContents"/>
              <w:bidi w:val="0"/>
              <w:spacing w:before="0" w:after="0"/>
              <w:jc w:val="left"/>
              <w:rPr>
                <w:spacing w:val="0"/>
              </w:rPr>
            </w:pPr>
            <w:r>
              <w:rPr>
                <w:spacing w:val="0"/>
              </w:rPr>
              <w:t> </w:t>
            </w:r>
          </w:p>
        </w:tc>
        <w:tc>
          <w:tcPr>
            <w:tcW w:w="125" w:type="dxa"/>
            <w:tcBorders/>
            <w:vAlign w:val="center"/>
          </w:tcPr>
          <w:p>
            <w:pPr>
              <w:pStyle w:val="TableContents"/>
              <w:bidi w:val="0"/>
              <w:spacing w:before="0" w:after="0"/>
              <w:jc w:val="left"/>
              <w:rPr>
                <w:spacing w:val="0"/>
              </w:rPr>
            </w:pPr>
            <w:r>
              <w:rPr>
                <w:spacing w:val="0"/>
              </w:rPr>
              <w:t>  </w:t>
            </w:r>
          </w:p>
        </w:tc>
        <w:tc>
          <w:tcPr>
            <w:tcW w:w="395" w:type="dxa"/>
            <w:tcBorders/>
            <w:vAlign w:val="center"/>
          </w:tcPr>
          <w:p>
            <w:pPr>
              <w:pStyle w:val="TableContents"/>
              <w:bidi w:val="0"/>
              <w:spacing w:before="0" w:after="0"/>
              <w:jc w:val="left"/>
              <w:rPr>
                <w:spacing w:val="0"/>
              </w:rPr>
            </w:pPr>
            <w:r>
              <w:rPr>
                <w:spacing w:val="0"/>
              </w:rPr>
              <w:t> </w:t>
            </w:r>
          </w:p>
        </w:tc>
        <w:tc>
          <w:tcPr>
            <w:tcW w:w="735" w:type="dxa"/>
            <w:tcBorders/>
            <w:vAlign w:val="center"/>
          </w:tcPr>
          <w:p>
            <w:pPr>
              <w:pStyle w:val="TableContents"/>
              <w:bidi w:val="0"/>
              <w:spacing w:before="0" w:after="0"/>
              <w:jc w:val="right"/>
              <w:rPr>
                <w:spacing w:val="0"/>
              </w:rPr>
            </w:pPr>
            <w:r>
              <w:rPr>
                <w:spacing w:val="0"/>
              </w:rPr>
              <w:t>23</w:t>
            </w:r>
          </w:p>
        </w:tc>
        <w:tc>
          <w:tcPr>
            <w:tcW w:w="62" w:type="dxa"/>
            <w:tcBorders/>
            <w:vAlign w:val="center"/>
          </w:tcPr>
          <w:p>
            <w:pPr>
              <w:pStyle w:val="TableContents"/>
              <w:bidi w:val="0"/>
              <w:spacing w:before="0" w:after="0"/>
              <w:jc w:val="left"/>
              <w:rPr>
                <w:spacing w:val="0"/>
              </w:rPr>
            </w:pPr>
            <w:r>
              <w:rPr>
                <w:spacing w:val="0"/>
              </w:rPr>
              <w:t> </w:t>
            </w:r>
          </w:p>
        </w:tc>
        <w:tc>
          <w:tcPr>
            <w:tcW w:w="125" w:type="dxa"/>
            <w:tcBorders/>
            <w:vAlign w:val="center"/>
          </w:tcPr>
          <w:p>
            <w:pPr>
              <w:pStyle w:val="TableContents"/>
              <w:bidi w:val="0"/>
              <w:spacing w:before="0" w:after="0"/>
              <w:jc w:val="left"/>
              <w:rPr>
                <w:spacing w:val="0"/>
              </w:rPr>
            </w:pPr>
            <w:r>
              <w:rPr>
                <w:spacing w:val="0"/>
              </w:rPr>
              <w:t>  </w:t>
            </w:r>
          </w:p>
        </w:tc>
        <w:tc>
          <w:tcPr>
            <w:tcW w:w="395" w:type="dxa"/>
            <w:tcBorders/>
            <w:vAlign w:val="center"/>
          </w:tcPr>
          <w:p>
            <w:pPr>
              <w:pStyle w:val="TableContents"/>
              <w:bidi w:val="0"/>
              <w:spacing w:before="0" w:after="0"/>
              <w:jc w:val="left"/>
              <w:rPr>
                <w:spacing w:val="0"/>
              </w:rPr>
            </w:pPr>
            <w:r>
              <w:rPr>
                <w:spacing w:val="0"/>
              </w:rPr>
              <w:t> </w:t>
            </w:r>
          </w:p>
        </w:tc>
        <w:tc>
          <w:tcPr>
            <w:tcW w:w="735" w:type="dxa"/>
            <w:tcBorders/>
            <w:vAlign w:val="center"/>
          </w:tcPr>
          <w:p>
            <w:pPr>
              <w:pStyle w:val="TableContents"/>
              <w:bidi w:val="0"/>
              <w:spacing w:before="0" w:after="0"/>
              <w:jc w:val="right"/>
              <w:rPr>
                <w:spacing w:val="0"/>
              </w:rPr>
            </w:pPr>
            <w:r>
              <w:rPr>
                <w:spacing w:val="0"/>
              </w:rPr>
              <w:t>— </w:t>
            </w:r>
          </w:p>
        </w:tc>
        <w:tc>
          <w:tcPr>
            <w:tcW w:w="62" w:type="dxa"/>
            <w:tcBorders/>
            <w:vAlign w:val="center"/>
          </w:tcPr>
          <w:p>
            <w:pPr>
              <w:pStyle w:val="TableContents"/>
              <w:bidi w:val="0"/>
              <w:spacing w:before="0" w:after="0"/>
              <w:jc w:val="left"/>
              <w:rPr>
                <w:spacing w:val="0"/>
              </w:rPr>
            </w:pPr>
            <w:r>
              <w:rPr>
                <w:spacing w:val="0"/>
              </w:rPr>
              <w:t> </w:t>
            </w:r>
          </w:p>
        </w:tc>
        <w:tc>
          <w:tcPr>
            <w:tcW w:w="125" w:type="dxa"/>
            <w:tcBorders/>
            <w:vAlign w:val="center"/>
          </w:tcPr>
          <w:p>
            <w:pPr>
              <w:pStyle w:val="TableContents"/>
              <w:bidi w:val="0"/>
              <w:spacing w:before="0" w:after="0"/>
              <w:jc w:val="left"/>
              <w:rPr>
                <w:spacing w:val="0"/>
              </w:rPr>
            </w:pPr>
            <w:r>
              <w:rPr>
                <w:spacing w:val="0"/>
              </w:rPr>
              <w:t>  </w:t>
            </w:r>
          </w:p>
        </w:tc>
        <w:tc>
          <w:tcPr>
            <w:tcW w:w="148" w:type="dxa"/>
            <w:tcBorders/>
            <w:vAlign w:val="center"/>
          </w:tcPr>
          <w:p>
            <w:pPr>
              <w:pStyle w:val="TableContents"/>
              <w:bidi w:val="0"/>
              <w:spacing w:before="0" w:after="0"/>
              <w:jc w:val="left"/>
              <w:rPr>
                <w:spacing w:val="0"/>
              </w:rPr>
            </w:pPr>
            <w:r>
              <w:rPr>
                <w:spacing w:val="0"/>
              </w:rPr>
              <w:t> </w:t>
            </w:r>
          </w:p>
        </w:tc>
        <w:tc>
          <w:tcPr>
            <w:tcW w:w="647" w:type="dxa"/>
            <w:tcBorders/>
            <w:vAlign w:val="center"/>
          </w:tcPr>
          <w:p>
            <w:pPr>
              <w:pStyle w:val="TableContents"/>
              <w:bidi w:val="0"/>
              <w:spacing w:before="0" w:after="0"/>
              <w:jc w:val="right"/>
              <w:rPr>
                <w:spacing w:val="0"/>
              </w:rPr>
            </w:pPr>
            <w:r>
              <w:rPr>
                <w:spacing w:val="0"/>
              </w:rPr>
              <w:t>— </w:t>
            </w:r>
          </w:p>
        </w:tc>
        <w:tc>
          <w:tcPr>
            <w:tcW w:w="62" w:type="dxa"/>
            <w:tcBorders/>
            <w:vAlign w:val="center"/>
          </w:tcPr>
          <w:p>
            <w:pPr>
              <w:pStyle w:val="TableContents"/>
              <w:bidi w:val="0"/>
              <w:spacing w:before="0" w:after="0"/>
              <w:jc w:val="left"/>
              <w:rPr>
                <w:spacing w:val="0"/>
              </w:rPr>
            </w:pPr>
            <w:r>
              <w:rPr>
                <w:spacing w:val="0"/>
              </w:rPr>
              <w:t> </w:t>
            </w:r>
          </w:p>
        </w:tc>
        <w:tc>
          <w:tcPr>
            <w:tcW w:w="125" w:type="dxa"/>
            <w:tcBorders/>
            <w:vAlign w:val="center"/>
          </w:tcPr>
          <w:p>
            <w:pPr>
              <w:pStyle w:val="TableContents"/>
              <w:bidi w:val="0"/>
              <w:spacing w:before="0" w:after="0"/>
              <w:jc w:val="left"/>
              <w:rPr>
                <w:spacing w:val="0"/>
              </w:rPr>
            </w:pPr>
            <w:r>
              <w:rPr>
                <w:spacing w:val="0"/>
              </w:rPr>
              <w:t>  </w:t>
            </w:r>
          </w:p>
        </w:tc>
        <w:tc>
          <w:tcPr>
            <w:tcW w:w="147" w:type="dxa"/>
            <w:tcBorders/>
            <w:vAlign w:val="center"/>
          </w:tcPr>
          <w:p>
            <w:pPr>
              <w:pStyle w:val="TableContents"/>
              <w:bidi w:val="0"/>
              <w:spacing w:before="0" w:after="0"/>
              <w:jc w:val="left"/>
              <w:rPr>
                <w:spacing w:val="0"/>
              </w:rPr>
            </w:pPr>
            <w:r>
              <w:rPr>
                <w:spacing w:val="0"/>
              </w:rPr>
              <w:t> </w:t>
            </w:r>
          </w:p>
        </w:tc>
        <w:tc>
          <w:tcPr>
            <w:tcW w:w="716" w:type="dxa"/>
            <w:tcBorders/>
            <w:vAlign w:val="center"/>
          </w:tcPr>
          <w:p>
            <w:pPr>
              <w:pStyle w:val="TableContents"/>
              <w:bidi w:val="0"/>
              <w:spacing w:before="0" w:after="0"/>
              <w:jc w:val="right"/>
              <w:rPr>
                <w:spacing w:val="0"/>
              </w:rPr>
            </w:pPr>
            <w:r>
              <w:rPr>
                <w:spacing w:val="0"/>
              </w:rPr>
              <w:t>40,081</w:t>
            </w:r>
          </w:p>
        </w:tc>
        <w:tc>
          <w:tcPr>
            <w:tcW w:w="83" w:type="dxa"/>
            <w:tcBorders/>
            <w:vAlign w:val="center"/>
          </w:tcPr>
          <w:p>
            <w:pPr>
              <w:pStyle w:val="TableContents"/>
              <w:bidi w:val="0"/>
              <w:spacing w:before="0" w:after="0"/>
              <w:jc w:val="left"/>
              <w:rPr>
                <w:spacing w:val="0"/>
              </w:rPr>
            </w:pPr>
            <w:r>
              <w:rPr>
                <w:spacing w:val="0"/>
              </w:rPr>
              <w:t> </w:t>
            </w:r>
          </w:p>
        </w:tc>
      </w:tr>
      <w:tr>
        <w:trPr/>
        <w:tc>
          <w:tcPr>
            <w:tcW w:w="423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2" w:type="dxa"/>
            <w:tcBorders/>
            <w:vAlign w:val="center"/>
          </w:tcPr>
          <w:p>
            <w:pPr>
              <w:pStyle w:val="TableContents"/>
              <w:bidi w:val="0"/>
              <w:spacing w:before="0" w:after="0"/>
              <w:jc w:val="left"/>
              <w:rPr>
                <w:spacing w:val="0"/>
              </w:rPr>
            </w:pPr>
            <w:r>
              <w:rPr>
                <w:spacing w:val="0"/>
              </w:rPr>
              <w:t> </w:t>
            </w:r>
          </w:p>
        </w:tc>
        <w:tc>
          <w:tcPr>
            <w:tcW w:w="125" w:type="dxa"/>
            <w:tcBorders/>
            <w:vAlign w:val="center"/>
          </w:tcPr>
          <w:p>
            <w:pPr>
              <w:pStyle w:val="TableContents"/>
              <w:bidi w:val="0"/>
              <w:spacing w:before="0" w:after="0"/>
              <w:jc w:val="left"/>
              <w:rPr>
                <w:spacing w:val="0"/>
              </w:rPr>
            </w:pPr>
            <w:r>
              <w:rPr>
                <w:spacing w:val="0"/>
              </w:rPr>
              <w:t>  </w:t>
            </w:r>
          </w:p>
        </w:tc>
        <w:tc>
          <w:tcPr>
            <w:tcW w:w="3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2" w:type="dxa"/>
            <w:tcBorders/>
            <w:vAlign w:val="center"/>
          </w:tcPr>
          <w:p>
            <w:pPr>
              <w:pStyle w:val="TableContents"/>
              <w:bidi w:val="0"/>
              <w:spacing w:before="0" w:after="0"/>
              <w:jc w:val="left"/>
              <w:rPr>
                <w:spacing w:val="0"/>
              </w:rPr>
            </w:pPr>
            <w:r>
              <w:rPr>
                <w:spacing w:val="0"/>
              </w:rPr>
              <w:t> </w:t>
            </w:r>
          </w:p>
        </w:tc>
        <w:tc>
          <w:tcPr>
            <w:tcW w:w="125" w:type="dxa"/>
            <w:tcBorders/>
            <w:vAlign w:val="center"/>
          </w:tcPr>
          <w:p>
            <w:pPr>
              <w:pStyle w:val="TableContents"/>
              <w:bidi w:val="0"/>
              <w:spacing w:before="0" w:after="0"/>
              <w:jc w:val="left"/>
              <w:rPr>
                <w:spacing w:val="0"/>
              </w:rPr>
            </w:pPr>
            <w:r>
              <w:rPr>
                <w:spacing w:val="0"/>
              </w:rPr>
              <w:t>  </w:t>
            </w:r>
          </w:p>
        </w:tc>
        <w:tc>
          <w:tcPr>
            <w:tcW w:w="3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2" w:type="dxa"/>
            <w:tcBorders/>
            <w:vAlign w:val="center"/>
          </w:tcPr>
          <w:p>
            <w:pPr>
              <w:pStyle w:val="TableContents"/>
              <w:bidi w:val="0"/>
              <w:spacing w:before="0" w:after="0"/>
              <w:jc w:val="left"/>
              <w:rPr>
                <w:spacing w:val="0"/>
              </w:rPr>
            </w:pPr>
            <w:r>
              <w:rPr>
                <w:spacing w:val="0"/>
              </w:rPr>
              <w:t> </w:t>
            </w:r>
          </w:p>
        </w:tc>
        <w:tc>
          <w:tcPr>
            <w:tcW w:w="125" w:type="dxa"/>
            <w:tcBorders/>
            <w:vAlign w:val="center"/>
          </w:tcPr>
          <w:p>
            <w:pPr>
              <w:pStyle w:val="TableContents"/>
              <w:bidi w:val="0"/>
              <w:spacing w:before="0" w:after="0"/>
              <w:jc w:val="left"/>
              <w:rPr>
                <w:spacing w:val="0"/>
              </w:rPr>
            </w:pPr>
            <w:r>
              <w:rPr>
                <w:spacing w:val="0"/>
              </w:rPr>
              <w:t>  </w:t>
            </w:r>
          </w:p>
        </w:tc>
        <w:tc>
          <w:tcPr>
            <w:tcW w:w="14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4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2" w:type="dxa"/>
            <w:tcBorders/>
            <w:vAlign w:val="center"/>
          </w:tcPr>
          <w:p>
            <w:pPr>
              <w:pStyle w:val="TableContents"/>
              <w:bidi w:val="0"/>
              <w:spacing w:before="0" w:after="0"/>
              <w:jc w:val="left"/>
              <w:rPr>
                <w:spacing w:val="0"/>
              </w:rPr>
            </w:pPr>
            <w:r>
              <w:rPr>
                <w:spacing w:val="0"/>
              </w:rPr>
              <w:t> </w:t>
            </w:r>
          </w:p>
        </w:tc>
        <w:tc>
          <w:tcPr>
            <w:tcW w:w="125" w:type="dxa"/>
            <w:tcBorders/>
            <w:vAlign w:val="center"/>
          </w:tcPr>
          <w:p>
            <w:pPr>
              <w:pStyle w:val="TableContents"/>
              <w:bidi w:val="0"/>
              <w:spacing w:before="0" w:after="0"/>
              <w:jc w:val="left"/>
              <w:rPr>
                <w:spacing w:val="0"/>
              </w:rPr>
            </w:pPr>
            <w:r>
              <w:rPr>
                <w:spacing w:val="0"/>
              </w:rPr>
              <w:t>  </w:t>
            </w:r>
          </w:p>
        </w:tc>
        <w:tc>
          <w:tcPr>
            <w:tcW w:w="14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1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3" w:type="dxa"/>
            <w:tcBorders/>
            <w:vAlign w:val="center"/>
          </w:tcPr>
          <w:p>
            <w:pPr>
              <w:pStyle w:val="TableContents"/>
              <w:bidi w:val="0"/>
              <w:spacing w:before="0" w:after="0"/>
              <w:jc w:val="left"/>
              <w:rPr>
                <w:spacing w:val="0"/>
              </w:rPr>
            </w:pPr>
            <w:r>
              <w:rPr>
                <w:spacing w:val="0"/>
              </w:rPr>
              <w:t> </w:t>
            </w:r>
          </w:p>
        </w:tc>
      </w:tr>
      <w:tr>
        <w:trPr/>
        <w:tc>
          <w:tcPr>
            <w:tcW w:w="4236"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cash, cash equivalents, and marketable securities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87" w:type="dxa"/>
            <w:tcBorders/>
            <w:shd w:fill="CCEEFF" w:val="clear"/>
            <w:vAlign w:val="center"/>
          </w:tcPr>
          <w:p>
            <w:pPr>
              <w:pStyle w:val="TableContents"/>
              <w:bidi w:val="0"/>
              <w:spacing w:before="0" w:after="0"/>
              <w:jc w:val="left"/>
              <w:rPr>
                <w:spacing w:val="0"/>
              </w:rPr>
            </w:pPr>
            <w:r>
              <w:rPr>
                <w:spacing w:val="0"/>
              </w:rPr>
              <w:t>$</w:t>
            </w:r>
          </w:p>
        </w:tc>
        <w:tc>
          <w:tcPr>
            <w:tcW w:w="913" w:type="dxa"/>
            <w:tcBorders/>
            <w:shd w:fill="CCEEFF" w:val="clear"/>
            <w:vAlign w:val="center"/>
          </w:tcPr>
          <w:p>
            <w:pPr>
              <w:pStyle w:val="TableContents"/>
              <w:bidi w:val="0"/>
              <w:spacing w:before="0" w:after="0"/>
              <w:jc w:val="right"/>
              <w:rPr>
                <w:spacing w:val="0"/>
              </w:rPr>
            </w:pPr>
            <w:r>
              <w:rPr>
                <w:spacing w:val="0"/>
              </w:rPr>
              <w:t>80,463</w:t>
            </w:r>
          </w:p>
        </w:tc>
        <w:tc>
          <w:tcPr>
            <w:tcW w:w="62" w:type="dxa"/>
            <w:tcBorders/>
            <w:shd w:fill="CCEEFF" w:val="clear"/>
            <w:vAlign w:val="center"/>
          </w:tcPr>
          <w:p>
            <w:pPr>
              <w:pStyle w:val="TableContents"/>
              <w:bidi w:val="0"/>
              <w:spacing w:before="0" w:after="0"/>
              <w:jc w:val="left"/>
              <w:rPr>
                <w:spacing w:val="0"/>
              </w:rPr>
            </w:pPr>
            <w:r>
              <w:rPr>
                <w:spacing w:val="0"/>
              </w:rPr>
              <w:t> </w:t>
            </w:r>
          </w:p>
        </w:tc>
        <w:tc>
          <w:tcPr>
            <w:tcW w:w="125" w:type="dxa"/>
            <w:tcBorders/>
            <w:shd w:fill="CCEEFF" w:val="clear"/>
            <w:vAlign w:val="center"/>
          </w:tcPr>
          <w:p>
            <w:pPr>
              <w:pStyle w:val="TableContents"/>
              <w:bidi w:val="0"/>
              <w:spacing w:before="0" w:after="0"/>
              <w:jc w:val="left"/>
              <w:rPr>
                <w:spacing w:val="0"/>
              </w:rPr>
            </w:pPr>
            <w:r>
              <w:rPr>
                <w:spacing w:val="0"/>
              </w:rPr>
              <w:t>  </w:t>
            </w:r>
          </w:p>
        </w:tc>
        <w:tc>
          <w:tcPr>
            <w:tcW w:w="395" w:type="dxa"/>
            <w:tcBorders/>
            <w:shd w:fill="CCEEFF" w:val="clear"/>
            <w:vAlign w:val="center"/>
          </w:tcPr>
          <w:p>
            <w:pPr>
              <w:pStyle w:val="TableContents"/>
              <w:bidi w:val="0"/>
              <w:spacing w:before="0" w:after="0"/>
              <w:jc w:val="left"/>
              <w:rPr>
                <w:spacing w:val="0"/>
              </w:rPr>
            </w:pPr>
            <w:r>
              <w:rPr>
                <w:spacing w:val="0"/>
              </w:rPr>
              <w:t>$</w:t>
            </w:r>
          </w:p>
        </w:tc>
        <w:tc>
          <w:tcPr>
            <w:tcW w:w="735" w:type="dxa"/>
            <w:tcBorders/>
            <w:shd w:fill="CCEEFF" w:val="clear"/>
            <w:vAlign w:val="center"/>
          </w:tcPr>
          <w:p>
            <w:pPr>
              <w:pStyle w:val="TableContents"/>
              <w:bidi w:val="0"/>
              <w:spacing w:before="0" w:after="0"/>
              <w:jc w:val="right"/>
              <w:rPr>
                <w:spacing w:val="0"/>
              </w:rPr>
            </w:pPr>
            <w:r>
              <w:rPr>
                <w:spacing w:val="0"/>
              </w:rPr>
              <w:t>23</w:t>
            </w:r>
          </w:p>
        </w:tc>
        <w:tc>
          <w:tcPr>
            <w:tcW w:w="62" w:type="dxa"/>
            <w:tcBorders/>
            <w:shd w:fill="CCEEFF" w:val="clear"/>
            <w:vAlign w:val="center"/>
          </w:tcPr>
          <w:p>
            <w:pPr>
              <w:pStyle w:val="TableContents"/>
              <w:bidi w:val="0"/>
              <w:spacing w:before="0" w:after="0"/>
              <w:jc w:val="left"/>
              <w:rPr>
                <w:spacing w:val="0"/>
              </w:rPr>
            </w:pPr>
            <w:r>
              <w:rPr>
                <w:spacing w:val="0"/>
              </w:rPr>
              <w:t> </w:t>
            </w:r>
          </w:p>
        </w:tc>
        <w:tc>
          <w:tcPr>
            <w:tcW w:w="125" w:type="dxa"/>
            <w:tcBorders/>
            <w:shd w:fill="CCEEFF" w:val="clear"/>
            <w:vAlign w:val="center"/>
          </w:tcPr>
          <w:p>
            <w:pPr>
              <w:pStyle w:val="TableContents"/>
              <w:bidi w:val="0"/>
              <w:spacing w:before="0" w:after="0"/>
              <w:jc w:val="left"/>
              <w:rPr>
                <w:spacing w:val="0"/>
              </w:rPr>
            </w:pPr>
            <w:r>
              <w:rPr>
                <w:spacing w:val="0"/>
              </w:rPr>
              <w:t>  </w:t>
            </w:r>
          </w:p>
        </w:tc>
        <w:tc>
          <w:tcPr>
            <w:tcW w:w="395" w:type="dxa"/>
            <w:tcBorders/>
            <w:shd w:fill="CCEEFF" w:val="clear"/>
            <w:vAlign w:val="center"/>
          </w:tcPr>
          <w:p>
            <w:pPr>
              <w:pStyle w:val="TableContents"/>
              <w:bidi w:val="0"/>
              <w:spacing w:before="0" w:after="0"/>
              <w:jc w:val="left"/>
              <w:rPr>
                <w:spacing w:val="0"/>
              </w:rPr>
            </w:pPr>
            <w:r>
              <w:rPr>
                <w:spacing w:val="0"/>
              </w:rPr>
              <w:t>$</w:t>
            </w:r>
          </w:p>
        </w:tc>
        <w:tc>
          <w:tcPr>
            <w:tcW w:w="735" w:type="dxa"/>
            <w:tcBorders/>
            <w:shd w:fill="CCEEFF" w:val="clear"/>
            <w:vAlign w:val="center"/>
          </w:tcPr>
          <w:p>
            <w:pPr>
              <w:pStyle w:val="TableContents"/>
              <w:bidi w:val="0"/>
              <w:spacing w:before="0" w:after="0"/>
              <w:jc w:val="right"/>
              <w:rPr>
                <w:spacing w:val="0"/>
              </w:rPr>
            </w:pPr>
            <w:r>
              <w:rPr>
                <w:spacing w:val="0"/>
              </w:rPr>
              <w:t>— </w:t>
            </w:r>
          </w:p>
        </w:tc>
        <w:tc>
          <w:tcPr>
            <w:tcW w:w="62" w:type="dxa"/>
            <w:tcBorders/>
            <w:shd w:fill="CCEEFF" w:val="clear"/>
            <w:vAlign w:val="center"/>
          </w:tcPr>
          <w:p>
            <w:pPr>
              <w:pStyle w:val="TableContents"/>
              <w:bidi w:val="0"/>
              <w:spacing w:before="0" w:after="0"/>
              <w:jc w:val="left"/>
              <w:rPr>
                <w:spacing w:val="0"/>
              </w:rPr>
            </w:pPr>
            <w:r>
              <w:rPr>
                <w:spacing w:val="0"/>
              </w:rPr>
              <w:t> </w:t>
            </w:r>
          </w:p>
        </w:tc>
        <w:tc>
          <w:tcPr>
            <w:tcW w:w="125" w:type="dxa"/>
            <w:tcBorders/>
            <w:shd w:fill="CCEEFF" w:val="clear"/>
            <w:vAlign w:val="center"/>
          </w:tcPr>
          <w:p>
            <w:pPr>
              <w:pStyle w:val="TableContents"/>
              <w:bidi w:val="0"/>
              <w:spacing w:before="0" w:after="0"/>
              <w:jc w:val="left"/>
              <w:rPr>
                <w:spacing w:val="0"/>
              </w:rPr>
            </w:pPr>
            <w:r>
              <w:rPr>
                <w:spacing w:val="0"/>
              </w:rPr>
              <w:t>  </w:t>
            </w:r>
          </w:p>
        </w:tc>
        <w:tc>
          <w:tcPr>
            <w:tcW w:w="148" w:type="dxa"/>
            <w:tcBorders/>
            <w:shd w:fill="CCEEFF" w:val="clear"/>
            <w:vAlign w:val="center"/>
          </w:tcPr>
          <w:p>
            <w:pPr>
              <w:pStyle w:val="TableContents"/>
              <w:bidi w:val="0"/>
              <w:spacing w:before="0" w:after="0"/>
              <w:jc w:val="left"/>
              <w:rPr>
                <w:spacing w:val="0"/>
              </w:rPr>
            </w:pPr>
            <w:r>
              <w:rPr>
                <w:spacing w:val="0"/>
              </w:rPr>
              <w:t>$</w:t>
            </w:r>
          </w:p>
        </w:tc>
        <w:tc>
          <w:tcPr>
            <w:tcW w:w="647" w:type="dxa"/>
            <w:tcBorders/>
            <w:shd w:fill="CCEEFF" w:val="clear"/>
            <w:vAlign w:val="center"/>
          </w:tcPr>
          <w:p>
            <w:pPr>
              <w:pStyle w:val="TableContents"/>
              <w:bidi w:val="0"/>
              <w:spacing w:before="0" w:after="0"/>
              <w:jc w:val="right"/>
              <w:rPr>
                <w:spacing w:val="0"/>
              </w:rPr>
            </w:pPr>
            <w:r>
              <w:rPr>
                <w:spacing w:val="0"/>
              </w:rPr>
              <w:t>— </w:t>
            </w:r>
          </w:p>
        </w:tc>
        <w:tc>
          <w:tcPr>
            <w:tcW w:w="62" w:type="dxa"/>
            <w:tcBorders/>
            <w:shd w:fill="CCEEFF" w:val="clear"/>
            <w:vAlign w:val="center"/>
          </w:tcPr>
          <w:p>
            <w:pPr>
              <w:pStyle w:val="TableContents"/>
              <w:bidi w:val="0"/>
              <w:spacing w:before="0" w:after="0"/>
              <w:jc w:val="left"/>
              <w:rPr>
                <w:spacing w:val="0"/>
              </w:rPr>
            </w:pPr>
            <w:r>
              <w:rPr>
                <w:spacing w:val="0"/>
              </w:rPr>
              <w:t> </w:t>
            </w:r>
          </w:p>
        </w:tc>
        <w:tc>
          <w:tcPr>
            <w:tcW w:w="125" w:type="dxa"/>
            <w:tcBorders/>
            <w:shd w:fill="CCEEFF" w:val="clear"/>
            <w:vAlign w:val="center"/>
          </w:tcPr>
          <w:p>
            <w:pPr>
              <w:pStyle w:val="TableContents"/>
              <w:bidi w:val="0"/>
              <w:spacing w:before="0" w:after="0"/>
              <w:jc w:val="left"/>
              <w:rPr>
                <w:spacing w:val="0"/>
              </w:rPr>
            </w:pPr>
            <w:r>
              <w:rPr>
                <w:spacing w:val="0"/>
              </w:rPr>
              <w:t>  </w:t>
            </w:r>
          </w:p>
        </w:tc>
        <w:tc>
          <w:tcPr>
            <w:tcW w:w="147" w:type="dxa"/>
            <w:tcBorders/>
            <w:shd w:fill="CCEEFF" w:val="clear"/>
            <w:vAlign w:val="center"/>
          </w:tcPr>
          <w:p>
            <w:pPr>
              <w:pStyle w:val="TableContents"/>
              <w:bidi w:val="0"/>
              <w:spacing w:before="0" w:after="0"/>
              <w:jc w:val="left"/>
              <w:rPr>
                <w:spacing w:val="0"/>
              </w:rPr>
            </w:pPr>
            <w:r>
              <w:rPr>
                <w:spacing w:val="0"/>
              </w:rPr>
              <w:t>$</w:t>
            </w:r>
          </w:p>
        </w:tc>
        <w:tc>
          <w:tcPr>
            <w:tcW w:w="716" w:type="dxa"/>
            <w:tcBorders/>
            <w:shd w:fill="CCEEFF" w:val="clear"/>
            <w:vAlign w:val="center"/>
          </w:tcPr>
          <w:p>
            <w:pPr>
              <w:pStyle w:val="TableContents"/>
              <w:bidi w:val="0"/>
              <w:spacing w:before="0" w:after="0"/>
              <w:jc w:val="right"/>
              <w:rPr>
                <w:spacing w:val="0"/>
              </w:rPr>
            </w:pPr>
            <w:r>
              <w:rPr>
                <w:spacing w:val="0"/>
              </w:rPr>
              <w:t>80,486</w:t>
            </w:r>
          </w:p>
        </w:tc>
        <w:tc>
          <w:tcPr>
            <w:tcW w:w="83" w:type="dxa"/>
            <w:tcBorders/>
            <w:shd w:fill="CCEEFF" w:val="clear"/>
            <w:vAlign w:val="center"/>
          </w:tcPr>
          <w:p>
            <w:pPr>
              <w:pStyle w:val="TableContents"/>
              <w:bidi w:val="0"/>
              <w:spacing w:before="0" w:after="0"/>
              <w:jc w:val="left"/>
              <w:rPr>
                <w:spacing w:val="0"/>
              </w:rPr>
            </w:pPr>
            <w:r>
              <w:rPr>
                <w:spacing w:val="0"/>
              </w:rPr>
              <w:t> </w:t>
            </w:r>
          </w:p>
        </w:tc>
      </w:tr>
      <w:tr>
        <w:trPr/>
        <w:tc>
          <w:tcPr>
            <w:tcW w:w="423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8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1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2" w:type="dxa"/>
            <w:tcBorders/>
            <w:vAlign w:val="center"/>
          </w:tcPr>
          <w:p>
            <w:pPr>
              <w:pStyle w:val="TableContents"/>
              <w:bidi w:val="0"/>
              <w:spacing w:before="0" w:after="0"/>
              <w:jc w:val="left"/>
              <w:rPr>
                <w:spacing w:val="0"/>
              </w:rPr>
            </w:pPr>
            <w:r>
              <w:rPr>
                <w:spacing w:val="0"/>
              </w:rPr>
              <w:t> </w:t>
            </w:r>
          </w:p>
        </w:tc>
        <w:tc>
          <w:tcPr>
            <w:tcW w:w="125" w:type="dxa"/>
            <w:tcBorders/>
            <w:vAlign w:val="center"/>
          </w:tcPr>
          <w:p>
            <w:pPr>
              <w:pStyle w:val="TableContents"/>
              <w:bidi w:val="0"/>
              <w:spacing w:before="0" w:after="0"/>
              <w:jc w:val="left"/>
              <w:rPr>
                <w:spacing w:val="0"/>
              </w:rPr>
            </w:pPr>
            <w:r>
              <w:rPr>
                <w:spacing w:val="0"/>
              </w:rPr>
              <w:t>  </w:t>
            </w:r>
          </w:p>
        </w:tc>
        <w:tc>
          <w:tcPr>
            <w:tcW w:w="3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3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2" w:type="dxa"/>
            <w:tcBorders/>
            <w:vAlign w:val="center"/>
          </w:tcPr>
          <w:p>
            <w:pPr>
              <w:pStyle w:val="TableContents"/>
              <w:bidi w:val="0"/>
              <w:spacing w:before="0" w:after="0"/>
              <w:jc w:val="left"/>
              <w:rPr>
                <w:spacing w:val="0"/>
              </w:rPr>
            </w:pPr>
            <w:r>
              <w:rPr>
                <w:spacing w:val="0"/>
              </w:rPr>
              <w:t> </w:t>
            </w:r>
          </w:p>
        </w:tc>
        <w:tc>
          <w:tcPr>
            <w:tcW w:w="125" w:type="dxa"/>
            <w:tcBorders/>
            <w:vAlign w:val="center"/>
          </w:tcPr>
          <w:p>
            <w:pPr>
              <w:pStyle w:val="TableContents"/>
              <w:bidi w:val="0"/>
              <w:spacing w:before="0" w:after="0"/>
              <w:jc w:val="left"/>
              <w:rPr>
                <w:spacing w:val="0"/>
              </w:rPr>
            </w:pPr>
            <w:r>
              <w:rPr>
                <w:spacing w:val="0"/>
              </w:rPr>
              <w:t>  </w:t>
            </w:r>
          </w:p>
        </w:tc>
        <w:tc>
          <w:tcPr>
            <w:tcW w:w="3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3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2" w:type="dxa"/>
            <w:tcBorders/>
            <w:vAlign w:val="center"/>
          </w:tcPr>
          <w:p>
            <w:pPr>
              <w:pStyle w:val="TableContents"/>
              <w:bidi w:val="0"/>
              <w:spacing w:before="0" w:after="0"/>
              <w:jc w:val="left"/>
              <w:rPr>
                <w:spacing w:val="0"/>
              </w:rPr>
            </w:pPr>
            <w:r>
              <w:rPr>
                <w:spacing w:val="0"/>
              </w:rPr>
              <w:t> </w:t>
            </w:r>
          </w:p>
        </w:tc>
        <w:tc>
          <w:tcPr>
            <w:tcW w:w="125" w:type="dxa"/>
            <w:tcBorders/>
            <w:vAlign w:val="center"/>
          </w:tcPr>
          <w:p>
            <w:pPr>
              <w:pStyle w:val="TableContents"/>
              <w:bidi w:val="0"/>
              <w:spacing w:before="0" w:after="0"/>
              <w:jc w:val="left"/>
              <w:rPr>
                <w:spacing w:val="0"/>
              </w:rPr>
            </w:pPr>
            <w:r>
              <w:rPr>
                <w:spacing w:val="0"/>
              </w:rPr>
              <w:t>  </w:t>
            </w:r>
          </w:p>
        </w:tc>
        <w:tc>
          <w:tcPr>
            <w:tcW w:w="14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4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2" w:type="dxa"/>
            <w:tcBorders/>
            <w:vAlign w:val="center"/>
          </w:tcPr>
          <w:p>
            <w:pPr>
              <w:pStyle w:val="TableContents"/>
              <w:bidi w:val="0"/>
              <w:spacing w:before="0" w:after="0"/>
              <w:jc w:val="left"/>
              <w:rPr>
                <w:spacing w:val="0"/>
              </w:rPr>
            </w:pPr>
            <w:r>
              <w:rPr>
                <w:spacing w:val="0"/>
              </w:rPr>
              <w:t> </w:t>
            </w:r>
          </w:p>
        </w:tc>
        <w:tc>
          <w:tcPr>
            <w:tcW w:w="125" w:type="dxa"/>
            <w:tcBorders/>
            <w:vAlign w:val="center"/>
          </w:tcPr>
          <w:p>
            <w:pPr>
              <w:pStyle w:val="TableContents"/>
              <w:bidi w:val="0"/>
              <w:spacing w:before="0" w:after="0"/>
              <w:jc w:val="left"/>
              <w:rPr>
                <w:spacing w:val="0"/>
              </w:rPr>
            </w:pPr>
            <w:r>
              <w:rPr>
                <w:spacing w:val="0"/>
              </w:rPr>
              <w:t>  </w:t>
            </w:r>
          </w:p>
        </w:tc>
        <w:tc>
          <w:tcPr>
            <w:tcW w:w="14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1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3" w:type="dxa"/>
            <w:tcBorders/>
            <w:vAlign w:val="center"/>
          </w:tcPr>
          <w:p>
            <w:pPr>
              <w:pStyle w:val="TableContents"/>
              <w:bidi w:val="0"/>
              <w:spacing w:before="0" w:after="0"/>
              <w:jc w:val="left"/>
              <w:rPr>
                <w:spacing w:val="0"/>
              </w:rPr>
            </w:pPr>
            <w:r>
              <w:rPr>
                <w:spacing w:val="0"/>
              </w:rPr>
              <w:t> </w:t>
            </w:r>
          </w:p>
        </w:tc>
      </w:tr>
      <w:tr>
        <w:trPr/>
        <w:tc>
          <w:tcPr>
            <w:tcW w:w="423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As reported:</w:t>
            </w:r>
          </w:p>
        </w:tc>
        <w:tc>
          <w:tcPr>
            <w:tcW w:w="120" w:type="dxa"/>
            <w:tcBorders/>
            <w:vAlign w:val="center"/>
          </w:tcPr>
          <w:p>
            <w:pPr>
              <w:pStyle w:val="TableContents"/>
              <w:bidi w:val="0"/>
              <w:spacing w:before="0" w:after="0"/>
              <w:jc w:val="left"/>
              <w:rPr>
                <w:spacing w:val="0"/>
              </w:rPr>
            </w:pPr>
            <w:r>
              <w:rPr>
                <w:spacing w:val="0"/>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jc w:val="left"/>
              <w:rPr>
                <w:spacing w:val="0"/>
              </w:rPr>
            </w:pPr>
            <w:r>
              <w:rPr>
                <w:spacing w:val="0"/>
              </w:rPr>
              <w:t>  </w:t>
            </w:r>
          </w:p>
        </w:tc>
        <w:tc>
          <w:tcPr>
            <w:tcW w:w="395"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jc w:val="left"/>
              <w:rPr>
                <w:spacing w:val="0"/>
              </w:rPr>
            </w:pPr>
            <w:r>
              <w:rPr>
                <w:spacing w:val="0"/>
              </w:rPr>
              <w:t>  </w:t>
            </w:r>
          </w:p>
        </w:tc>
        <w:tc>
          <w:tcPr>
            <w:tcW w:w="395"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jc w:val="left"/>
              <w:rPr>
                <w:spacing w:val="0"/>
              </w:rPr>
            </w:pPr>
            <w:r>
              <w:rPr>
                <w:spacing w:val="0"/>
              </w:rPr>
              <w:t>  </w:t>
            </w:r>
          </w:p>
        </w:tc>
        <w:tc>
          <w:tcPr>
            <w:tcW w:w="148" w:type="dxa"/>
            <w:tcBorders/>
            <w:vAlign w:val="center"/>
          </w:tcPr>
          <w:p>
            <w:pPr>
              <w:pStyle w:val="TableContents"/>
              <w:bidi w:val="0"/>
              <w:spacing w:before="0" w:after="283"/>
              <w:jc w:val="left"/>
              <w:rPr/>
            </w:pPr>
            <w:r>
              <w:rPr/>
              <w:t> </w:t>
            </w:r>
          </w:p>
        </w:tc>
        <w:tc>
          <w:tcPr>
            <w:tcW w:w="647"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jc w:val="left"/>
              <w:rPr>
                <w:spacing w:val="0"/>
              </w:rPr>
            </w:pPr>
            <w:r>
              <w:rPr>
                <w:spacing w:val="0"/>
              </w:rPr>
              <w:t>  </w:t>
            </w:r>
          </w:p>
        </w:tc>
        <w:tc>
          <w:tcPr>
            <w:tcW w:w="147" w:type="dxa"/>
            <w:tcBorders/>
            <w:vAlign w:val="center"/>
          </w:tcPr>
          <w:p>
            <w:pPr>
              <w:pStyle w:val="TableContents"/>
              <w:bidi w:val="0"/>
              <w:spacing w:before="0" w:after="283"/>
              <w:jc w:val="left"/>
              <w:rPr/>
            </w:pPr>
            <w:r>
              <w:rPr/>
              <w:t> </w:t>
            </w:r>
          </w:p>
        </w:tc>
        <w:tc>
          <w:tcPr>
            <w:tcW w:w="71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r>
      <w:tr>
        <w:trPr/>
        <w:tc>
          <w:tcPr>
            <w:tcW w:w="4236"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87" w:type="dxa"/>
            <w:tcBorders/>
            <w:shd w:fill="CCEEFF" w:val="clear"/>
            <w:vAlign w:val="center"/>
          </w:tcPr>
          <w:p>
            <w:pPr>
              <w:pStyle w:val="TableContents"/>
              <w:bidi w:val="0"/>
              <w:spacing w:before="0" w:after="0"/>
              <w:jc w:val="left"/>
              <w:rPr>
                <w:spacing w:val="0"/>
              </w:rPr>
            </w:pPr>
            <w:r>
              <w:rPr>
                <w:spacing w:val="0"/>
              </w:rPr>
              <w:t>$</w:t>
            </w:r>
          </w:p>
        </w:tc>
        <w:tc>
          <w:tcPr>
            <w:tcW w:w="913" w:type="dxa"/>
            <w:tcBorders/>
            <w:shd w:fill="CCEEFF" w:val="clear"/>
            <w:vAlign w:val="center"/>
          </w:tcPr>
          <w:p>
            <w:pPr>
              <w:pStyle w:val="TableContents"/>
              <w:bidi w:val="0"/>
              <w:spacing w:before="0" w:after="0"/>
              <w:jc w:val="right"/>
              <w:rPr>
                <w:spacing w:val="0"/>
              </w:rPr>
            </w:pPr>
            <w:r>
              <w:rPr>
                <w:spacing w:val="0"/>
              </w:rPr>
              <w:t>40,405</w:t>
            </w:r>
          </w:p>
        </w:tc>
        <w:tc>
          <w:tcPr>
            <w:tcW w:w="62" w:type="dxa"/>
            <w:tcBorders/>
            <w:shd w:fill="CCEEFF" w:val="clear"/>
            <w:vAlign w:val="center"/>
          </w:tcPr>
          <w:p>
            <w:pPr>
              <w:pStyle w:val="TableContents"/>
              <w:bidi w:val="0"/>
              <w:spacing w:before="0" w:after="0"/>
              <w:jc w:val="left"/>
              <w:rPr>
                <w:spacing w:val="0"/>
              </w:rPr>
            </w:pPr>
            <w:r>
              <w:rPr>
                <w:spacing w:val="0"/>
              </w:rPr>
              <w:t> </w:t>
            </w:r>
          </w:p>
        </w:tc>
        <w:tc>
          <w:tcPr>
            <w:tcW w:w="125" w:type="dxa"/>
            <w:tcBorders/>
            <w:shd w:fill="CCEEFF" w:val="clear"/>
            <w:vAlign w:val="center"/>
          </w:tcPr>
          <w:p>
            <w:pPr>
              <w:pStyle w:val="TableContents"/>
              <w:bidi w:val="0"/>
              <w:spacing w:before="0" w:after="0"/>
              <w:jc w:val="left"/>
              <w:rPr>
                <w:spacing w:val="0"/>
              </w:rPr>
            </w:pPr>
            <w:r>
              <w:rPr>
                <w:spacing w:val="0"/>
              </w:rPr>
              <w:t>  </w:t>
            </w:r>
          </w:p>
        </w:tc>
        <w:tc>
          <w:tcPr>
            <w:tcW w:w="395" w:type="dxa"/>
            <w:tcBorders/>
            <w:shd w:fill="CCEEFF" w:val="clear"/>
            <w:vAlign w:val="center"/>
          </w:tcPr>
          <w:p>
            <w:pPr>
              <w:pStyle w:val="TableContents"/>
              <w:bidi w:val="0"/>
              <w:spacing w:before="0" w:after="0"/>
              <w:jc w:val="left"/>
              <w:rPr>
                <w:spacing w:val="0"/>
              </w:rPr>
            </w:pPr>
            <w:r>
              <w:rPr>
                <w:spacing w:val="0"/>
              </w:rPr>
              <w:t>$</w:t>
            </w:r>
          </w:p>
        </w:tc>
        <w:tc>
          <w:tcPr>
            <w:tcW w:w="735" w:type="dxa"/>
            <w:tcBorders/>
            <w:shd w:fill="CCEEFF" w:val="clear"/>
            <w:vAlign w:val="center"/>
          </w:tcPr>
          <w:p>
            <w:pPr>
              <w:pStyle w:val="TableContents"/>
              <w:bidi w:val="0"/>
              <w:spacing w:before="0" w:after="0"/>
              <w:jc w:val="right"/>
              <w:rPr>
                <w:spacing w:val="0"/>
              </w:rPr>
            </w:pPr>
            <w:r>
              <w:rPr>
                <w:spacing w:val="0"/>
              </w:rPr>
              <w:t>— </w:t>
            </w:r>
          </w:p>
        </w:tc>
        <w:tc>
          <w:tcPr>
            <w:tcW w:w="62" w:type="dxa"/>
            <w:tcBorders/>
            <w:shd w:fill="CCEEFF" w:val="clear"/>
            <w:vAlign w:val="center"/>
          </w:tcPr>
          <w:p>
            <w:pPr>
              <w:pStyle w:val="TableContents"/>
              <w:bidi w:val="0"/>
              <w:spacing w:before="0" w:after="0"/>
              <w:jc w:val="left"/>
              <w:rPr>
                <w:spacing w:val="0"/>
              </w:rPr>
            </w:pPr>
            <w:r>
              <w:rPr>
                <w:spacing w:val="0"/>
              </w:rPr>
              <w:t> </w:t>
            </w:r>
          </w:p>
        </w:tc>
        <w:tc>
          <w:tcPr>
            <w:tcW w:w="125" w:type="dxa"/>
            <w:tcBorders/>
            <w:shd w:fill="CCEEFF" w:val="clear"/>
            <w:vAlign w:val="center"/>
          </w:tcPr>
          <w:p>
            <w:pPr>
              <w:pStyle w:val="TableContents"/>
              <w:bidi w:val="0"/>
              <w:spacing w:before="0" w:after="0"/>
              <w:jc w:val="left"/>
              <w:rPr>
                <w:spacing w:val="0"/>
              </w:rPr>
            </w:pPr>
            <w:r>
              <w:rPr>
                <w:spacing w:val="0"/>
              </w:rPr>
              <w:t>  </w:t>
            </w:r>
          </w:p>
        </w:tc>
        <w:tc>
          <w:tcPr>
            <w:tcW w:w="395" w:type="dxa"/>
            <w:tcBorders/>
            <w:shd w:fill="CCEEFF" w:val="clear"/>
            <w:vAlign w:val="center"/>
          </w:tcPr>
          <w:p>
            <w:pPr>
              <w:pStyle w:val="TableContents"/>
              <w:bidi w:val="0"/>
              <w:spacing w:before="0" w:after="0"/>
              <w:jc w:val="left"/>
              <w:rPr>
                <w:spacing w:val="0"/>
              </w:rPr>
            </w:pPr>
            <w:r>
              <w:rPr>
                <w:spacing w:val="0"/>
              </w:rPr>
              <w:t>$</w:t>
            </w:r>
          </w:p>
        </w:tc>
        <w:tc>
          <w:tcPr>
            <w:tcW w:w="735" w:type="dxa"/>
            <w:tcBorders/>
            <w:shd w:fill="CCEEFF" w:val="clear"/>
            <w:vAlign w:val="center"/>
          </w:tcPr>
          <w:p>
            <w:pPr>
              <w:pStyle w:val="TableContents"/>
              <w:bidi w:val="0"/>
              <w:spacing w:before="0" w:after="0"/>
              <w:jc w:val="right"/>
              <w:rPr>
                <w:spacing w:val="0"/>
              </w:rPr>
            </w:pPr>
            <w:r>
              <w:rPr>
                <w:spacing w:val="0"/>
              </w:rPr>
              <w:t>— </w:t>
            </w:r>
          </w:p>
        </w:tc>
        <w:tc>
          <w:tcPr>
            <w:tcW w:w="62" w:type="dxa"/>
            <w:tcBorders/>
            <w:shd w:fill="CCEEFF" w:val="clear"/>
            <w:vAlign w:val="center"/>
          </w:tcPr>
          <w:p>
            <w:pPr>
              <w:pStyle w:val="TableContents"/>
              <w:bidi w:val="0"/>
              <w:spacing w:before="0" w:after="0"/>
              <w:jc w:val="left"/>
              <w:rPr>
                <w:spacing w:val="0"/>
              </w:rPr>
            </w:pPr>
            <w:r>
              <w:rPr>
                <w:spacing w:val="0"/>
              </w:rPr>
              <w:t> </w:t>
            </w:r>
          </w:p>
        </w:tc>
        <w:tc>
          <w:tcPr>
            <w:tcW w:w="125" w:type="dxa"/>
            <w:tcBorders/>
            <w:shd w:fill="CCEEFF" w:val="clear"/>
            <w:vAlign w:val="center"/>
          </w:tcPr>
          <w:p>
            <w:pPr>
              <w:pStyle w:val="TableContents"/>
              <w:bidi w:val="0"/>
              <w:spacing w:before="0" w:after="0"/>
              <w:jc w:val="left"/>
              <w:rPr>
                <w:spacing w:val="0"/>
              </w:rPr>
            </w:pPr>
            <w:r>
              <w:rPr>
                <w:spacing w:val="0"/>
              </w:rPr>
              <w:t>  </w:t>
            </w:r>
          </w:p>
        </w:tc>
        <w:tc>
          <w:tcPr>
            <w:tcW w:w="148" w:type="dxa"/>
            <w:tcBorders/>
            <w:shd w:fill="CCEEFF" w:val="clear"/>
            <w:vAlign w:val="center"/>
          </w:tcPr>
          <w:p>
            <w:pPr>
              <w:pStyle w:val="TableContents"/>
              <w:bidi w:val="0"/>
              <w:spacing w:before="0" w:after="0"/>
              <w:jc w:val="left"/>
              <w:rPr>
                <w:spacing w:val="0"/>
              </w:rPr>
            </w:pPr>
            <w:r>
              <w:rPr>
                <w:spacing w:val="0"/>
              </w:rPr>
              <w:t>$</w:t>
            </w:r>
          </w:p>
        </w:tc>
        <w:tc>
          <w:tcPr>
            <w:tcW w:w="647" w:type="dxa"/>
            <w:tcBorders/>
            <w:shd w:fill="CCEEFF" w:val="clear"/>
            <w:vAlign w:val="center"/>
          </w:tcPr>
          <w:p>
            <w:pPr>
              <w:pStyle w:val="TableContents"/>
              <w:bidi w:val="0"/>
              <w:spacing w:before="0" w:after="0"/>
              <w:jc w:val="right"/>
              <w:rPr>
                <w:spacing w:val="0"/>
              </w:rPr>
            </w:pPr>
            <w:r>
              <w:rPr>
                <w:spacing w:val="0"/>
              </w:rPr>
              <w:t>— </w:t>
            </w:r>
          </w:p>
        </w:tc>
        <w:tc>
          <w:tcPr>
            <w:tcW w:w="62" w:type="dxa"/>
            <w:tcBorders/>
            <w:shd w:fill="CCEEFF" w:val="clear"/>
            <w:vAlign w:val="center"/>
          </w:tcPr>
          <w:p>
            <w:pPr>
              <w:pStyle w:val="TableContents"/>
              <w:bidi w:val="0"/>
              <w:spacing w:before="0" w:after="0"/>
              <w:jc w:val="left"/>
              <w:rPr>
                <w:spacing w:val="0"/>
              </w:rPr>
            </w:pPr>
            <w:r>
              <w:rPr>
                <w:spacing w:val="0"/>
              </w:rPr>
              <w:t> </w:t>
            </w:r>
          </w:p>
        </w:tc>
        <w:tc>
          <w:tcPr>
            <w:tcW w:w="125" w:type="dxa"/>
            <w:tcBorders/>
            <w:shd w:fill="CCEEFF" w:val="clear"/>
            <w:vAlign w:val="center"/>
          </w:tcPr>
          <w:p>
            <w:pPr>
              <w:pStyle w:val="TableContents"/>
              <w:bidi w:val="0"/>
              <w:spacing w:before="0" w:after="0"/>
              <w:jc w:val="left"/>
              <w:rPr>
                <w:spacing w:val="0"/>
              </w:rPr>
            </w:pPr>
            <w:r>
              <w:rPr>
                <w:spacing w:val="0"/>
              </w:rPr>
              <w:t>  </w:t>
            </w:r>
          </w:p>
        </w:tc>
        <w:tc>
          <w:tcPr>
            <w:tcW w:w="147" w:type="dxa"/>
            <w:tcBorders/>
            <w:shd w:fill="CCEEFF" w:val="clear"/>
            <w:vAlign w:val="center"/>
          </w:tcPr>
          <w:p>
            <w:pPr>
              <w:pStyle w:val="TableContents"/>
              <w:bidi w:val="0"/>
              <w:spacing w:before="0" w:after="0"/>
              <w:jc w:val="left"/>
              <w:rPr>
                <w:spacing w:val="0"/>
              </w:rPr>
            </w:pPr>
            <w:r>
              <w:rPr>
                <w:spacing w:val="0"/>
              </w:rPr>
              <w:t>$</w:t>
            </w:r>
          </w:p>
        </w:tc>
        <w:tc>
          <w:tcPr>
            <w:tcW w:w="716" w:type="dxa"/>
            <w:tcBorders/>
            <w:shd w:fill="CCEEFF" w:val="clear"/>
            <w:vAlign w:val="center"/>
          </w:tcPr>
          <w:p>
            <w:pPr>
              <w:pStyle w:val="TableContents"/>
              <w:bidi w:val="0"/>
              <w:spacing w:before="0" w:after="0"/>
              <w:jc w:val="right"/>
              <w:rPr>
                <w:spacing w:val="0"/>
              </w:rPr>
            </w:pPr>
            <w:r>
              <w:rPr>
                <w:spacing w:val="0"/>
              </w:rPr>
              <w:t>40,405</w:t>
            </w:r>
          </w:p>
        </w:tc>
        <w:tc>
          <w:tcPr>
            <w:tcW w:w="83" w:type="dxa"/>
            <w:tcBorders/>
            <w:shd w:fill="CCEEFF" w:val="clear"/>
            <w:vAlign w:val="center"/>
          </w:tcPr>
          <w:p>
            <w:pPr>
              <w:pStyle w:val="TableContents"/>
              <w:bidi w:val="0"/>
              <w:spacing w:before="0" w:after="0"/>
              <w:jc w:val="left"/>
              <w:rPr>
                <w:spacing w:val="0"/>
              </w:rPr>
            </w:pPr>
            <w:r>
              <w:rPr>
                <w:spacing w:val="0"/>
              </w:rPr>
              <w:t> </w:t>
            </w:r>
          </w:p>
        </w:tc>
      </w:tr>
      <w:tr>
        <w:trPr/>
        <w:tc>
          <w:tcPr>
            <w:tcW w:w="423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Marketable securities</w:t>
            </w:r>
          </w:p>
        </w:tc>
        <w:tc>
          <w:tcPr>
            <w:tcW w:w="120" w:type="dxa"/>
            <w:tcBorders/>
            <w:vAlign w:val="center"/>
          </w:tcPr>
          <w:p>
            <w:pPr>
              <w:pStyle w:val="TableContents"/>
              <w:bidi w:val="0"/>
              <w:spacing w:before="0" w:after="0"/>
              <w:jc w:val="left"/>
              <w:rPr>
                <w:spacing w:val="0"/>
              </w:rPr>
            </w:pPr>
            <w:r>
              <w:rPr>
                <w:spacing w:val="0"/>
              </w:rPr>
              <w:t>  </w:t>
            </w:r>
          </w:p>
        </w:tc>
        <w:tc>
          <w:tcPr>
            <w:tcW w:w="187" w:type="dxa"/>
            <w:tcBorders/>
            <w:vAlign w:val="center"/>
          </w:tcPr>
          <w:p>
            <w:pPr>
              <w:pStyle w:val="TableContents"/>
              <w:bidi w:val="0"/>
              <w:spacing w:before="0" w:after="0"/>
              <w:jc w:val="left"/>
              <w:rPr>
                <w:spacing w:val="0"/>
              </w:rPr>
            </w:pPr>
            <w:r>
              <w:rPr>
                <w:spacing w:val="0"/>
              </w:rPr>
              <w:t> </w:t>
            </w:r>
          </w:p>
        </w:tc>
        <w:tc>
          <w:tcPr>
            <w:tcW w:w="913" w:type="dxa"/>
            <w:tcBorders/>
            <w:vAlign w:val="center"/>
          </w:tcPr>
          <w:p>
            <w:pPr>
              <w:pStyle w:val="TableContents"/>
              <w:bidi w:val="0"/>
              <w:spacing w:before="0" w:after="0"/>
              <w:jc w:val="right"/>
              <w:rPr>
                <w:spacing w:val="0"/>
              </w:rPr>
            </w:pPr>
            <w:r>
              <w:rPr>
                <w:spacing w:val="0"/>
              </w:rPr>
              <w:t>40,058</w:t>
            </w:r>
          </w:p>
        </w:tc>
        <w:tc>
          <w:tcPr>
            <w:tcW w:w="62" w:type="dxa"/>
            <w:tcBorders/>
            <w:vAlign w:val="center"/>
          </w:tcPr>
          <w:p>
            <w:pPr>
              <w:pStyle w:val="TableContents"/>
              <w:bidi w:val="0"/>
              <w:spacing w:before="0" w:after="0"/>
              <w:jc w:val="left"/>
              <w:rPr>
                <w:spacing w:val="0"/>
              </w:rPr>
            </w:pPr>
            <w:r>
              <w:rPr>
                <w:spacing w:val="0"/>
              </w:rPr>
              <w:t> </w:t>
            </w:r>
          </w:p>
        </w:tc>
        <w:tc>
          <w:tcPr>
            <w:tcW w:w="125" w:type="dxa"/>
            <w:tcBorders/>
            <w:vAlign w:val="center"/>
          </w:tcPr>
          <w:p>
            <w:pPr>
              <w:pStyle w:val="TableContents"/>
              <w:bidi w:val="0"/>
              <w:spacing w:before="0" w:after="0"/>
              <w:jc w:val="left"/>
              <w:rPr>
                <w:spacing w:val="0"/>
              </w:rPr>
            </w:pPr>
            <w:r>
              <w:rPr>
                <w:spacing w:val="0"/>
              </w:rPr>
              <w:t>  </w:t>
            </w:r>
          </w:p>
        </w:tc>
        <w:tc>
          <w:tcPr>
            <w:tcW w:w="395" w:type="dxa"/>
            <w:tcBorders/>
            <w:vAlign w:val="center"/>
          </w:tcPr>
          <w:p>
            <w:pPr>
              <w:pStyle w:val="TableContents"/>
              <w:bidi w:val="0"/>
              <w:spacing w:before="0" w:after="0"/>
              <w:jc w:val="left"/>
              <w:rPr>
                <w:spacing w:val="0"/>
              </w:rPr>
            </w:pPr>
            <w:r>
              <w:rPr>
                <w:spacing w:val="0"/>
              </w:rPr>
              <w:t> </w:t>
            </w:r>
          </w:p>
        </w:tc>
        <w:tc>
          <w:tcPr>
            <w:tcW w:w="735" w:type="dxa"/>
            <w:tcBorders/>
            <w:vAlign w:val="center"/>
          </w:tcPr>
          <w:p>
            <w:pPr>
              <w:pStyle w:val="TableContents"/>
              <w:bidi w:val="0"/>
              <w:spacing w:before="0" w:after="0"/>
              <w:jc w:val="right"/>
              <w:rPr>
                <w:spacing w:val="0"/>
              </w:rPr>
            </w:pPr>
            <w:r>
              <w:rPr>
                <w:spacing w:val="0"/>
              </w:rPr>
              <w:t>23</w:t>
            </w:r>
          </w:p>
        </w:tc>
        <w:tc>
          <w:tcPr>
            <w:tcW w:w="62" w:type="dxa"/>
            <w:tcBorders/>
            <w:vAlign w:val="center"/>
          </w:tcPr>
          <w:p>
            <w:pPr>
              <w:pStyle w:val="TableContents"/>
              <w:bidi w:val="0"/>
              <w:spacing w:before="0" w:after="0"/>
              <w:jc w:val="left"/>
              <w:rPr>
                <w:spacing w:val="0"/>
              </w:rPr>
            </w:pPr>
            <w:r>
              <w:rPr>
                <w:spacing w:val="0"/>
              </w:rPr>
              <w:t> </w:t>
            </w:r>
          </w:p>
        </w:tc>
        <w:tc>
          <w:tcPr>
            <w:tcW w:w="125" w:type="dxa"/>
            <w:tcBorders/>
            <w:vAlign w:val="center"/>
          </w:tcPr>
          <w:p>
            <w:pPr>
              <w:pStyle w:val="TableContents"/>
              <w:bidi w:val="0"/>
              <w:spacing w:before="0" w:after="0"/>
              <w:jc w:val="left"/>
              <w:rPr>
                <w:spacing w:val="0"/>
              </w:rPr>
            </w:pPr>
            <w:r>
              <w:rPr>
                <w:spacing w:val="0"/>
              </w:rPr>
              <w:t>  </w:t>
            </w:r>
          </w:p>
        </w:tc>
        <w:tc>
          <w:tcPr>
            <w:tcW w:w="395" w:type="dxa"/>
            <w:tcBorders/>
            <w:vAlign w:val="center"/>
          </w:tcPr>
          <w:p>
            <w:pPr>
              <w:pStyle w:val="TableContents"/>
              <w:bidi w:val="0"/>
              <w:spacing w:before="0" w:after="0"/>
              <w:jc w:val="left"/>
              <w:rPr>
                <w:spacing w:val="0"/>
              </w:rPr>
            </w:pPr>
            <w:r>
              <w:rPr>
                <w:spacing w:val="0"/>
              </w:rPr>
              <w:t> </w:t>
            </w:r>
          </w:p>
        </w:tc>
        <w:tc>
          <w:tcPr>
            <w:tcW w:w="735" w:type="dxa"/>
            <w:tcBorders/>
            <w:vAlign w:val="center"/>
          </w:tcPr>
          <w:p>
            <w:pPr>
              <w:pStyle w:val="TableContents"/>
              <w:bidi w:val="0"/>
              <w:spacing w:before="0" w:after="0"/>
              <w:jc w:val="right"/>
              <w:rPr>
                <w:spacing w:val="0"/>
              </w:rPr>
            </w:pPr>
            <w:r>
              <w:rPr>
                <w:spacing w:val="0"/>
              </w:rPr>
              <w:t>— </w:t>
            </w:r>
          </w:p>
        </w:tc>
        <w:tc>
          <w:tcPr>
            <w:tcW w:w="62" w:type="dxa"/>
            <w:tcBorders/>
            <w:vAlign w:val="center"/>
          </w:tcPr>
          <w:p>
            <w:pPr>
              <w:pStyle w:val="TableContents"/>
              <w:bidi w:val="0"/>
              <w:spacing w:before="0" w:after="0"/>
              <w:jc w:val="left"/>
              <w:rPr>
                <w:spacing w:val="0"/>
              </w:rPr>
            </w:pPr>
            <w:r>
              <w:rPr>
                <w:spacing w:val="0"/>
              </w:rPr>
              <w:t> </w:t>
            </w:r>
          </w:p>
        </w:tc>
        <w:tc>
          <w:tcPr>
            <w:tcW w:w="125" w:type="dxa"/>
            <w:tcBorders/>
            <w:vAlign w:val="center"/>
          </w:tcPr>
          <w:p>
            <w:pPr>
              <w:pStyle w:val="TableContents"/>
              <w:bidi w:val="0"/>
              <w:spacing w:before="0" w:after="0"/>
              <w:jc w:val="left"/>
              <w:rPr>
                <w:spacing w:val="0"/>
              </w:rPr>
            </w:pPr>
            <w:r>
              <w:rPr>
                <w:spacing w:val="0"/>
              </w:rPr>
              <w:t>  </w:t>
            </w:r>
          </w:p>
        </w:tc>
        <w:tc>
          <w:tcPr>
            <w:tcW w:w="148" w:type="dxa"/>
            <w:tcBorders/>
            <w:vAlign w:val="center"/>
          </w:tcPr>
          <w:p>
            <w:pPr>
              <w:pStyle w:val="TableContents"/>
              <w:bidi w:val="0"/>
              <w:spacing w:before="0" w:after="0"/>
              <w:jc w:val="left"/>
              <w:rPr>
                <w:spacing w:val="0"/>
              </w:rPr>
            </w:pPr>
            <w:r>
              <w:rPr>
                <w:spacing w:val="0"/>
              </w:rPr>
              <w:t> </w:t>
            </w:r>
          </w:p>
        </w:tc>
        <w:tc>
          <w:tcPr>
            <w:tcW w:w="647" w:type="dxa"/>
            <w:tcBorders/>
            <w:vAlign w:val="center"/>
          </w:tcPr>
          <w:p>
            <w:pPr>
              <w:pStyle w:val="TableContents"/>
              <w:bidi w:val="0"/>
              <w:spacing w:before="0" w:after="0"/>
              <w:jc w:val="right"/>
              <w:rPr>
                <w:spacing w:val="0"/>
              </w:rPr>
            </w:pPr>
            <w:r>
              <w:rPr>
                <w:spacing w:val="0"/>
              </w:rPr>
              <w:t>— </w:t>
            </w:r>
          </w:p>
        </w:tc>
        <w:tc>
          <w:tcPr>
            <w:tcW w:w="62" w:type="dxa"/>
            <w:tcBorders/>
            <w:vAlign w:val="center"/>
          </w:tcPr>
          <w:p>
            <w:pPr>
              <w:pStyle w:val="TableContents"/>
              <w:bidi w:val="0"/>
              <w:spacing w:before="0" w:after="0"/>
              <w:jc w:val="left"/>
              <w:rPr>
                <w:spacing w:val="0"/>
              </w:rPr>
            </w:pPr>
            <w:r>
              <w:rPr>
                <w:spacing w:val="0"/>
              </w:rPr>
              <w:t> </w:t>
            </w:r>
          </w:p>
        </w:tc>
        <w:tc>
          <w:tcPr>
            <w:tcW w:w="125" w:type="dxa"/>
            <w:tcBorders/>
            <w:vAlign w:val="center"/>
          </w:tcPr>
          <w:p>
            <w:pPr>
              <w:pStyle w:val="TableContents"/>
              <w:bidi w:val="0"/>
              <w:spacing w:before="0" w:after="0"/>
              <w:jc w:val="left"/>
              <w:rPr>
                <w:spacing w:val="0"/>
              </w:rPr>
            </w:pPr>
            <w:r>
              <w:rPr>
                <w:spacing w:val="0"/>
              </w:rPr>
              <w:t>  </w:t>
            </w:r>
          </w:p>
        </w:tc>
        <w:tc>
          <w:tcPr>
            <w:tcW w:w="147" w:type="dxa"/>
            <w:tcBorders/>
            <w:vAlign w:val="center"/>
          </w:tcPr>
          <w:p>
            <w:pPr>
              <w:pStyle w:val="TableContents"/>
              <w:bidi w:val="0"/>
              <w:spacing w:before="0" w:after="0"/>
              <w:jc w:val="left"/>
              <w:rPr>
                <w:spacing w:val="0"/>
              </w:rPr>
            </w:pPr>
            <w:r>
              <w:rPr>
                <w:spacing w:val="0"/>
              </w:rPr>
              <w:t> </w:t>
            </w:r>
          </w:p>
        </w:tc>
        <w:tc>
          <w:tcPr>
            <w:tcW w:w="716" w:type="dxa"/>
            <w:tcBorders/>
            <w:vAlign w:val="center"/>
          </w:tcPr>
          <w:p>
            <w:pPr>
              <w:pStyle w:val="TableContents"/>
              <w:bidi w:val="0"/>
              <w:spacing w:before="0" w:after="0"/>
              <w:jc w:val="right"/>
              <w:rPr>
                <w:spacing w:val="0"/>
              </w:rPr>
            </w:pPr>
            <w:r>
              <w:rPr>
                <w:spacing w:val="0"/>
              </w:rPr>
              <w:t>40,081</w:t>
            </w:r>
          </w:p>
        </w:tc>
        <w:tc>
          <w:tcPr>
            <w:tcW w:w="83" w:type="dxa"/>
            <w:tcBorders/>
            <w:vAlign w:val="center"/>
          </w:tcPr>
          <w:p>
            <w:pPr>
              <w:pStyle w:val="TableContents"/>
              <w:bidi w:val="0"/>
              <w:spacing w:before="0" w:after="0"/>
              <w:jc w:val="left"/>
              <w:rPr>
                <w:spacing w:val="0"/>
              </w:rPr>
            </w:pPr>
            <w:r>
              <w:rPr>
                <w:spacing w:val="0"/>
              </w:rPr>
              <w:t> </w:t>
            </w:r>
          </w:p>
        </w:tc>
      </w:tr>
      <w:tr>
        <w:trPr/>
        <w:tc>
          <w:tcPr>
            <w:tcW w:w="423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2" w:type="dxa"/>
            <w:tcBorders/>
            <w:vAlign w:val="center"/>
          </w:tcPr>
          <w:p>
            <w:pPr>
              <w:pStyle w:val="TableContents"/>
              <w:bidi w:val="0"/>
              <w:spacing w:before="0" w:after="0"/>
              <w:jc w:val="left"/>
              <w:rPr>
                <w:spacing w:val="0"/>
              </w:rPr>
            </w:pPr>
            <w:r>
              <w:rPr>
                <w:spacing w:val="0"/>
              </w:rPr>
              <w:t> </w:t>
            </w:r>
          </w:p>
        </w:tc>
        <w:tc>
          <w:tcPr>
            <w:tcW w:w="125" w:type="dxa"/>
            <w:tcBorders/>
            <w:vAlign w:val="center"/>
          </w:tcPr>
          <w:p>
            <w:pPr>
              <w:pStyle w:val="TableContents"/>
              <w:bidi w:val="0"/>
              <w:spacing w:before="0" w:after="0"/>
              <w:jc w:val="left"/>
              <w:rPr>
                <w:spacing w:val="0"/>
              </w:rPr>
            </w:pPr>
            <w:r>
              <w:rPr>
                <w:spacing w:val="0"/>
              </w:rPr>
              <w:t>  </w:t>
            </w:r>
          </w:p>
        </w:tc>
        <w:tc>
          <w:tcPr>
            <w:tcW w:w="3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2" w:type="dxa"/>
            <w:tcBorders/>
            <w:vAlign w:val="center"/>
          </w:tcPr>
          <w:p>
            <w:pPr>
              <w:pStyle w:val="TableContents"/>
              <w:bidi w:val="0"/>
              <w:spacing w:before="0" w:after="0"/>
              <w:jc w:val="left"/>
              <w:rPr>
                <w:spacing w:val="0"/>
              </w:rPr>
            </w:pPr>
            <w:r>
              <w:rPr>
                <w:spacing w:val="0"/>
              </w:rPr>
              <w:t> </w:t>
            </w:r>
          </w:p>
        </w:tc>
        <w:tc>
          <w:tcPr>
            <w:tcW w:w="125" w:type="dxa"/>
            <w:tcBorders/>
            <w:vAlign w:val="center"/>
          </w:tcPr>
          <w:p>
            <w:pPr>
              <w:pStyle w:val="TableContents"/>
              <w:bidi w:val="0"/>
              <w:spacing w:before="0" w:after="0"/>
              <w:jc w:val="left"/>
              <w:rPr>
                <w:spacing w:val="0"/>
              </w:rPr>
            </w:pPr>
            <w:r>
              <w:rPr>
                <w:spacing w:val="0"/>
              </w:rPr>
              <w:t>  </w:t>
            </w:r>
          </w:p>
        </w:tc>
        <w:tc>
          <w:tcPr>
            <w:tcW w:w="3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2" w:type="dxa"/>
            <w:tcBorders/>
            <w:vAlign w:val="center"/>
          </w:tcPr>
          <w:p>
            <w:pPr>
              <w:pStyle w:val="TableContents"/>
              <w:bidi w:val="0"/>
              <w:spacing w:before="0" w:after="0"/>
              <w:jc w:val="left"/>
              <w:rPr>
                <w:spacing w:val="0"/>
              </w:rPr>
            </w:pPr>
            <w:r>
              <w:rPr>
                <w:spacing w:val="0"/>
              </w:rPr>
              <w:t> </w:t>
            </w:r>
          </w:p>
        </w:tc>
        <w:tc>
          <w:tcPr>
            <w:tcW w:w="125" w:type="dxa"/>
            <w:tcBorders/>
            <w:vAlign w:val="center"/>
          </w:tcPr>
          <w:p>
            <w:pPr>
              <w:pStyle w:val="TableContents"/>
              <w:bidi w:val="0"/>
              <w:spacing w:before="0" w:after="0"/>
              <w:jc w:val="left"/>
              <w:rPr>
                <w:spacing w:val="0"/>
              </w:rPr>
            </w:pPr>
            <w:r>
              <w:rPr>
                <w:spacing w:val="0"/>
              </w:rPr>
              <w:t>  </w:t>
            </w:r>
          </w:p>
        </w:tc>
        <w:tc>
          <w:tcPr>
            <w:tcW w:w="14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4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2" w:type="dxa"/>
            <w:tcBorders/>
            <w:vAlign w:val="center"/>
          </w:tcPr>
          <w:p>
            <w:pPr>
              <w:pStyle w:val="TableContents"/>
              <w:bidi w:val="0"/>
              <w:spacing w:before="0" w:after="0"/>
              <w:jc w:val="left"/>
              <w:rPr>
                <w:spacing w:val="0"/>
              </w:rPr>
            </w:pPr>
            <w:r>
              <w:rPr>
                <w:spacing w:val="0"/>
              </w:rPr>
              <w:t> </w:t>
            </w:r>
          </w:p>
        </w:tc>
        <w:tc>
          <w:tcPr>
            <w:tcW w:w="125" w:type="dxa"/>
            <w:tcBorders/>
            <w:vAlign w:val="center"/>
          </w:tcPr>
          <w:p>
            <w:pPr>
              <w:pStyle w:val="TableContents"/>
              <w:bidi w:val="0"/>
              <w:spacing w:before="0" w:after="0"/>
              <w:jc w:val="left"/>
              <w:rPr>
                <w:spacing w:val="0"/>
              </w:rPr>
            </w:pPr>
            <w:r>
              <w:rPr>
                <w:spacing w:val="0"/>
              </w:rPr>
              <w:t>  </w:t>
            </w:r>
          </w:p>
        </w:tc>
        <w:tc>
          <w:tcPr>
            <w:tcW w:w="14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1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3" w:type="dxa"/>
            <w:tcBorders/>
            <w:vAlign w:val="center"/>
          </w:tcPr>
          <w:p>
            <w:pPr>
              <w:pStyle w:val="TableContents"/>
              <w:bidi w:val="0"/>
              <w:spacing w:before="0" w:after="0"/>
              <w:jc w:val="left"/>
              <w:rPr>
                <w:spacing w:val="0"/>
              </w:rPr>
            </w:pPr>
            <w:r>
              <w:rPr>
                <w:spacing w:val="0"/>
              </w:rPr>
              <w:t> </w:t>
            </w:r>
          </w:p>
        </w:tc>
      </w:tr>
      <w:tr>
        <w:trPr/>
        <w:tc>
          <w:tcPr>
            <w:tcW w:w="4236"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87" w:type="dxa"/>
            <w:tcBorders/>
            <w:shd w:fill="CCEEFF" w:val="clear"/>
            <w:vAlign w:val="center"/>
          </w:tcPr>
          <w:p>
            <w:pPr>
              <w:pStyle w:val="TableContents"/>
              <w:bidi w:val="0"/>
              <w:spacing w:before="0" w:after="0"/>
              <w:jc w:val="left"/>
              <w:rPr>
                <w:spacing w:val="0"/>
              </w:rPr>
            </w:pPr>
            <w:r>
              <w:rPr>
                <w:spacing w:val="0"/>
              </w:rPr>
              <w:t>$</w:t>
            </w:r>
          </w:p>
        </w:tc>
        <w:tc>
          <w:tcPr>
            <w:tcW w:w="913" w:type="dxa"/>
            <w:tcBorders/>
            <w:shd w:fill="CCEEFF" w:val="clear"/>
            <w:vAlign w:val="center"/>
          </w:tcPr>
          <w:p>
            <w:pPr>
              <w:pStyle w:val="TableContents"/>
              <w:bidi w:val="0"/>
              <w:spacing w:before="0" w:after="0"/>
              <w:jc w:val="right"/>
              <w:rPr>
                <w:spacing w:val="0"/>
              </w:rPr>
            </w:pPr>
            <w:r>
              <w:rPr>
                <w:spacing w:val="0"/>
              </w:rPr>
              <w:t>80,463</w:t>
            </w:r>
          </w:p>
        </w:tc>
        <w:tc>
          <w:tcPr>
            <w:tcW w:w="62" w:type="dxa"/>
            <w:tcBorders/>
            <w:shd w:fill="CCEEFF" w:val="clear"/>
            <w:vAlign w:val="center"/>
          </w:tcPr>
          <w:p>
            <w:pPr>
              <w:pStyle w:val="TableContents"/>
              <w:bidi w:val="0"/>
              <w:spacing w:before="0" w:after="0"/>
              <w:jc w:val="left"/>
              <w:rPr>
                <w:spacing w:val="0"/>
              </w:rPr>
            </w:pPr>
            <w:r>
              <w:rPr>
                <w:spacing w:val="0"/>
              </w:rPr>
              <w:t> </w:t>
            </w:r>
          </w:p>
        </w:tc>
        <w:tc>
          <w:tcPr>
            <w:tcW w:w="125" w:type="dxa"/>
            <w:tcBorders/>
            <w:shd w:fill="CCEEFF" w:val="clear"/>
            <w:vAlign w:val="center"/>
          </w:tcPr>
          <w:p>
            <w:pPr>
              <w:pStyle w:val="TableContents"/>
              <w:bidi w:val="0"/>
              <w:spacing w:before="0" w:after="0"/>
              <w:jc w:val="left"/>
              <w:rPr>
                <w:spacing w:val="0"/>
              </w:rPr>
            </w:pPr>
            <w:r>
              <w:rPr>
                <w:spacing w:val="0"/>
              </w:rPr>
              <w:t>  </w:t>
            </w:r>
          </w:p>
        </w:tc>
        <w:tc>
          <w:tcPr>
            <w:tcW w:w="395" w:type="dxa"/>
            <w:tcBorders/>
            <w:shd w:fill="CCEEFF" w:val="clear"/>
            <w:vAlign w:val="center"/>
          </w:tcPr>
          <w:p>
            <w:pPr>
              <w:pStyle w:val="TableContents"/>
              <w:bidi w:val="0"/>
              <w:spacing w:before="0" w:after="0"/>
              <w:jc w:val="left"/>
              <w:rPr>
                <w:spacing w:val="0"/>
              </w:rPr>
            </w:pPr>
            <w:r>
              <w:rPr>
                <w:spacing w:val="0"/>
              </w:rPr>
              <w:t>$</w:t>
            </w:r>
          </w:p>
        </w:tc>
        <w:tc>
          <w:tcPr>
            <w:tcW w:w="735" w:type="dxa"/>
            <w:tcBorders/>
            <w:shd w:fill="CCEEFF" w:val="clear"/>
            <w:vAlign w:val="center"/>
          </w:tcPr>
          <w:p>
            <w:pPr>
              <w:pStyle w:val="TableContents"/>
              <w:bidi w:val="0"/>
              <w:spacing w:before="0" w:after="0"/>
              <w:jc w:val="right"/>
              <w:rPr>
                <w:spacing w:val="0"/>
              </w:rPr>
            </w:pPr>
            <w:r>
              <w:rPr>
                <w:spacing w:val="0"/>
              </w:rPr>
              <w:t>23</w:t>
            </w:r>
          </w:p>
        </w:tc>
        <w:tc>
          <w:tcPr>
            <w:tcW w:w="62" w:type="dxa"/>
            <w:tcBorders/>
            <w:shd w:fill="CCEEFF" w:val="clear"/>
            <w:vAlign w:val="center"/>
          </w:tcPr>
          <w:p>
            <w:pPr>
              <w:pStyle w:val="TableContents"/>
              <w:bidi w:val="0"/>
              <w:spacing w:before="0" w:after="0"/>
              <w:jc w:val="left"/>
              <w:rPr>
                <w:spacing w:val="0"/>
              </w:rPr>
            </w:pPr>
            <w:r>
              <w:rPr>
                <w:spacing w:val="0"/>
              </w:rPr>
              <w:t> </w:t>
            </w:r>
          </w:p>
        </w:tc>
        <w:tc>
          <w:tcPr>
            <w:tcW w:w="125" w:type="dxa"/>
            <w:tcBorders/>
            <w:shd w:fill="CCEEFF" w:val="clear"/>
            <w:vAlign w:val="center"/>
          </w:tcPr>
          <w:p>
            <w:pPr>
              <w:pStyle w:val="TableContents"/>
              <w:bidi w:val="0"/>
              <w:spacing w:before="0" w:after="0"/>
              <w:jc w:val="left"/>
              <w:rPr>
                <w:spacing w:val="0"/>
              </w:rPr>
            </w:pPr>
            <w:r>
              <w:rPr>
                <w:spacing w:val="0"/>
              </w:rPr>
              <w:t>  </w:t>
            </w:r>
          </w:p>
        </w:tc>
        <w:tc>
          <w:tcPr>
            <w:tcW w:w="395" w:type="dxa"/>
            <w:tcBorders/>
            <w:shd w:fill="CCEEFF" w:val="clear"/>
            <w:vAlign w:val="center"/>
          </w:tcPr>
          <w:p>
            <w:pPr>
              <w:pStyle w:val="TableContents"/>
              <w:bidi w:val="0"/>
              <w:spacing w:before="0" w:after="0"/>
              <w:jc w:val="left"/>
              <w:rPr>
                <w:spacing w:val="0"/>
              </w:rPr>
            </w:pPr>
            <w:r>
              <w:rPr>
                <w:spacing w:val="0"/>
              </w:rPr>
              <w:t>$</w:t>
            </w:r>
          </w:p>
        </w:tc>
        <w:tc>
          <w:tcPr>
            <w:tcW w:w="735" w:type="dxa"/>
            <w:tcBorders/>
            <w:shd w:fill="CCEEFF" w:val="clear"/>
            <w:vAlign w:val="center"/>
          </w:tcPr>
          <w:p>
            <w:pPr>
              <w:pStyle w:val="TableContents"/>
              <w:bidi w:val="0"/>
              <w:spacing w:before="0" w:after="0"/>
              <w:jc w:val="right"/>
              <w:rPr>
                <w:spacing w:val="0"/>
              </w:rPr>
            </w:pPr>
            <w:r>
              <w:rPr>
                <w:spacing w:val="0"/>
              </w:rPr>
              <w:t>— </w:t>
            </w:r>
          </w:p>
        </w:tc>
        <w:tc>
          <w:tcPr>
            <w:tcW w:w="62" w:type="dxa"/>
            <w:tcBorders/>
            <w:shd w:fill="CCEEFF" w:val="clear"/>
            <w:vAlign w:val="center"/>
          </w:tcPr>
          <w:p>
            <w:pPr>
              <w:pStyle w:val="TableContents"/>
              <w:bidi w:val="0"/>
              <w:spacing w:before="0" w:after="0"/>
              <w:jc w:val="left"/>
              <w:rPr>
                <w:spacing w:val="0"/>
              </w:rPr>
            </w:pPr>
            <w:r>
              <w:rPr>
                <w:spacing w:val="0"/>
              </w:rPr>
              <w:t> </w:t>
            </w:r>
          </w:p>
        </w:tc>
        <w:tc>
          <w:tcPr>
            <w:tcW w:w="125" w:type="dxa"/>
            <w:tcBorders/>
            <w:shd w:fill="CCEEFF" w:val="clear"/>
            <w:vAlign w:val="center"/>
          </w:tcPr>
          <w:p>
            <w:pPr>
              <w:pStyle w:val="TableContents"/>
              <w:bidi w:val="0"/>
              <w:spacing w:before="0" w:after="0"/>
              <w:jc w:val="left"/>
              <w:rPr>
                <w:spacing w:val="0"/>
              </w:rPr>
            </w:pPr>
            <w:r>
              <w:rPr>
                <w:spacing w:val="0"/>
              </w:rPr>
              <w:t>  </w:t>
            </w:r>
          </w:p>
        </w:tc>
        <w:tc>
          <w:tcPr>
            <w:tcW w:w="148" w:type="dxa"/>
            <w:tcBorders/>
            <w:shd w:fill="CCEEFF" w:val="clear"/>
            <w:vAlign w:val="center"/>
          </w:tcPr>
          <w:p>
            <w:pPr>
              <w:pStyle w:val="TableContents"/>
              <w:bidi w:val="0"/>
              <w:spacing w:before="0" w:after="0"/>
              <w:jc w:val="left"/>
              <w:rPr>
                <w:spacing w:val="0"/>
              </w:rPr>
            </w:pPr>
            <w:r>
              <w:rPr>
                <w:spacing w:val="0"/>
              </w:rPr>
              <w:t>$</w:t>
            </w:r>
          </w:p>
        </w:tc>
        <w:tc>
          <w:tcPr>
            <w:tcW w:w="647" w:type="dxa"/>
            <w:tcBorders/>
            <w:shd w:fill="CCEEFF" w:val="clear"/>
            <w:vAlign w:val="center"/>
          </w:tcPr>
          <w:p>
            <w:pPr>
              <w:pStyle w:val="TableContents"/>
              <w:bidi w:val="0"/>
              <w:spacing w:before="0" w:after="0"/>
              <w:jc w:val="right"/>
              <w:rPr>
                <w:spacing w:val="0"/>
              </w:rPr>
            </w:pPr>
            <w:r>
              <w:rPr>
                <w:spacing w:val="0"/>
              </w:rPr>
              <w:t>— </w:t>
            </w:r>
          </w:p>
        </w:tc>
        <w:tc>
          <w:tcPr>
            <w:tcW w:w="62" w:type="dxa"/>
            <w:tcBorders/>
            <w:shd w:fill="CCEEFF" w:val="clear"/>
            <w:vAlign w:val="center"/>
          </w:tcPr>
          <w:p>
            <w:pPr>
              <w:pStyle w:val="TableContents"/>
              <w:bidi w:val="0"/>
              <w:spacing w:before="0" w:after="0"/>
              <w:jc w:val="left"/>
              <w:rPr>
                <w:spacing w:val="0"/>
              </w:rPr>
            </w:pPr>
            <w:r>
              <w:rPr>
                <w:spacing w:val="0"/>
              </w:rPr>
              <w:t> </w:t>
            </w:r>
          </w:p>
        </w:tc>
        <w:tc>
          <w:tcPr>
            <w:tcW w:w="125" w:type="dxa"/>
            <w:tcBorders/>
            <w:shd w:fill="CCEEFF" w:val="clear"/>
            <w:vAlign w:val="center"/>
          </w:tcPr>
          <w:p>
            <w:pPr>
              <w:pStyle w:val="TableContents"/>
              <w:bidi w:val="0"/>
              <w:spacing w:before="0" w:after="0"/>
              <w:jc w:val="left"/>
              <w:rPr>
                <w:spacing w:val="0"/>
              </w:rPr>
            </w:pPr>
            <w:r>
              <w:rPr>
                <w:spacing w:val="0"/>
              </w:rPr>
              <w:t>  </w:t>
            </w:r>
          </w:p>
        </w:tc>
        <w:tc>
          <w:tcPr>
            <w:tcW w:w="147" w:type="dxa"/>
            <w:tcBorders/>
            <w:shd w:fill="CCEEFF" w:val="clear"/>
            <w:vAlign w:val="center"/>
          </w:tcPr>
          <w:p>
            <w:pPr>
              <w:pStyle w:val="TableContents"/>
              <w:bidi w:val="0"/>
              <w:spacing w:before="0" w:after="0"/>
              <w:jc w:val="left"/>
              <w:rPr>
                <w:spacing w:val="0"/>
              </w:rPr>
            </w:pPr>
            <w:r>
              <w:rPr>
                <w:spacing w:val="0"/>
              </w:rPr>
              <w:t>$</w:t>
            </w:r>
          </w:p>
        </w:tc>
        <w:tc>
          <w:tcPr>
            <w:tcW w:w="716" w:type="dxa"/>
            <w:tcBorders/>
            <w:shd w:fill="CCEEFF" w:val="clear"/>
            <w:vAlign w:val="center"/>
          </w:tcPr>
          <w:p>
            <w:pPr>
              <w:pStyle w:val="TableContents"/>
              <w:bidi w:val="0"/>
              <w:spacing w:before="0" w:after="0"/>
              <w:jc w:val="right"/>
              <w:rPr>
                <w:spacing w:val="0"/>
              </w:rPr>
            </w:pPr>
            <w:r>
              <w:rPr>
                <w:spacing w:val="0"/>
              </w:rPr>
              <w:t>80,486</w:t>
            </w:r>
          </w:p>
        </w:tc>
        <w:tc>
          <w:tcPr>
            <w:tcW w:w="83" w:type="dxa"/>
            <w:tcBorders/>
            <w:shd w:fill="CCEEFF" w:val="clear"/>
            <w:vAlign w:val="center"/>
          </w:tcPr>
          <w:p>
            <w:pPr>
              <w:pStyle w:val="TableContents"/>
              <w:bidi w:val="0"/>
              <w:spacing w:before="0" w:after="0"/>
              <w:jc w:val="left"/>
              <w:rPr>
                <w:spacing w:val="0"/>
              </w:rPr>
            </w:pPr>
            <w:r>
              <w:rPr>
                <w:spacing w:val="0"/>
              </w:rPr>
              <w:t> </w:t>
            </w:r>
          </w:p>
        </w:tc>
      </w:tr>
      <w:tr>
        <w:trPr/>
        <w:tc>
          <w:tcPr>
            <w:tcW w:w="423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8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1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2" w:type="dxa"/>
            <w:tcBorders/>
            <w:vAlign w:val="center"/>
          </w:tcPr>
          <w:p>
            <w:pPr>
              <w:pStyle w:val="TableContents"/>
              <w:bidi w:val="0"/>
              <w:spacing w:before="0" w:after="0"/>
              <w:jc w:val="left"/>
              <w:rPr>
                <w:spacing w:val="0"/>
              </w:rPr>
            </w:pPr>
            <w:r>
              <w:rPr>
                <w:spacing w:val="0"/>
              </w:rPr>
              <w:t> </w:t>
            </w:r>
          </w:p>
        </w:tc>
        <w:tc>
          <w:tcPr>
            <w:tcW w:w="125" w:type="dxa"/>
            <w:tcBorders/>
            <w:vAlign w:val="center"/>
          </w:tcPr>
          <w:p>
            <w:pPr>
              <w:pStyle w:val="TableContents"/>
              <w:bidi w:val="0"/>
              <w:spacing w:before="0" w:after="0"/>
              <w:jc w:val="left"/>
              <w:rPr>
                <w:spacing w:val="0"/>
              </w:rPr>
            </w:pPr>
            <w:r>
              <w:rPr>
                <w:spacing w:val="0"/>
              </w:rPr>
              <w:t>  </w:t>
            </w:r>
          </w:p>
        </w:tc>
        <w:tc>
          <w:tcPr>
            <w:tcW w:w="3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3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2" w:type="dxa"/>
            <w:tcBorders/>
            <w:vAlign w:val="center"/>
          </w:tcPr>
          <w:p>
            <w:pPr>
              <w:pStyle w:val="TableContents"/>
              <w:bidi w:val="0"/>
              <w:spacing w:before="0" w:after="0"/>
              <w:jc w:val="left"/>
              <w:rPr>
                <w:spacing w:val="0"/>
              </w:rPr>
            </w:pPr>
            <w:r>
              <w:rPr>
                <w:spacing w:val="0"/>
              </w:rPr>
              <w:t> </w:t>
            </w:r>
          </w:p>
        </w:tc>
        <w:tc>
          <w:tcPr>
            <w:tcW w:w="125" w:type="dxa"/>
            <w:tcBorders/>
            <w:vAlign w:val="center"/>
          </w:tcPr>
          <w:p>
            <w:pPr>
              <w:pStyle w:val="TableContents"/>
              <w:bidi w:val="0"/>
              <w:spacing w:before="0" w:after="0"/>
              <w:jc w:val="left"/>
              <w:rPr>
                <w:spacing w:val="0"/>
              </w:rPr>
            </w:pPr>
            <w:r>
              <w:rPr>
                <w:spacing w:val="0"/>
              </w:rPr>
              <w:t>  </w:t>
            </w:r>
          </w:p>
        </w:tc>
        <w:tc>
          <w:tcPr>
            <w:tcW w:w="3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3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2" w:type="dxa"/>
            <w:tcBorders/>
            <w:vAlign w:val="center"/>
          </w:tcPr>
          <w:p>
            <w:pPr>
              <w:pStyle w:val="TableContents"/>
              <w:bidi w:val="0"/>
              <w:spacing w:before="0" w:after="0"/>
              <w:jc w:val="left"/>
              <w:rPr>
                <w:spacing w:val="0"/>
              </w:rPr>
            </w:pPr>
            <w:r>
              <w:rPr>
                <w:spacing w:val="0"/>
              </w:rPr>
              <w:t> </w:t>
            </w:r>
          </w:p>
        </w:tc>
        <w:tc>
          <w:tcPr>
            <w:tcW w:w="125" w:type="dxa"/>
            <w:tcBorders/>
            <w:vAlign w:val="center"/>
          </w:tcPr>
          <w:p>
            <w:pPr>
              <w:pStyle w:val="TableContents"/>
              <w:bidi w:val="0"/>
              <w:spacing w:before="0" w:after="0"/>
              <w:jc w:val="left"/>
              <w:rPr>
                <w:spacing w:val="0"/>
              </w:rPr>
            </w:pPr>
            <w:r>
              <w:rPr>
                <w:spacing w:val="0"/>
              </w:rPr>
              <w:t>  </w:t>
            </w:r>
          </w:p>
        </w:tc>
        <w:tc>
          <w:tcPr>
            <w:tcW w:w="14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4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2" w:type="dxa"/>
            <w:tcBorders/>
            <w:vAlign w:val="center"/>
          </w:tcPr>
          <w:p>
            <w:pPr>
              <w:pStyle w:val="TableContents"/>
              <w:bidi w:val="0"/>
              <w:spacing w:before="0" w:after="0"/>
              <w:jc w:val="left"/>
              <w:rPr>
                <w:spacing w:val="0"/>
              </w:rPr>
            </w:pPr>
            <w:r>
              <w:rPr>
                <w:spacing w:val="0"/>
              </w:rPr>
              <w:t> </w:t>
            </w:r>
          </w:p>
        </w:tc>
        <w:tc>
          <w:tcPr>
            <w:tcW w:w="125" w:type="dxa"/>
            <w:tcBorders/>
            <w:vAlign w:val="center"/>
          </w:tcPr>
          <w:p>
            <w:pPr>
              <w:pStyle w:val="TableContents"/>
              <w:bidi w:val="0"/>
              <w:spacing w:before="0" w:after="0"/>
              <w:jc w:val="left"/>
              <w:rPr>
                <w:spacing w:val="0"/>
              </w:rPr>
            </w:pPr>
            <w:r>
              <w:rPr>
                <w:spacing w:val="0"/>
              </w:rPr>
              <w:t>  </w:t>
            </w:r>
          </w:p>
        </w:tc>
        <w:tc>
          <w:tcPr>
            <w:tcW w:w="14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1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3" w:type="dxa"/>
            <w:tcBorders/>
            <w:vAlign w:val="center"/>
          </w:tcPr>
          <w:p>
            <w:pPr>
              <w:pStyle w:val="TableContents"/>
              <w:bidi w:val="0"/>
              <w:spacing w:before="0" w:after="0"/>
              <w:jc w:val="left"/>
              <w:rPr>
                <w:spacing w:val="0"/>
              </w:rPr>
            </w:pPr>
            <w:r>
              <w:rPr>
                <w:spacing w:val="0"/>
              </w:rPr>
              <w:t> </w:t>
            </w:r>
          </w:p>
        </w:tc>
      </w:tr>
    </w:tbl>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None of the Company’s </w:t>
      </w:r>
    </w:p>
    <w:p>
      <w:pPr>
        <w:pStyle w:val="TextBody"/>
        <w:bidi w:val="0"/>
        <w:spacing w:before="240" w:after="0"/>
        <w:jc w:val="left"/>
        <w:rPr>
          <w:rFonts w:ascii="Times New Roman" w:hAnsi="Times New Roman"/>
          <w:spacing w:val="0"/>
          <w:sz w:val="20"/>
        </w:rPr>
      </w:pPr>
      <w:r>
        <w:rPr>
          <w:rFonts w:ascii="Times New Roman" w:hAnsi="Times New Roman"/>
          <w:spacing w:val="0"/>
          <w:sz w:val="20"/>
        </w:rPr>
        <w:t>available-for-sale</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marketable securities had remaining maturities longer than one year as of June 30, 2026 and December 31, 2025.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As of June 30, 2026, the aggregate unrealized losses on the Company’s investment securities were immaterial. The Company has the intent and ability to hold such securities until recovery. As a result, the Company did not record any charges for credit-related impairments for its marketable debt securities for the three and six months ended June 30, 2026. </w:t>
      </w: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4. Accrued Expenses and Other Current Liabilities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Accrued expenses and other current liabilities consist of the following (in thousands): </w:t>
      </w:r>
    </w:p>
    <w:p>
      <w:pPr>
        <w:pStyle w:val="TextBody"/>
        <w:bidi w:val="0"/>
        <w:spacing w:before="0" w:after="0"/>
        <w:ind w:left="0" w:right="0" w:hanging="0"/>
        <w:jc w:val="left"/>
        <w:rPr>
          <w:spacing w:val="0"/>
        </w:rPr>
      </w:pPr>
      <w:r>
        <w:rPr>
          <w:spacing w:val="0"/>
        </w:rPr>
        <w:t> </w:t>
      </w:r>
    </w:p>
    <w:tbl>
      <w:tblPr>
        <w:tblW w:w="7920" w:type="dxa"/>
        <w:jc w:val="left"/>
        <w:tblInd w:w="0" w:type="dxa"/>
        <w:tblLayout w:type="fixed"/>
        <w:tblCellMar>
          <w:top w:w="0" w:type="dxa"/>
          <w:left w:w="0" w:type="dxa"/>
          <w:bottom w:w="0" w:type="dxa"/>
          <w:right w:w="0" w:type="dxa"/>
        </w:tblCellMar>
      </w:tblPr>
      <w:tblGrid>
        <w:gridCol w:w="4175"/>
        <w:gridCol w:w="120"/>
        <w:gridCol w:w="241"/>
        <w:gridCol w:w="1174"/>
        <w:gridCol w:w="60"/>
        <w:gridCol w:w="120"/>
        <w:gridCol w:w="333"/>
        <w:gridCol w:w="1622"/>
        <w:gridCol w:w="75"/>
      </w:tblGrid>
      <w:tr>
        <w:trPr/>
        <w:tc>
          <w:tcPr>
            <w:tcW w:w="417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left"/>
              <w:rPr/>
            </w:pPr>
            <w:r>
              <w:rPr/>
              <w:t> </w:t>
            </w:r>
          </w:p>
        </w:tc>
        <w:tc>
          <w:tcPr>
            <w:tcW w:w="1174"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333" w:type="dxa"/>
            <w:tcBorders/>
            <w:vAlign w:val="center"/>
          </w:tcPr>
          <w:p>
            <w:pPr>
              <w:pStyle w:val="TableContents"/>
              <w:bidi w:val="0"/>
              <w:spacing w:before="0" w:after="0"/>
              <w:jc w:val="left"/>
              <w:rPr/>
            </w:pPr>
            <w:r>
              <w:rPr/>
              <w:t> </w:t>
            </w:r>
          </w:p>
        </w:tc>
        <w:tc>
          <w:tcPr>
            <w:tcW w:w="1622"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417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15" w:type="dxa"/>
            <w:gridSpan w:val="2"/>
            <w:tcBorders/>
            <w:vAlign w:val="center"/>
          </w:tcPr>
          <w:p>
            <w:pPr>
              <w:pStyle w:val="TableContents"/>
              <w:bidi w:val="0"/>
              <w:spacing w:before="0" w:after="0"/>
              <w:jc w:val="center"/>
              <w:rPr>
                <w:b/>
                <w:spacing w:val="0"/>
              </w:rPr>
            </w:pPr>
            <w:r>
              <w:rPr>
                <w:b/>
                <w:spacing w:val="0"/>
              </w:rPr>
              <w:t>June 30, 2026</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955" w:type="dxa"/>
            <w:gridSpan w:val="2"/>
            <w:tcBorders/>
            <w:vAlign w:val="center"/>
          </w:tcPr>
          <w:p>
            <w:pPr>
              <w:pStyle w:val="TableContents"/>
              <w:bidi w:val="0"/>
              <w:spacing w:before="0" w:after="0"/>
              <w:jc w:val="center"/>
              <w:rPr>
                <w:b/>
                <w:spacing w:val="0"/>
              </w:rPr>
            </w:pPr>
            <w:r>
              <w:rPr>
                <w:b/>
                <w:spacing w:val="0"/>
              </w:rPr>
              <w:t>December 31, 2025</w:t>
            </w:r>
          </w:p>
        </w:tc>
        <w:tc>
          <w:tcPr>
            <w:tcW w:w="75" w:type="dxa"/>
            <w:tcBorders/>
            <w:vAlign w:val="center"/>
          </w:tcPr>
          <w:p>
            <w:pPr>
              <w:pStyle w:val="TableContents"/>
              <w:bidi w:val="0"/>
              <w:spacing w:before="0" w:after="0"/>
              <w:jc w:val="left"/>
              <w:rPr>
                <w:spacing w:val="0"/>
              </w:rPr>
            </w:pPr>
            <w:r>
              <w:rPr>
                <w:spacing w:val="0"/>
              </w:rPr>
              <w:t> </w:t>
            </w:r>
          </w:p>
        </w:tc>
      </w:tr>
      <w:tr>
        <w:trPr/>
        <w:tc>
          <w:tcPr>
            <w:tcW w:w="41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Compensation and benefits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41" w:type="dxa"/>
            <w:tcBorders/>
            <w:shd w:fill="CCEEFF" w:val="clear"/>
            <w:vAlign w:val="center"/>
          </w:tcPr>
          <w:p>
            <w:pPr>
              <w:pStyle w:val="TableContents"/>
              <w:bidi w:val="0"/>
              <w:spacing w:before="0" w:after="0"/>
              <w:jc w:val="left"/>
              <w:rPr>
                <w:spacing w:val="0"/>
              </w:rPr>
            </w:pPr>
            <w:r>
              <w:rPr>
                <w:spacing w:val="0"/>
              </w:rPr>
              <w:t>$</w:t>
            </w:r>
          </w:p>
        </w:tc>
        <w:tc>
          <w:tcPr>
            <w:tcW w:w="1174" w:type="dxa"/>
            <w:tcBorders/>
            <w:shd w:fill="CCEEFF" w:val="clear"/>
            <w:vAlign w:val="center"/>
          </w:tcPr>
          <w:p>
            <w:pPr>
              <w:pStyle w:val="TableContents"/>
              <w:bidi w:val="0"/>
              <w:spacing w:before="0" w:after="0"/>
              <w:jc w:val="right"/>
              <w:rPr>
                <w:spacing w:val="0"/>
              </w:rPr>
            </w:pPr>
            <w:r>
              <w:rPr>
                <w:spacing w:val="0"/>
              </w:rPr>
              <w:t>2,536</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333" w:type="dxa"/>
            <w:tcBorders/>
            <w:shd w:fill="CCEEFF" w:val="clear"/>
            <w:vAlign w:val="center"/>
          </w:tcPr>
          <w:p>
            <w:pPr>
              <w:pStyle w:val="TableContents"/>
              <w:bidi w:val="0"/>
              <w:spacing w:before="0" w:after="0"/>
              <w:jc w:val="left"/>
              <w:rPr>
                <w:spacing w:val="0"/>
              </w:rPr>
            </w:pPr>
            <w:r>
              <w:rPr>
                <w:spacing w:val="0"/>
              </w:rPr>
              <w:t>$</w:t>
            </w:r>
          </w:p>
        </w:tc>
        <w:tc>
          <w:tcPr>
            <w:tcW w:w="1622" w:type="dxa"/>
            <w:tcBorders/>
            <w:shd w:fill="CCEEFF" w:val="clear"/>
            <w:vAlign w:val="center"/>
          </w:tcPr>
          <w:p>
            <w:pPr>
              <w:pStyle w:val="TableContents"/>
              <w:bidi w:val="0"/>
              <w:spacing w:before="0" w:after="0"/>
              <w:jc w:val="right"/>
              <w:rPr>
                <w:spacing w:val="0"/>
              </w:rPr>
            </w:pPr>
            <w:r>
              <w:rPr>
                <w:spacing w:val="0"/>
              </w:rPr>
              <w:t>3,830</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41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External research and development costs</w:t>
            </w:r>
          </w:p>
        </w:tc>
        <w:tc>
          <w:tcPr>
            <w:tcW w:w="120" w:type="dxa"/>
            <w:tcBorders/>
            <w:vAlign w:val="center"/>
          </w:tcPr>
          <w:p>
            <w:pPr>
              <w:pStyle w:val="TableContents"/>
              <w:bidi w:val="0"/>
              <w:spacing w:before="0" w:after="0"/>
              <w:jc w:val="left"/>
              <w:rPr>
                <w:spacing w:val="0"/>
              </w:rPr>
            </w:pPr>
            <w:r>
              <w:rPr>
                <w:spacing w:val="0"/>
              </w:rPr>
              <w:t>  </w:t>
            </w:r>
          </w:p>
        </w:tc>
        <w:tc>
          <w:tcPr>
            <w:tcW w:w="241" w:type="dxa"/>
            <w:tcBorders/>
            <w:vAlign w:val="center"/>
          </w:tcPr>
          <w:p>
            <w:pPr>
              <w:pStyle w:val="TableContents"/>
              <w:bidi w:val="0"/>
              <w:spacing w:before="0" w:after="0"/>
              <w:jc w:val="left"/>
              <w:rPr>
                <w:spacing w:val="0"/>
              </w:rPr>
            </w:pPr>
            <w:r>
              <w:rPr>
                <w:spacing w:val="0"/>
              </w:rPr>
              <w:t> </w:t>
            </w:r>
          </w:p>
        </w:tc>
        <w:tc>
          <w:tcPr>
            <w:tcW w:w="1174" w:type="dxa"/>
            <w:tcBorders/>
            <w:vAlign w:val="center"/>
          </w:tcPr>
          <w:p>
            <w:pPr>
              <w:pStyle w:val="TableContents"/>
              <w:bidi w:val="0"/>
              <w:spacing w:before="0" w:after="0"/>
              <w:jc w:val="right"/>
              <w:rPr>
                <w:spacing w:val="0"/>
              </w:rPr>
            </w:pPr>
            <w:r>
              <w:rPr>
                <w:spacing w:val="0"/>
              </w:rPr>
              <w:t>7,722</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33" w:type="dxa"/>
            <w:tcBorders/>
            <w:vAlign w:val="center"/>
          </w:tcPr>
          <w:p>
            <w:pPr>
              <w:pStyle w:val="TableContents"/>
              <w:bidi w:val="0"/>
              <w:spacing w:before="0" w:after="0"/>
              <w:jc w:val="left"/>
              <w:rPr>
                <w:spacing w:val="0"/>
              </w:rPr>
            </w:pPr>
            <w:r>
              <w:rPr>
                <w:spacing w:val="0"/>
              </w:rPr>
              <w:t> </w:t>
            </w:r>
          </w:p>
        </w:tc>
        <w:tc>
          <w:tcPr>
            <w:tcW w:w="1622" w:type="dxa"/>
            <w:tcBorders/>
            <w:vAlign w:val="center"/>
          </w:tcPr>
          <w:p>
            <w:pPr>
              <w:pStyle w:val="TableContents"/>
              <w:bidi w:val="0"/>
              <w:spacing w:before="0" w:after="0"/>
              <w:jc w:val="right"/>
              <w:rPr>
                <w:spacing w:val="0"/>
              </w:rPr>
            </w:pPr>
            <w:r>
              <w:rPr>
                <w:spacing w:val="0"/>
              </w:rPr>
              <w:t>6,361</w:t>
            </w:r>
          </w:p>
        </w:tc>
        <w:tc>
          <w:tcPr>
            <w:tcW w:w="75" w:type="dxa"/>
            <w:tcBorders/>
            <w:vAlign w:val="center"/>
          </w:tcPr>
          <w:p>
            <w:pPr>
              <w:pStyle w:val="TableContents"/>
              <w:bidi w:val="0"/>
              <w:spacing w:before="0" w:after="0"/>
              <w:jc w:val="left"/>
              <w:rPr>
                <w:spacing w:val="0"/>
              </w:rPr>
            </w:pPr>
            <w:r>
              <w:rPr>
                <w:spacing w:val="0"/>
              </w:rPr>
              <w:t> </w:t>
            </w:r>
          </w:p>
        </w:tc>
      </w:tr>
      <w:tr>
        <w:trPr/>
        <w:tc>
          <w:tcPr>
            <w:tcW w:w="41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Legal and professional fees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41" w:type="dxa"/>
            <w:tcBorders/>
            <w:shd w:fill="CCEEFF" w:val="clear"/>
            <w:vAlign w:val="center"/>
          </w:tcPr>
          <w:p>
            <w:pPr>
              <w:pStyle w:val="TableContents"/>
              <w:bidi w:val="0"/>
              <w:spacing w:before="0" w:after="0"/>
              <w:jc w:val="left"/>
              <w:rPr>
                <w:spacing w:val="0"/>
              </w:rPr>
            </w:pPr>
            <w:r>
              <w:rPr>
                <w:spacing w:val="0"/>
              </w:rPr>
              <w:t> </w:t>
            </w:r>
          </w:p>
        </w:tc>
        <w:tc>
          <w:tcPr>
            <w:tcW w:w="1174" w:type="dxa"/>
            <w:tcBorders/>
            <w:shd w:fill="CCEEFF" w:val="clear"/>
            <w:vAlign w:val="center"/>
          </w:tcPr>
          <w:p>
            <w:pPr>
              <w:pStyle w:val="TableContents"/>
              <w:bidi w:val="0"/>
              <w:spacing w:before="0" w:after="0"/>
              <w:jc w:val="right"/>
              <w:rPr>
                <w:spacing w:val="0"/>
              </w:rPr>
            </w:pPr>
            <w:r>
              <w:rPr>
                <w:spacing w:val="0"/>
              </w:rPr>
              <w:t>5,392</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333" w:type="dxa"/>
            <w:tcBorders/>
            <w:shd w:fill="CCEEFF" w:val="clear"/>
            <w:vAlign w:val="center"/>
          </w:tcPr>
          <w:p>
            <w:pPr>
              <w:pStyle w:val="TableContents"/>
              <w:bidi w:val="0"/>
              <w:spacing w:before="0" w:after="0"/>
              <w:jc w:val="left"/>
              <w:rPr>
                <w:spacing w:val="0"/>
              </w:rPr>
            </w:pPr>
            <w:r>
              <w:rPr>
                <w:spacing w:val="0"/>
              </w:rPr>
              <w:t> </w:t>
            </w:r>
          </w:p>
        </w:tc>
        <w:tc>
          <w:tcPr>
            <w:tcW w:w="1622" w:type="dxa"/>
            <w:tcBorders/>
            <w:shd w:fill="CCEEFF" w:val="clear"/>
            <w:vAlign w:val="center"/>
          </w:tcPr>
          <w:p>
            <w:pPr>
              <w:pStyle w:val="TableContents"/>
              <w:bidi w:val="0"/>
              <w:spacing w:before="0" w:after="0"/>
              <w:jc w:val="right"/>
              <w:rPr>
                <w:spacing w:val="0"/>
              </w:rPr>
            </w:pPr>
            <w:r>
              <w:rPr>
                <w:spacing w:val="0"/>
              </w:rPr>
              <w:t>685</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41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w:t>
            </w:r>
          </w:p>
        </w:tc>
        <w:tc>
          <w:tcPr>
            <w:tcW w:w="120" w:type="dxa"/>
            <w:tcBorders/>
            <w:vAlign w:val="center"/>
          </w:tcPr>
          <w:p>
            <w:pPr>
              <w:pStyle w:val="TableContents"/>
              <w:bidi w:val="0"/>
              <w:spacing w:before="0" w:after="0"/>
              <w:jc w:val="left"/>
              <w:rPr>
                <w:spacing w:val="0"/>
              </w:rPr>
            </w:pPr>
            <w:r>
              <w:rPr>
                <w:spacing w:val="0"/>
              </w:rPr>
              <w:t>  </w:t>
            </w:r>
          </w:p>
        </w:tc>
        <w:tc>
          <w:tcPr>
            <w:tcW w:w="241" w:type="dxa"/>
            <w:tcBorders/>
            <w:vAlign w:val="center"/>
          </w:tcPr>
          <w:p>
            <w:pPr>
              <w:pStyle w:val="TableContents"/>
              <w:bidi w:val="0"/>
              <w:spacing w:before="0" w:after="0"/>
              <w:jc w:val="left"/>
              <w:rPr>
                <w:spacing w:val="0"/>
              </w:rPr>
            </w:pPr>
            <w:r>
              <w:rPr>
                <w:spacing w:val="0"/>
              </w:rPr>
              <w:t> </w:t>
            </w:r>
          </w:p>
        </w:tc>
        <w:tc>
          <w:tcPr>
            <w:tcW w:w="1174" w:type="dxa"/>
            <w:tcBorders/>
            <w:vAlign w:val="center"/>
          </w:tcPr>
          <w:p>
            <w:pPr>
              <w:pStyle w:val="TableContents"/>
              <w:bidi w:val="0"/>
              <w:spacing w:before="0" w:after="0"/>
              <w:jc w:val="right"/>
              <w:rPr>
                <w:spacing w:val="0"/>
              </w:rPr>
            </w:pPr>
            <w:r>
              <w:rPr>
                <w:spacing w:val="0"/>
              </w:rPr>
              <w:t>2,203</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33" w:type="dxa"/>
            <w:tcBorders/>
            <w:vAlign w:val="center"/>
          </w:tcPr>
          <w:p>
            <w:pPr>
              <w:pStyle w:val="TableContents"/>
              <w:bidi w:val="0"/>
              <w:spacing w:before="0" w:after="0"/>
              <w:jc w:val="left"/>
              <w:rPr>
                <w:spacing w:val="0"/>
              </w:rPr>
            </w:pPr>
            <w:r>
              <w:rPr>
                <w:spacing w:val="0"/>
              </w:rPr>
              <w:t> </w:t>
            </w:r>
          </w:p>
        </w:tc>
        <w:tc>
          <w:tcPr>
            <w:tcW w:w="1622" w:type="dxa"/>
            <w:tcBorders/>
            <w:vAlign w:val="center"/>
          </w:tcPr>
          <w:p>
            <w:pPr>
              <w:pStyle w:val="TableContents"/>
              <w:bidi w:val="0"/>
              <w:spacing w:before="0" w:after="0"/>
              <w:jc w:val="right"/>
              <w:rPr>
                <w:spacing w:val="0"/>
              </w:rPr>
            </w:pPr>
            <w:r>
              <w:rPr>
                <w:spacing w:val="0"/>
              </w:rPr>
              <w:t>1,415</w:t>
            </w:r>
          </w:p>
        </w:tc>
        <w:tc>
          <w:tcPr>
            <w:tcW w:w="75" w:type="dxa"/>
            <w:tcBorders/>
            <w:vAlign w:val="center"/>
          </w:tcPr>
          <w:p>
            <w:pPr>
              <w:pStyle w:val="TableContents"/>
              <w:bidi w:val="0"/>
              <w:spacing w:before="0" w:after="0"/>
              <w:jc w:val="left"/>
              <w:rPr>
                <w:spacing w:val="0"/>
              </w:rPr>
            </w:pPr>
            <w:r>
              <w:rPr>
                <w:spacing w:val="0"/>
              </w:rPr>
              <w:t> </w:t>
            </w:r>
          </w:p>
        </w:tc>
      </w:tr>
      <w:tr>
        <w:trPr/>
        <w:tc>
          <w:tcPr>
            <w:tcW w:w="41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2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2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0"/>
              <w:jc w:val="left"/>
              <w:rPr>
                <w:spacing w:val="0"/>
              </w:rPr>
            </w:pPr>
            <w:r>
              <w:rPr>
                <w:spacing w:val="0"/>
              </w:rPr>
              <w:t> </w:t>
            </w:r>
          </w:p>
        </w:tc>
      </w:tr>
      <w:tr>
        <w:trPr/>
        <w:tc>
          <w:tcPr>
            <w:tcW w:w="41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accrued expenses and other current liabilities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41" w:type="dxa"/>
            <w:tcBorders/>
            <w:shd w:fill="CCEEFF" w:val="clear"/>
            <w:vAlign w:val="center"/>
          </w:tcPr>
          <w:p>
            <w:pPr>
              <w:pStyle w:val="TableContents"/>
              <w:bidi w:val="0"/>
              <w:spacing w:before="0" w:after="0"/>
              <w:jc w:val="left"/>
              <w:rPr>
                <w:spacing w:val="0"/>
              </w:rPr>
            </w:pPr>
            <w:r>
              <w:rPr>
                <w:spacing w:val="0"/>
              </w:rPr>
              <w:t>$</w:t>
            </w:r>
          </w:p>
        </w:tc>
        <w:tc>
          <w:tcPr>
            <w:tcW w:w="1174" w:type="dxa"/>
            <w:tcBorders/>
            <w:shd w:fill="CCEEFF" w:val="clear"/>
            <w:vAlign w:val="center"/>
          </w:tcPr>
          <w:p>
            <w:pPr>
              <w:pStyle w:val="TableContents"/>
              <w:bidi w:val="0"/>
              <w:spacing w:before="0" w:after="0"/>
              <w:jc w:val="right"/>
              <w:rPr>
                <w:spacing w:val="0"/>
              </w:rPr>
            </w:pPr>
            <w:r>
              <w:rPr>
                <w:spacing w:val="0"/>
              </w:rPr>
              <w:t>17,853</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333" w:type="dxa"/>
            <w:tcBorders/>
            <w:shd w:fill="CCEEFF" w:val="clear"/>
            <w:vAlign w:val="center"/>
          </w:tcPr>
          <w:p>
            <w:pPr>
              <w:pStyle w:val="TableContents"/>
              <w:bidi w:val="0"/>
              <w:spacing w:before="0" w:after="0"/>
              <w:jc w:val="left"/>
              <w:rPr>
                <w:spacing w:val="0"/>
              </w:rPr>
            </w:pPr>
            <w:r>
              <w:rPr>
                <w:spacing w:val="0"/>
              </w:rPr>
              <w:t>$</w:t>
            </w:r>
          </w:p>
        </w:tc>
        <w:tc>
          <w:tcPr>
            <w:tcW w:w="1622" w:type="dxa"/>
            <w:tcBorders/>
            <w:shd w:fill="CCEEFF" w:val="clear"/>
            <w:vAlign w:val="center"/>
          </w:tcPr>
          <w:p>
            <w:pPr>
              <w:pStyle w:val="TableContents"/>
              <w:bidi w:val="0"/>
              <w:spacing w:before="0" w:after="0"/>
              <w:jc w:val="right"/>
              <w:rPr>
                <w:spacing w:val="0"/>
              </w:rPr>
            </w:pPr>
            <w:r>
              <w:rPr>
                <w:spacing w:val="0"/>
              </w:rPr>
              <w:t>12,291</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41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24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3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2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0"/>
              <w:jc w:val="left"/>
              <w:rPr>
                <w:spacing w:val="0"/>
              </w:rPr>
            </w:pPr>
            <w:r>
              <w:rPr>
                <w:spacing w:val="0"/>
              </w:rPr>
              <w:t> </w:t>
            </w:r>
          </w:p>
        </w:tc>
      </w:tr>
    </w:tbl>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F-3</w:t>
      </w:r>
    </w:p>
    <w:p>
      <w:pPr>
        <w:pStyle w:val="TextBody"/>
        <w:bidi w:val="0"/>
        <w:spacing w:before="0" w:after="0"/>
        <w:jc w:val="center"/>
        <w:rPr>
          <w:rFonts w:ascii="Times New Roman" w:hAnsi="Times New Roman"/>
          <w:spacing w:val="0"/>
          <w:sz w:val="20"/>
        </w:rPr>
      </w:pPr>
      <w:r>
        <w:rPr>
          <w:rFonts w:ascii="Times New Roman" w:hAnsi="Times New Roman"/>
          <w:spacing w:val="0"/>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5. Redeemable Convertible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2026, Takeda Ventures, Inc., elected to convert 7,085,290 shares of Series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A-1</w:t>
      </w:r>
    </w:p>
    <w:p>
      <w:pPr>
        <w:pStyle w:val="TextBody"/>
        <w:bidi w:val="0"/>
        <w:spacing w:before="120" w:after="0"/>
        <w:jc w:val="left"/>
        <w:rPr>
          <w:rFonts w:ascii="Times New Roman" w:hAnsi="Times New Roman"/>
          <w:sz w:val="20"/>
        </w:rPr>
      </w:pPr>
      <w:r>
        <w:rPr>
          <w:rFonts w:ascii="Times New Roman" w:hAnsi="Times New Roman"/>
          <w:sz w:val="20"/>
        </w:rPr>
        <w:t xml:space="preserve">Preferred Stock into Common Stock ,par value $0.0001 per share (“Common Stock”) at the conversion price of $1.1291.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At June 30, 2026 and December 31, 2025, the Preferred Stock is summarized below (in thousands, except share amounts): </w:t>
      </w:r>
    </w:p>
    <w:p>
      <w:pPr>
        <w:pStyle w:val="TextBody"/>
        <w:bidi w:val="0"/>
        <w:spacing w:before="0" w:after="0"/>
        <w:jc w:val="left"/>
        <w:rPr>
          <w:spacing w:val="0"/>
        </w:rPr>
      </w:pPr>
      <w:r>
        <w:rPr>
          <w:spacing w:val="0"/>
        </w:rPr>
        <w:t> </w:t>
      </w:r>
    </w:p>
    <w:tbl>
      <w:tblPr>
        <w:tblW w:w="9403" w:type="dxa"/>
        <w:jc w:val="left"/>
        <w:tblInd w:w="0" w:type="dxa"/>
        <w:tblLayout w:type="fixed"/>
        <w:tblCellMar>
          <w:top w:w="0" w:type="dxa"/>
          <w:left w:w="0" w:type="dxa"/>
          <w:bottom w:w="0" w:type="dxa"/>
          <w:right w:w="0" w:type="dxa"/>
        </w:tblCellMar>
      </w:tblPr>
      <w:tblGrid>
        <w:gridCol w:w="1970"/>
        <w:gridCol w:w="120"/>
        <w:gridCol w:w="61"/>
        <w:gridCol w:w="1248"/>
        <w:gridCol w:w="60"/>
        <w:gridCol w:w="120"/>
        <w:gridCol w:w="61"/>
        <w:gridCol w:w="1248"/>
        <w:gridCol w:w="60"/>
        <w:gridCol w:w="120"/>
        <w:gridCol w:w="143"/>
        <w:gridCol w:w="822"/>
        <w:gridCol w:w="60"/>
        <w:gridCol w:w="120"/>
        <w:gridCol w:w="181"/>
        <w:gridCol w:w="1039"/>
        <w:gridCol w:w="60"/>
        <w:gridCol w:w="120"/>
        <w:gridCol w:w="80"/>
        <w:gridCol w:w="1635"/>
        <w:gridCol w:w="75"/>
      </w:tblGrid>
      <w:tr>
        <w:trPr/>
        <w:tc>
          <w:tcPr>
            <w:tcW w:w="1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38" w:type="dxa"/>
            <w:gridSpan w:val="18"/>
            <w:tcBorders/>
            <w:vAlign w:val="center"/>
          </w:tcPr>
          <w:p>
            <w:pPr>
              <w:pStyle w:val="TableContents"/>
              <w:bidi w:val="0"/>
              <w:spacing w:before="0" w:after="0"/>
              <w:jc w:val="center"/>
              <w:rPr>
                <w:b/>
                <w:spacing w:val="0"/>
              </w:rPr>
            </w:pPr>
            <w:r>
              <w:rPr>
                <w:b/>
                <w:spacing w:val="0"/>
              </w:rPr>
              <w:t>Amounts at June 30, 2026</w:t>
            </w:r>
          </w:p>
        </w:tc>
        <w:tc>
          <w:tcPr>
            <w:tcW w:w="7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09" w:type="dxa"/>
            <w:gridSpan w:val="2"/>
            <w:tcBorders/>
            <w:vAlign w:val="center"/>
          </w:tcPr>
          <w:p>
            <w:pPr>
              <w:pStyle w:val="TableContents"/>
              <w:bidi w:val="0"/>
              <w:spacing w:before="0" w:after="0"/>
              <w:jc w:val="center"/>
              <w:rPr>
                <w:b/>
                <w:spacing w:val="0"/>
              </w:rPr>
            </w:pPr>
            <w:r>
              <w:rPr>
                <w:b/>
                <w:spacing w:val="0"/>
              </w:rPr>
              <w:t>Total Shares</w:t>
              <w:br/>
              <w:t>Authorized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09" w:type="dxa"/>
            <w:gridSpan w:val="2"/>
            <w:tcBorders/>
            <w:vAlign w:val="center"/>
          </w:tcPr>
          <w:p>
            <w:pPr>
              <w:pStyle w:val="TableContents"/>
              <w:bidi w:val="0"/>
              <w:spacing w:before="0" w:after="0"/>
              <w:jc w:val="center"/>
              <w:rPr>
                <w:b/>
                <w:spacing w:val="0"/>
              </w:rPr>
            </w:pPr>
            <w:r>
              <w:rPr>
                <w:b/>
                <w:spacing w:val="0"/>
              </w:rPr>
              <w:t>Total Shares</w:t>
              <w:br/>
              <w:t>Issued and</w:t>
              <w:br/>
              <w:t>Outstanding</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0"/>
              <w:jc w:val="center"/>
              <w:rPr>
                <w:b/>
                <w:spacing w:val="0"/>
              </w:rPr>
            </w:pPr>
            <w:r>
              <w:rPr>
                <w:b/>
                <w:spacing w:val="0"/>
              </w:rPr>
              <w:t>Carrying</w:t>
              <w:br/>
              <w:t>Value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0"/>
              <w:jc w:val="center"/>
              <w:rPr>
                <w:b/>
                <w:spacing w:val="0"/>
              </w:rPr>
            </w:pPr>
            <w:r>
              <w:rPr>
                <w:b/>
                <w:spacing w:val="0"/>
              </w:rPr>
              <w:t>Liquidation</w:t>
              <w:br/>
              <w:t>Preference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15" w:type="dxa"/>
            <w:gridSpan w:val="2"/>
            <w:tcBorders/>
            <w:vAlign w:val="center"/>
          </w:tcPr>
          <w:p>
            <w:pPr>
              <w:pStyle w:val="TableContents"/>
              <w:bidi w:val="0"/>
              <w:spacing w:before="0" w:after="0"/>
              <w:jc w:val="center"/>
              <w:rPr>
                <w:b/>
                <w:spacing w:val="0"/>
              </w:rPr>
            </w:pPr>
            <w:r>
              <w:rPr>
                <w:b/>
                <w:spacing w:val="0"/>
              </w:rPr>
              <w:t>Common Shares</w:t>
              <w:br/>
              <w:t>Issuable Upon</w:t>
              <w:br/>
              <w:t>Conversion</w:t>
            </w:r>
          </w:p>
        </w:tc>
        <w:tc>
          <w:tcPr>
            <w:tcW w:w="7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Series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A-1</w:t>
            </w:r>
          </w:p>
          <w:p>
            <w:pPr>
              <w:pStyle w:val="TableContents"/>
              <w:bidi w:val="0"/>
              <w:spacing w:before="0" w:after="0"/>
              <w:jc w:val="left"/>
              <w:rPr>
                <w:rFonts w:ascii="Times New Roman" w:hAnsi="Times New Roman"/>
                <w:sz w:val="20"/>
              </w:rPr>
            </w:pPr>
            <w:r>
              <w:rPr>
                <w:rFonts w:ascii="Times New Roman" w:hAnsi="Times New Roman"/>
                <w:sz w:val="20"/>
              </w:rPr>
              <w:t>Preferred Stock</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33,222,339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26,114,925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822" w:type="dxa"/>
            <w:tcBorders/>
            <w:shd w:fill="CCEEFF" w:val="clear"/>
            <w:vAlign w:val="center"/>
          </w:tcPr>
          <w:p>
            <w:pPr>
              <w:pStyle w:val="TableContents"/>
              <w:bidi w:val="0"/>
              <w:spacing w:before="0" w:after="283"/>
              <w:jc w:val="right"/>
              <w:rPr/>
            </w:pPr>
            <w:r>
              <w:rPr/>
              <w:t>29,486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039" w:type="dxa"/>
            <w:tcBorders/>
            <w:shd w:fill="CCEEFF" w:val="clear"/>
            <w:vAlign w:val="center"/>
          </w:tcPr>
          <w:p>
            <w:pPr>
              <w:pStyle w:val="TableContents"/>
              <w:bidi w:val="0"/>
              <w:spacing w:before="0" w:after="283"/>
              <w:jc w:val="right"/>
              <w:rPr/>
            </w:pPr>
            <w:r>
              <w:rPr/>
              <w:t>29,486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35" w:type="dxa"/>
            <w:tcBorders/>
            <w:shd w:fill="CCEEFF" w:val="clear"/>
            <w:vAlign w:val="center"/>
          </w:tcPr>
          <w:p>
            <w:pPr>
              <w:pStyle w:val="TableContents"/>
              <w:bidi w:val="0"/>
              <w:spacing w:before="0" w:after="283"/>
              <w:jc w:val="right"/>
              <w:rPr/>
            </w:pPr>
            <w:r>
              <w:rPr/>
              <w:t>26,114,925</w:t>
            </w:r>
          </w:p>
        </w:tc>
        <w:tc>
          <w:tcPr>
            <w:tcW w:w="75" w:type="dxa"/>
            <w:tcBorders/>
            <w:shd w:fill="CCEEFF" w:val="cle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Series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A-2</w:t>
            </w:r>
          </w:p>
          <w:p>
            <w:pPr>
              <w:pStyle w:val="TableContents"/>
              <w:bidi w:val="0"/>
              <w:spacing w:before="0" w:after="0"/>
              <w:jc w:val="left"/>
              <w:rPr>
                <w:rFonts w:ascii="Times New Roman" w:hAnsi="Times New Roman"/>
                <w:sz w:val="20"/>
              </w:rPr>
            </w:pPr>
            <w:r>
              <w:rPr>
                <w:rFonts w:ascii="Times New Roman" w:hAnsi="Times New Roman"/>
                <w:sz w:val="20"/>
              </w:rPr>
              <w:t>Preferred Stock</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48" w:type="dxa"/>
            <w:tcBorders/>
            <w:vAlign w:val="center"/>
          </w:tcPr>
          <w:p>
            <w:pPr>
              <w:pStyle w:val="TableContents"/>
              <w:bidi w:val="0"/>
              <w:spacing w:before="0" w:after="283"/>
              <w:jc w:val="right"/>
              <w:rPr/>
            </w:pPr>
            <w:r>
              <w:rPr/>
              <w:t>14,936,323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48" w:type="dxa"/>
            <w:tcBorders/>
            <w:vAlign w:val="center"/>
          </w:tcPr>
          <w:p>
            <w:pPr>
              <w:pStyle w:val="TableContents"/>
              <w:bidi w:val="0"/>
              <w:spacing w:before="0" w:after="283"/>
              <w:jc w:val="right"/>
              <w:rPr/>
            </w:pPr>
            <w:r>
              <w:rPr/>
              <w:t>14,936,323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right"/>
              <w:rPr/>
            </w:pPr>
            <w:r>
              <w:rPr/>
              <w:t>16,807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14,936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635" w:type="dxa"/>
            <w:tcBorders/>
            <w:vAlign w:val="center"/>
          </w:tcPr>
          <w:p>
            <w:pPr>
              <w:pStyle w:val="TableContents"/>
              <w:bidi w:val="0"/>
              <w:spacing w:before="0" w:after="283"/>
              <w:jc w:val="right"/>
              <w:rPr/>
            </w:pPr>
            <w:r>
              <w:rPr/>
              <w:t>14,936,323</w:t>
            </w:r>
          </w:p>
        </w:tc>
        <w:tc>
          <w:tcPr>
            <w:tcW w:w="7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Series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A-3</w:t>
            </w:r>
          </w:p>
          <w:p>
            <w:pPr>
              <w:pStyle w:val="TableContents"/>
              <w:bidi w:val="0"/>
              <w:spacing w:before="0" w:after="0"/>
              <w:jc w:val="left"/>
              <w:rPr>
                <w:rFonts w:ascii="Times New Roman" w:hAnsi="Times New Roman"/>
                <w:sz w:val="20"/>
              </w:rPr>
            </w:pPr>
            <w:r>
              <w:rPr>
                <w:rFonts w:ascii="Times New Roman" w:hAnsi="Times New Roman"/>
                <w:sz w:val="20"/>
              </w:rPr>
              <w:t>Preferred Stock</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6,146,592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6,146,592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9,035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9,035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35" w:type="dxa"/>
            <w:tcBorders/>
            <w:shd w:fill="CCEEFF" w:val="clear"/>
            <w:vAlign w:val="center"/>
          </w:tcPr>
          <w:p>
            <w:pPr>
              <w:pStyle w:val="TableContents"/>
              <w:bidi w:val="0"/>
              <w:spacing w:before="0" w:after="283"/>
              <w:jc w:val="right"/>
              <w:rPr/>
            </w:pPr>
            <w:r>
              <w:rPr/>
              <w:t>6,146,592</w:t>
            </w:r>
          </w:p>
        </w:tc>
        <w:tc>
          <w:tcPr>
            <w:tcW w:w="75" w:type="dxa"/>
            <w:tcBorders/>
            <w:shd w:fill="CCEEFF" w:val="cle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Series B Preferred Stock</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48" w:type="dxa"/>
            <w:tcBorders/>
            <w:vAlign w:val="center"/>
          </w:tcPr>
          <w:p>
            <w:pPr>
              <w:pStyle w:val="TableContents"/>
              <w:bidi w:val="0"/>
              <w:spacing w:before="0" w:after="283"/>
              <w:jc w:val="right"/>
              <w:rPr/>
            </w:pPr>
            <w:r>
              <w:rPr/>
              <w:t>76,187,917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48" w:type="dxa"/>
            <w:tcBorders/>
            <w:vAlign w:val="center"/>
          </w:tcPr>
          <w:p>
            <w:pPr>
              <w:pStyle w:val="TableContents"/>
              <w:bidi w:val="0"/>
              <w:spacing w:before="0" w:after="283"/>
              <w:jc w:val="right"/>
              <w:rPr/>
            </w:pPr>
            <w:r>
              <w:rPr/>
              <w:t>76,187,917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right"/>
              <w:rPr/>
            </w:pPr>
            <w:r>
              <w:rPr/>
              <w:t>114,732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115,044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635" w:type="dxa"/>
            <w:tcBorders/>
            <w:vAlign w:val="center"/>
          </w:tcPr>
          <w:p>
            <w:pPr>
              <w:pStyle w:val="TableContents"/>
              <w:bidi w:val="0"/>
              <w:spacing w:before="0" w:after="283"/>
              <w:jc w:val="right"/>
              <w:rPr/>
            </w:pPr>
            <w:r>
              <w:rPr/>
              <w:t>76,187,917</w:t>
            </w:r>
          </w:p>
        </w:tc>
        <w:tc>
          <w:tcPr>
            <w:tcW w:w="7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Series C Preferred Stock</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84,567,145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84,567,145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159,968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160,500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35" w:type="dxa"/>
            <w:tcBorders/>
            <w:shd w:fill="CCEEFF" w:val="clear"/>
            <w:vAlign w:val="center"/>
          </w:tcPr>
          <w:p>
            <w:pPr>
              <w:pStyle w:val="TableContents"/>
              <w:bidi w:val="0"/>
              <w:spacing w:before="0" w:after="283"/>
              <w:jc w:val="right"/>
              <w:rPr/>
            </w:pPr>
            <w:r>
              <w:rPr/>
              <w:t>84,567,145</w:t>
            </w:r>
          </w:p>
        </w:tc>
        <w:tc>
          <w:tcPr>
            <w:tcW w:w="75" w:type="dxa"/>
            <w:tcBorders/>
            <w:shd w:fill="CCEEFF" w:val="cle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4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4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2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3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48" w:type="dxa"/>
            <w:tcBorders/>
            <w:vAlign w:val="center"/>
          </w:tcPr>
          <w:p>
            <w:pPr>
              <w:pStyle w:val="TableContents"/>
              <w:bidi w:val="0"/>
              <w:spacing w:before="0" w:after="283"/>
              <w:jc w:val="right"/>
              <w:rPr/>
            </w:pPr>
            <w:r>
              <w:rPr/>
              <w:t>215,060,316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48" w:type="dxa"/>
            <w:tcBorders/>
            <w:vAlign w:val="center"/>
          </w:tcPr>
          <w:p>
            <w:pPr>
              <w:pStyle w:val="TableContents"/>
              <w:bidi w:val="0"/>
              <w:spacing w:before="0" w:after="283"/>
              <w:jc w:val="right"/>
              <w:rPr/>
            </w:pPr>
            <w:r>
              <w:rPr/>
              <w:t>207,952,902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w:t>
            </w:r>
          </w:p>
        </w:tc>
        <w:tc>
          <w:tcPr>
            <w:tcW w:w="822" w:type="dxa"/>
            <w:tcBorders/>
            <w:vAlign w:val="center"/>
          </w:tcPr>
          <w:p>
            <w:pPr>
              <w:pStyle w:val="TableContents"/>
              <w:bidi w:val="0"/>
              <w:spacing w:before="0" w:after="283"/>
              <w:jc w:val="right"/>
              <w:rPr/>
            </w:pPr>
            <w:r>
              <w:rPr/>
              <w:t>330,028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1039" w:type="dxa"/>
            <w:tcBorders/>
            <w:vAlign w:val="center"/>
          </w:tcPr>
          <w:p>
            <w:pPr>
              <w:pStyle w:val="TableContents"/>
              <w:bidi w:val="0"/>
              <w:spacing w:before="0" w:after="283"/>
              <w:jc w:val="right"/>
              <w:rPr/>
            </w:pPr>
            <w:r>
              <w:rPr/>
              <w:t>329,001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635" w:type="dxa"/>
            <w:tcBorders/>
            <w:vAlign w:val="center"/>
          </w:tcPr>
          <w:p>
            <w:pPr>
              <w:pStyle w:val="TableContents"/>
              <w:bidi w:val="0"/>
              <w:spacing w:before="0" w:after="283"/>
              <w:jc w:val="right"/>
              <w:rPr/>
            </w:pPr>
            <w:r>
              <w:rPr/>
              <w:t>207,952,902</w:t>
            </w:r>
          </w:p>
        </w:tc>
        <w:tc>
          <w:tcPr>
            <w:tcW w:w="7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4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4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2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3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3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9403" w:type="dxa"/>
        <w:jc w:val="left"/>
        <w:tblInd w:w="0" w:type="dxa"/>
        <w:tblLayout w:type="fixed"/>
        <w:tblCellMar>
          <w:top w:w="0" w:type="dxa"/>
          <w:left w:w="0" w:type="dxa"/>
          <w:bottom w:w="0" w:type="dxa"/>
          <w:right w:w="0" w:type="dxa"/>
        </w:tblCellMar>
      </w:tblPr>
      <w:tblGrid>
        <w:gridCol w:w="1970"/>
        <w:gridCol w:w="120"/>
        <w:gridCol w:w="61"/>
        <w:gridCol w:w="1248"/>
        <w:gridCol w:w="60"/>
        <w:gridCol w:w="120"/>
        <w:gridCol w:w="61"/>
        <w:gridCol w:w="1248"/>
        <w:gridCol w:w="60"/>
        <w:gridCol w:w="120"/>
        <w:gridCol w:w="143"/>
        <w:gridCol w:w="822"/>
        <w:gridCol w:w="60"/>
        <w:gridCol w:w="120"/>
        <w:gridCol w:w="181"/>
        <w:gridCol w:w="1039"/>
        <w:gridCol w:w="60"/>
        <w:gridCol w:w="120"/>
        <w:gridCol w:w="80"/>
        <w:gridCol w:w="1635"/>
        <w:gridCol w:w="75"/>
      </w:tblGrid>
      <w:tr>
        <w:trPr/>
        <w:tc>
          <w:tcPr>
            <w:tcW w:w="1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38" w:type="dxa"/>
            <w:gridSpan w:val="18"/>
            <w:tcBorders/>
            <w:vAlign w:val="center"/>
          </w:tcPr>
          <w:p>
            <w:pPr>
              <w:pStyle w:val="TableContents"/>
              <w:bidi w:val="0"/>
              <w:spacing w:before="0" w:after="0"/>
              <w:jc w:val="center"/>
              <w:rPr>
                <w:b/>
                <w:spacing w:val="0"/>
              </w:rPr>
            </w:pPr>
            <w:r>
              <w:rPr>
                <w:b/>
                <w:spacing w:val="0"/>
              </w:rPr>
              <w:t>Amounts at December 31, 2025</w:t>
            </w:r>
          </w:p>
        </w:tc>
        <w:tc>
          <w:tcPr>
            <w:tcW w:w="7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09" w:type="dxa"/>
            <w:gridSpan w:val="2"/>
            <w:tcBorders/>
            <w:vAlign w:val="center"/>
          </w:tcPr>
          <w:p>
            <w:pPr>
              <w:pStyle w:val="TableContents"/>
              <w:bidi w:val="0"/>
              <w:spacing w:before="0" w:after="0"/>
              <w:jc w:val="center"/>
              <w:rPr>
                <w:b/>
                <w:spacing w:val="0"/>
              </w:rPr>
            </w:pPr>
            <w:r>
              <w:rPr>
                <w:b/>
                <w:spacing w:val="0"/>
              </w:rPr>
              <w:t>Total Shares</w:t>
              <w:br/>
              <w:t>Authorized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09" w:type="dxa"/>
            <w:gridSpan w:val="2"/>
            <w:tcBorders/>
            <w:vAlign w:val="center"/>
          </w:tcPr>
          <w:p>
            <w:pPr>
              <w:pStyle w:val="TableContents"/>
              <w:bidi w:val="0"/>
              <w:spacing w:before="0" w:after="0"/>
              <w:jc w:val="center"/>
              <w:rPr>
                <w:b/>
                <w:spacing w:val="0"/>
              </w:rPr>
            </w:pPr>
            <w:r>
              <w:rPr>
                <w:b/>
                <w:spacing w:val="0"/>
              </w:rPr>
              <w:t>Total Shares</w:t>
              <w:br/>
              <w:t>Issued and</w:t>
              <w:br/>
              <w:t>Outstanding</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0"/>
              <w:jc w:val="center"/>
              <w:rPr>
                <w:b/>
                <w:spacing w:val="0"/>
              </w:rPr>
            </w:pPr>
            <w:r>
              <w:rPr>
                <w:b/>
                <w:spacing w:val="0"/>
              </w:rPr>
              <w:t>Carrying</w:t>
              <w:br/>
              <w:t>Value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0"/>
              <w:jc w:val="center"/>
              <w:rPr>
                <w:b/>
                <w:spacing w:val="0"/>
              </w:rPr>
            </w:pPr>
            <w:r>
              <w:rPr>
                <w:b/>
                <w:spacing w:val="0"/>
              </w:rPr>
              <w:t>Liquidation</w:t>
              <w:br/>
              <w:t>Preference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15" w:type="dxa"/>
            <w:gridSpan w:val="2"/>
            <w:tcBorders/>
            <w:vAlign w:val="center"/>
          </w:tcPr>
          <w:p>
            <w:pPr>
              <w:pStyle w:val="TableContents"/>
              <w:bidi w:val="0"/>
              <w:spacing w:before="0" w:after="0"/>
              <w:jc w:val="center"/>
              <w:rPr>
                <w:b/>
                <w:spacing w:val="0"/>
              </w:rPr>
            </w:pPr>
            <w:r>
              <w:rPr>
                <w:b/>
                <w:spacing w:val="0"/>
              </w:rPr>
              <w:t>Common Shares</w:t>
              <w:br/>
              <w:t>Issuable Upon</w:t>
              <w:br/>
              <w:t>Conversion</w:t>
            </w:r>
          </w:p>
        </w:tc>
        <w:tc>
          <w:tcPr>
            <w:tcW w:w="7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Series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A-1</w:t>
            </w:r>
          </w:p>
          <w:p>
            <w:pPr>
              <w:pStyle w:val="TableContents"/>
              <w:bidi w:val="0"/>
              <w:spacing w:before="0" w:after="0"/>
              <w:jc w:val="left"/>
              <w:rPr>
                <w:rFonts w:ascii="Times New Roman" w:hAnsi="Times New Roman"/>
                <w:sz w:val="20"/>
              </w:rPr>
            </w:pPr>
            <w:r>
              <w:rPr>
                <w:rFonts w:ascii="Times New Roman" w:hAnsi="Times New Roman"/>
                <w:sz w:val="20"/>
              </w:rPr>
              <w:t>Preferred Stock</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33,222,339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33,200,215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822" w:type="dxa"/>
            <w:tcBorders/>
            <w:shd w:fill="CCEEFF" w:val="clear"/>
            <w:vAlign w:val="center"/>
          </w:tcPr>
          <w:p>
            <w:pPr>
              <w:pStyle w:val="TableContents"/>
              <w:bidi w:val="0"/>
              <w:spacing w:before="0" w:after="283"/>
              <w:jc w:val="right"/>
              <w:rPr/>
            </w:pPr>
            <w:r>
              <w:rPr/>
              <w:t>37,486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039" w:type="dxa"/>
            <w:tcBorders/>
            <w:shd w:fill="CCEEFF" w:val="clear"/>
            <w:vAlign w:val="center"/>
          </w:tcPr>
          <w:p>
            <w:pPr>
              <w:pStyle w:val="TableContents"/>
              <w:bidi w:val="0"/>
              <w:spacing w:before="0" w:after="283"/>
              <w:jc w:val="right"/>
              <w:rPr/>
            </w:pPr>
            <w:r>
              <w:rPr/>
              <w:t>37,486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35" w:type="dxa"/>
            <w:tcBorders/>
            <w:shd w:fill="CCEEFF" w:val="clear"/>
            <w:vAlign w:val="center"/>
          </w:tcPr>
          <w:p>
            <w:pPr>
              <w:pStyle w:val="TableContents"/>
              <w:bidi w:val="0"/>
              <w:spacing w:before="0" w:after="283"/>
              <w:jc w:val="right"/>
              <w:rPr/>
            </w:pPr>
            <w:r>
              <w:rPr/>
              <w:t>33,200,215</w:t>
            </w:r>
          </w:p>
        </w:tc>
        <w:tc>
          <w:tcPr>
            <w:tcW w:w="75" w:type="dxa"/>
            <w:tcBorders/>
            <w:shd w:fill="CCEEFF" w:val="cle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Series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A-2</w:t>
            </w:r>
          </w:p>
          <w:p>
            <w:pPr>
              <w:pStyle w:val="TableContents"/>
              <w:bidi w:val="0"/>
              <w:spacing w:before="0" w:after="0"/>
              <w:jc w:val="left"/>
              <w:rPr>
                <w:rFonts w:ascii="Times New Roman" w:hAnsi="Times New Roman"/>
                <w:sz w:val="20"/>
              </w:rPr>
            </w:pPr>
            <w:r>
              <w:rPr>
                <w:rFonts w:ascii="Times New Roman" w:hAnsi="Times New Roman"/>
                <w:sz w:val="20"/>
              </w:rPr>
              <w:t>Preferred Stock</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48" w:type="dxa"/>
            <w:tcBorders/>
            <w:vAlign w:val="center"/>
          </w:tcPr>
          <w:p>
            <w:pPr>
              <w:pStyle w:val="TableContents"/>
              <w:bidi w:val="0"/>
              <w:spacing w:before="0" w:after="283"/>
              <w:jc w:val="right"/>
              <w:rPr/>
            </w:pPr>
            <w:r>
              <w:rPr/>
              <w:t>14,936,323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48" w:type="dxa"/>
            <w:tcBorders/>
            <w:vAlign w:val="center"/>
          </w:tcPr>
          <w:p>
            <w:pPr>
              <w:pStyle w:val="TableContents"/>
              <w:bidi w:val="0"/>
              <w:spacing w:before="0" w:after="283"/>
              <w:jc w:val="right"/>
              <w:rPr/>
            </w:pPr>
            <w:r>
              <w:rPr/>
              <w:t>14,936,323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right"/>
              <w:rPr/>
            </w:pPr>
            <w:r>
              <w:rPr/>
              <w:t>16,807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14,936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635" w:type="dxa"/>
            <w:tcBorders/>
            <w:vAlign w:val="center"/>
          </w:tcPr>
          <w:p>
            <w:pPr>
              <w:pStyle w:val="TableContents"/>
              <w:bidi w:val="0"/>
              <w:spacing w:before="0" w:after="283"/>
              <w:jc w:val="right"/>
              <w:rPr/>
            </w:pPr>
            <w:r>
              <w:rPr/>
              <w:t>14,936,323</w:t>
            </w:r>
          </w:p>
        </w:tc>
        <w:tc>
          <w:tcPr>
            <w:tcW w:w="7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Series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A-3</w:t>
            </w:r>
          </w:p>
          <w:p>
            <w:pPr>
              <w:pStyle w:val="TableContents"/>
              <w:bidi w:val="0"/>
              <w:spacing w:before="0" w:after="0"/>
              <w:jc w:val="left"/>
              <w:rPr>
                <w:rFonts w:ascii="Times New Roman" w:hAnsi="Times New Roman"/>
                <w:sz w:val="20"/>
              </w:rPr>
            </w:pPr>
            <w:r>
              <w:rPr>
                <w:rFonts w:ascii="Times New Roman" w:hAnsi="Times New Roman"/>
                <w:sz w:val="20"/>
              </w:rPr>
              <w:t>Preferred Stock</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6,146,592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6,146,592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9,035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9,035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35" w:type="dxa"/>
            <w:tcBorders/>
            <w:shd w:fill="CCEEFF" w:val="clear"/>
            <w:vAlign w:val="center"/>
          </w:tcPr>
          <w:p>
            <w:pPr>
              <w:pStyle w:val="TableContents"/>
              <w:bidi w:val="0"/>
              <w:spacing w:before="0" w:after="283"/>
              <w:jc w:val="right"/>
              <w:rPr/>
            </w:pPr>
            <w:r>
              <w:rPr/>
              <w:t>6,146,592</w:t>
            </w:r>
          </w:p>
        </w:tc>
        <w:tc>
          <w:tcPr>
            <w:tcW w:w="75" w:type="dxa"/>
            <w:tcBorders/>
            <w:shd w:fill="CCEEFF" w:val="cle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Series B Preferred Stock</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48" w:type="dxa"/>
            <w:tcBorders/>
            <w:vAlign w:val="center"/>
          </w:tcPr>
          <w:p>
            <w:pPr>
              <w:pStyle w:val="TableContents"/>
              <w:bidi w:val="0"/>
              <w:spacing w:before="0" w:after="283"/>
              <w:jc w:val="right"/>
              <w:rPr/>
            </w:pPr>
            <w:r>
              <w:rPr/>
              <w:t>76,187,917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48" w:type="dxa"/>
            <w:tcBorders/>
            <w:vAlign w:val="center"/>
          </w:tcPr>
          <w:p>
            <w:pPr>
              <w:pStyle w:val="TableContents"/>
              <w:bidi w:val="0"/>
              <w:spacing w:before="0" w:after="283"/>
              <w:jc w:val="right"/>
              <w:rPr/>
            </w:pPr>
            <w:r>
              <w:rPr/>
              <w:t>76,187,917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right"/>
              <w:rPr/>
            </w:pPr>
            <w:r>
              <w:rPr/>
              <w:t>114,732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115,044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635" w:type="dxa"/>
            <w:tcBorders/>
            <w:vAlign w:val="center"/>
          </w:tcPr>
          <w:p>
            <w:pPr>
              <w:pStyle w:val="TableContents"/>
              <w:bidi w:val="0"/>
              <w:spacing w:before="0" w:after="283"/>
              <w:jc w:val="right"/>
              <w:rPr/>
            </w:pPr>
            <w:r>
              <w:rPr/>
              <w:t>76,187,917</w:t>
            </w:r>
          </w:p>
        </w:tc>
        <w:tc>
          <w:tcPr>
            <w:tcW w:w="7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Series C Preferred Stock</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84,567,145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84,567,145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159,968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160,500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35" w:type="dxa"/>
            <w:tcBorders/>
            <w:shd w:fill="CCEEFF" w:val="clear"/>
            <w:vAlign w:val="center"/>
          </w:tcPr>
          <w:p>
            <w:pPr>
              <w:pStyle w:val="TableContents"/>
              <w:bidi w:val="0"/>
              <w:spacing w:before="0" w:after="283"/>
              <w:jc w:val="right"/>
              <w:rPr/>
            </w:pPr>
            <w:r>
              <w:rPr/>
              <w:t>84,567,145</w:t>
            </w:r>
          </w:p>
        </w:tc>
        <w:tc>
          <w:tcPr>
            <w:tcW w:w="75" w:type="dxa"/>
            <w:tcBorders/>
            <w:shd w:fill="CCEEFF" w:val="cle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4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4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2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3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48" w:type="dxa"/>
            <w:tcBorders/>
            <w:vAlign w:val="center"/>
          </w:tcPr>
          <w:p>
            <w:pPr>
              <w:pStyle w:val="TableContents"/>
              <w:bidi w:val="0"/>
              <w:spacing w:before="0" w:after="283"/>
              <w:jc w:val="right"/>
              <w:rPr/>
            </w:pPr>
            <w:r>
              <w:rPr/>
              <w:t>215,060,316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48" w:type="dxa"/>
            <w:tcBorders/>
            <w:vAlign w:val="center"/>
          </w:tcPr>
          <w:p>
            <w:pPr>
              <w:pStyle w:val="TableContents"/>
              <w:bidi w:val="0"/>
              <w:spacing w:before="0" w:after="283"/>
              <w:jc w:val="right"/>
              <w:rPr/>
            </w:pPr>
            <w:r>
              <w:rPr/>
              <w:t>215,038,192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w:t>
            </w:r>
          </w:p>
        </w:tc>
        <w:tc>
          <w:tcPr>
            <w:tcW w:w="822" w:type="dxa"/>
            <w:tcBorders/>
            <w:vAlign w:val="center"/>
          </w:tcPr>
          <w:p>
            <w:pPr>
              <w:pStyle w:val="TableContents"/>
              <w:bidi w:val="0"/>
              <w:spacing w:before="0" w:after="283"/>
              <w:jc w:val="right"/>
              <w:rPr/>
            </w:pPr>
            <w:r>
              <w:rPr/>
              <w:t>338,028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1039" w:type="dxa"/>
            <w:tcBorders/>
            <w:vAlign w:val="center"/>
          </w:tcPr>
          <w:p>
            <w:pPr>
              <w:pStyle w:val="TableContents"/>
              <w:bidi w:val="0"/>
              <w:spacing w:before="0" w:after="283"/>
              <w:jc w:val="right"/>
              <w:rPr/>
            </w:pPr>
            <w:r>
              <w:rPr/>
              <w:t>337,001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635" w:type="dxa"/>
            <w:tcBorders/>
            <w:vAlign w:val="center"/>
          </w:tcPr>
          <w:p>
            <w:pPr>
              <w:pStyle w:val="TableContents"/>
              <w:bidi w:val="0"/>
              <w:spacing w:before="0" w:after="283"/>
              <w:jc w:val="right"/>
              <w:rPr/>
            </w:pPr>
            <w:r>
              <w:rPr/>
              <w:t>215,038,192</w:t>
            </w:r>
          </w:p>
        </w:tc>
        <w:tc>
          <w:tcPr>
            <w:tcW w:w="7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4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4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2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3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3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There has been no change to the rights and preferences of the Preferred Stock. Refer to the notes to the consolidated financial statements, for the year ended December 31, 2025 for a detailed discussion of the rights and preferences of the Preferred Stock.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6. Common Stock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Company’s fourth amended and restated certificate of incorporation authorizes the Company to issue 274,320,131 shares of common stock. As of June 30, 2026, the Company had reserved 207,952,902 shares of common stock for the conversion of the Preferred Stock (Note 5), as applicable.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7. Stock-Based Compensation </w:t>
      </w:r>
    </w:p>
    <w:p>
      <w:pPr>
        <w:pStyle w:val="TextBody"/>
        <w:bidi w:val="0"/>
        <w:spacing w:before="120" w:after="0"/>
        <w:jc w:val="left"/>
        <w:rPr>
          <w:rFonts w:ascii="Times New Roman" w:hAnsi="Times New Roman"/>
          <w:b/>
          <w:spacing w:val="0"/>
          <w:sz w:val="20"/>
        </w:rPr>
      </w:pPr>
      <w:r>
        <w:rPr>
          <w:rFonts w:ascii="Times New Roman" w:hAnsi="Times New Roman"/>
          <w:b/>
          <w:spacing w:val="0"/>
          <w:sz w:val="20"/>
        </w:rPr>
        <w:t xml:space="preserve">2016 Equity Incentive Plan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March 2016, the Company adopted the 2016 Stock Option and Grant Plan, or the 2016 Plan, which allows the granting of awards in the form of incentive stock options, nonqualified stock options, and stock grants, which may include restricted stock, to eligible employees, outside directors and consultants of the Company. The total number of common stock reserved for grant under the 2016 Plan was 48,749,161 shares as of June 30, 2026 and December 31, 2025, of which 5,330,455 and 4,475,263 shares remained available for future issuance as of June 30, 2026 and December 31, 2025, respectively. The 2016 Plan expired in March 2026 and no future awards may be granted thereunder. Effective immediately prior to the closing of the merger on August 3, 2026, the 2026 Equity Incentive Plan and the 2026 Employee Stock Purchase Plan became effective. Pursuant to the share reserve provisions of the 2026 Equity Incentive Plan, shares underlying outstanding awards granted under the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2016 Plan that are forfeited, canceled, expire unexercised or otherwise terminate without issuance of the underlying shares may become available for future issuance under the 2026 Equity Incentive Plan.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Stock Options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estimates the fair value of the stock options issued using the Black-Scholes option pricing model on the date of grant. The key assumptions used to apply this pricing model were as follows: </w:t>
      </w:r>
    </w:p>
    <w:p>
      <w:pPr>
        <w:pStyle w:val="TextBody"/>
        <w:bidi w:val="0"/>
        <w:spacing w:before="0" w:after="0"/>
        <w:jc w:val="left"/>
        <w:rPr>
          <w:spacing w:val="0"/>
        </w:rPr>
      </w:pPr>
      <w:r>
        <w:rPr>
          <w:spacing w:val="0"/>
        </w:rPr>
        <w:t> </w:t>
      </w:r>
    </w:p>
    <w:tbl>
      <w:tblPr>
        <w:tblW w:w="5585" w:type="dxa"/>
        <w:jc w:val="left"/>
        <w:tblInd w:w="0" w:type="dxa"/>
        <w:tblLayout w:type="fixed"/>
        <w:tblCellMar>
          <w:top w:w="0" w:type="dxa"/>
          <w:left w:w="0" w:type="dxa"/>
          <w:bottom w:w="0" w:type="dxa"/>
          <w:right w:w="0" w:type="dxa"/>
        </w:tblCellMar>
      </w:tblPr>
      <w:tblGrid>
        <w:gridCol w:w="2285"/>
        <w:gridCol w:w="120"/>
        <w:gridCol w:w="140"/>
        <w:gridCol w:w="995"/>
        <w:gridCol w:w="275"/>
        <w:gridCol w:w="60"/>
        <w:gridCol w:w="140"/>
        <w:gridCol w:w="1280"/>
        <w:gridCol w:w="290"/>
      </w:tblGrid>
      <w:tr>
        <w:trPr/>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90" w:type="dxa"/>
            <w:gridSpan w:val="6"/>
            <w:tcBorders/>
            <w:vAlign w:val="center"/>
          </w:tcPr>
          <w:p>
            <w:pPr>
              <w:pStyle w:val="TableContents"/>
              <w:bidi w:val="0"/>
              <w:spacing w:before="0" w:after="0"/>
              <w:jc w:val="center"/>
              <w:rPr>
                <w:b/>
                <w:spacing w:val="0"/>
              </w:rPr>
            </w:pPr>
            <w:r>
              <w:rPr>
                <w:b/>
                <w:spacing w:val="0"/>
              </w:rPr>
              <w:t>June 30,</w:t>
            </w:r>
          </w:p>
        </w:tc>
        <w:tc>
          <w:tcPr>
            <w:tcW w:w="290"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5" w:type="dxa"/>
            <w:gridSpan w:val="2"/>
            <w:tcBorders/>
            <w:vAlign w:val="center"/>
          </w:tcPr>
          <w:p>
            <w:pPr>
              <w:pStyle w:val="TableContents"/>
              <w:bidi w:val="0"/>
              <w:spacing w:before="0" w:after="0"/>
              <w:jc w:val="center"/>
              <w:rPr>
                <w:b/>
                <w:spacing w:val="0"/>
              </w:rPr>
            </w:pPr>
            <w:r>
              <w:rPr>
                <w:b/>
                <w:spacing w:val="0"/>
              </w:rPr>
              <w:t>2026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0"/>
              <w:jc w:val="center"/>
              <w:rPr>
                <w:b/>
                <w:spacing w:val="0"/>
              </w:rPr>
            </w:pPr>
            <w:r>
              <w:rPr>
                <w:b/>
                <w:spacing w:val="0"/>
              </w:rPr>
              <w:t>2025</w:t>
            </w:r>
          </w:p>
        </w:tc>
        <w:tc>
          <w:tcPr>
            <w:tcW w:w="290" w:type="dxa"/>
            <w:tcBorders/>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Fair value of common stock</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95" w:type="dxa"/>
            <w:tcBorders/>
            <w:shd w:fill="CCEEFF" w:val="clear"/>
            <w:vAlign w:val="center"/>
          </w:tcPr>
          <w:p>
            <w:pPr>
              <w:pStyle w:val="TableContents"/>
              <w:bidi w:val="0"/>
              <w:spacing w:before="0" w:after="0"/>
              <w:jc w:val="right"/>
              <w:rPr>
                <w:spacing w:val="0"/>
              </w:rPr>
            </w:pPr>
            <w:r>
              <w:rPr>
                <w:spacing w:val="0"/>
              </w:rPr>
              <w:t> </w:t>
            </w:r>
            <w:r>
              <w:rPr>
                <w:spacing w:val="0"/>
              </w:rPr>
              <w:t>0.78-0.96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jc w:val="right"/>
              <w:rPr/>
            </w:pPr>
            <w:r>
              <w:rPr/>
              <w:t> </w:t>
            </w:r>
            <w:r>
              <w:rPr/>
              <w:t>0.78 – 1.13 </w:t>
            </w:r>
          </w:p>
        </w:tc>
        <w:tc>
          <w:tcPr>
            <w:tcW w:w="290" w:type="dxa"/>
            <w:tcBorders/>
            <w:shd w:fill="CCEEFF" w:val="cle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Risk-free interest rate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3.94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4.26</w:t>
            </w:r>
          </w:p>
        </w:tc>
        <w:tc>
          <w:tcPr>
            <w:tcW w:w="290" w:type="dxa"/>
            <w:tcBorders/>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dividend yield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term (in years)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5.9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6.0</w:t>
            </w:r>
          </w:p>
        </w:tc>
        <w:tc>
          <w:tcPr>
            <w:tcW w:w="290" w:type="dxa"/>
            <w:tcBorders/>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volatility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82.71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106.25</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weighted average fair value of options granted during the six months ended June 30, 2026 and June 30, 2025 was $0.57 and $0.72, respectively.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following table summarizes option activity under the 2016 Plan for the six months ended June 30, 2026: </w:t>
      </w:r>
    </w:p>
    <w:p>
      <w:pPr>
        <w:pStyle w:val="TextBody"/>
        <w:bidi w:val="0"/>
        <w:spacing w:before="0" w:after="0"/>
        <w:jc w:val="left"/>
        <w:rPr>
          <w:spacing w:val="0"/>
        </w:rPr>
      </w:pPr>
      <w:r>
        <w:rPr>
          <w:spacing w:val="0"/>
        </w:rPr>
        <w:t> </w:t>
      </w:r>
    </w:p>
    <w:tbl>
      <w:tblPr>
        <w:tblW w:w="9449" w:type="dxa"/>
        <w:jc w:val="left"/>
        <w:tblInd w:w="0" w:type="dxa"/>
        <w:tblLayout w:type="fixed"/>
        <w:tblCellMar>
          <w:top w:w="0" w:type="dxa"/>
          <w:left w:w="0" w:type="dxa"/>
          <w:bottom w:w="0" w:type="dxa"/>
          <w:right w:w="0" w:type="dxa"/>
        </w:tblCellMar>
      </w:tblPr>
      <w:tblGrid>
        <w:gridCol w:w="3275"/>
        <w:gridCol w:w="120"/>
        <w:gridCol w:w="60"/>
        <w:gridCol w:w="1100"/>
        <w:gridCol w:w="155"/>
        <w:gridCol w:w="120"/>
        <w:gridCol w:w="352"/>
        <w:gridCol w:w="1108"/>
        <w:gridCol w:w="60"/>
        <w:gridCol w:w="120"/>
        <w:gridCol w:w="251"/>
        <w:gridCol w:w="1343"/>
        <w:gridCol w:w="60"/>
        <w:gridCol w:w="120"/>
        <w:gridCol w:w="226"/>
        <w:gridCol w:w="904"/>
        <w:gridCol w:w="75"/>
      </w:tblGrid>
      <w:tr>
        <w:trPr/>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Number of</w:t>
              <w:br/>
              <w:t>Options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0"/>
              <w:jc w:val="center"/>
              <w:rPr>
                <w:b/>
                <w:spacing w:val="0"/>
              </w:rPr>
            </w:pPr>
            <w:r>
              <w:rPr>
                <w:b/>
                <w:spacing w:val="0"/>
              </w:rPr>
              <w:t>Weighted-</w:t>
              <w:br/>
              <w:t>Average</w:t>
              <w:br/>
              <w:t>Exercise Price</w:t>
              <w:br/>
              <w:t>Per Share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4" w:type="dxa"/>
            <w:gridSpan w:val="2"/>
            <w:tcBorders/>
            <w:vAlign w:val="center"/>
          </w:tcPr>
          <w:p>
            <w:pPr>
              <w:pStyle w:val="TableContents"/>
              <w:bidi w:val="0"/>
              <w:spacing w:before="0" w:after="0"/>
              <w:jc w:val="center"/>
              <w:rPr>
                <w:b/>
                <w:spacing w:val="0"/>
              </w:rPr>
            </w:pPr>
            <w:r>
              <w:rPr>
                <w:b/>
                <w:spacing w:val="0"/>
              </w:rPr>
              <w:t>Weighted-</w:t>
              <w:br/>
              <w:t>Average</w:t>
              <w:br/>
              <w:t>Remaining</w:t>
              <w:br/>
              <w:t>Contractual</w:t>
              <w:br/>
              <w:t>Term (in 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0"/>
              <w:jc w:val="center"/>
              <w:rPr>
                <w:b/>
                <w:spacing w:val="0"/>
              </w:rPr>
            </w:pPr>
            <w:r>
              <w:rPr>
                <w:b/>
                <w:spacing w:val="0"/>
              </w:rPr>
              <w:t>Aggregate</w:t>
              <w:br/>
              <w:t>Intrinsic</w:t>
              <w:br/>
              <w:t>Value (in</w:t>
              <w:br/>
              <w:t>thousands)</w:t>
            </w:r>
          </w:p>
        </w:tc>
        <w:tc>
          <w:tcPr>
            <w:tcW w:w="75"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Outstanding at December 31, 2025</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38,061,610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w:t>
            </w:r>
          </w:p>
        </w:tc>
        <w:tc>
          <w:tcPr>
            <w:tcW w:w="1108" w:type="dxa"/>
            <w:tcBorders/>
            <w:shd w:fill="CCEEFF" w:val="clear"/>
            <w:vAlign w:val="center"/>
          </w:tcPr>
          <w:p>
            <w:pPr>
              <w:pStyle w:val="TableContents"/>
              <w:bidi w:val="0"/>
              <w:spacing w:before="0" w:after="283"/>
              <w:jc w:val="right"/>
              <w:rPr/>
            </w:pPr>
            <w:r>
              <w:rPr/>
              <w:t>0.77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43" w:type="dxa"/>
            <w:tcBorders/>
            <w:shd w:fill="CCEEFF" w:val="clear"/>
            <w:vAlign w:val="center"/>
          </w:tcPr>
          <w:p>
            <w:pPr>
              <w:pStyle w:val="TableContents"/>
              <w:bidi w:val="0"/>
              <w:spacing w:before="0" w:after="283"/>
              <w:jc w:val="right"/>
              <w:rPr/>
            </w:pPr>
            <w:r>
              <w:rPr/>
              <w:t>6.9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904" w:type="dxa"/>
            <w:tcBorders/>
            <w:shd w:fill="CCEEFF" w:val="clear"/>
            <w:vAlign w:val="center"/>
          </w:tcPr>
          <w:p>
            <w:pPr>
              <w:pStyle w:val="TableContents"/>
              <w:bidi w:val="0"/>
              <w:spacing w:before="0" w:after="283"/>
              <w:jc w:val="right"/>
              <w:rPr/>
            </w:pPr>
            <w:r>
              <w:rPr/>
              <w:t>298</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Options granted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5,353,691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0.79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Options exercised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(1,161,144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0.72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34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90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2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Options forfeited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(2,441,148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0.78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Options expired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(4,177,316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0.77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34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90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0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Outstanding at June 30, 2026</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35,635,693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pPr>
            <w:r>
              <w:rPr/>
              <w:t>$</w:t>
            </w:r>
          </w:p>
        </w:tc>
        <w:tc>
          <w:tcPr>
            <w:tcW w:w="1108" w:type="dxa"/>
            <w:tcBorders/>
            <w:vAlign w:val="center"/>
          </w:tcPr>
          <w:p>
            <w:pPr>
              <w:pStyle w:val="TableContents"/>
              <w:bidi w:val="0"/>
              <w:spacing w:before="0" w:after="283"/>
              <w:jc w:val="right"/>
              <w:rPr/>
            </w:pPr>
            <w:r>
              <w:rPr/>
              <w:t>0.78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43" w:type="dxa"/>
            <w:tcBorders/>
            <w:vAlign w:val="center"/>
          </w:tcPr>
          <w:p>
            <w:pPr>
              <w:pStyle w:val="TableContents"/>
              <w:bidi w:val="0"/>
              <w:spacing w:before="0" w:after="283"/>
              <w:jc w:val="right"/>
              <w:rPr/>
            </w:pPr>
            <w:r>
              <w:rPr/>
              <w:t>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904" w:type="dxa"/>
            <w:tcBorders/>
            <w:vAlign w:val="center"/>
          </w:tcPr>
          <w:p>
            <w:pPr>
              <w:pStyle w:val="TableContents"/>
              <w:bidi w:val="0"/>
              <w:spacing w:before="0" w:after="283"/>
              <w:jc w:val="right"/>
              <w:rPr/>
            </w:pPr>
            <w:r>
              <w:rPr/>
              <w:t>6,528</w:t>
            </w:r>
          </w:p>
        </w:tc>
        <w:tc>
          <w:tcPr>
            <w:tcW w:w="75"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4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0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Vested and exercisable at June 30, 2026</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21,465,199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w:t>
            </w:r>
          </w:p>
        </w:tc>
        <w:tc>
          <w:tcPr>
            <w:tcW w:w="1108" w:type="dxa"/>
            <w:tcBorders/>
            <w:shd w:fill="CCEEFF" w:val="clear"/>
            <w:vAlign w:val="center"/>
          </w:tcPr>
          <w:p>
            <w:pPr>
              <w:pStyle w:val="TableContents"/>
              <w:bidi w:val="0"/>
              <w:spacing w:before="0" w:after="283"/>
              <w:jc w:val="right"/>
              <w:rPr/>
            </w:pPr>
            <w:r>
              <w:rPr/>
              <w:t>0.77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43" w:type="dxa"/>
            <w:tcBorders/>
            <w:shd w:fill="CCEEFF" w:val="clear"/>
            <w:vAlign w:val="center"/>
          </w:tcPr>
          <w:p>
            <w:pPr>
              <w:pStyle w:val="TableContents"/>
              <w:bidi w:val="0"/>
              <w:spacing w:before="0" w:after="283"/>
              <w:jc w:val="right"/>
              <w:rPr/>
            </w:pPr>
            <w:r>
              <w:rPr/>
              <w:t>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904" w:type="dxa"/>
            <w:tcBorders/>
            <w:shd w:fill="CCEEFF" w:val="clear"/>
            <w:vAlign w:val="center"/>
          </w:tcPr>
          <w:p>
            <w:pPr>
              <w:pStyle w:val="TableContents"/>
              <w:bidi w:val="0"/>
              <w:spacing w:before="0" w:after="283"/>
              <w:jc w:val="right"/>
              <w:rPr/>
            </w:pPr>
            <w:r>
              <w:rPr/>
              <w:t>4,045</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Unvested at June 30, 2026</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14,170,494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pPr>
            <w:r>
              <w:rPr/>
              <w:t>$</w:t>
            </w:r>
          </w:p>
        </w:tc>
        <w:tc>
          <w:tcPr>
            <w:tcW w:w="1108" w:type="dxa"/>
            <w:tcBorders/>
            <w:vAlign w:val="center"/>
          </w:tcPr>
          <w:p>
            <w:pPr>
              <w:pStyle w:val="TableContents"/>
              <w:bidi w:val="0"/>
              <w:spacing w:before="0" w:after="283"/>
              <w:jc w:val="right"/>
              <w:rPr/>
            </w:pPr>
            <w:r>
              <w:rPr/>
              <w:t>0.78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43" w:type="dxa"/>
            <w:tcBorders/>
            <w:vAlign w:val="center"/>
          </w:tcPr>
          <w:p>
            <w:pPr>
              <w:pStyle w:val="TableContents"/>
              <w:bidi w:val="0"/>
              <w:spacing w:before="0" w:after="283"/>
              <w:jc w:val="right"/>
              <w:rPr/>
            </w:pPr>
            <w:r>
              <w:rPr/>
              <w:t>8.2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904" w:type="dxa"/>
            <w:tcBorders/>
            <w:vAlign w:val="center"/>
          </w:tcPr>
          <w:p>
            <w:pPr>
              <w:pStyle w:val="TableContents"/>
              <w:bidi w:val="0"/>
              <w:spacing w:before="0" w:after="283"/>
              <w:jc w:val="right"/>
              <w:rPr/>
            </w:pPr>
            <w:r>
              <w:rPr/>
              <w:t>2,102</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six months ended June 30, 2026, 354,074 </w:t>
      </w:r>
    </w:p>
    <w:p>
      <w:pPr>
        <w:pStyle w:val="TextBody"/>
        <w:bidi w:val="0"/>
        <w:spacing w:before="240" w:after="0"/>
        <w:jc w:val="left"/>
        <w:rPr>
          <w:rFonts w:ascii="Times New Roman" w:hAnsi="Times New Roman"/>
          <w:spacing w:val="0"/>
          <w:sz w:val="20"/>
        </w:rPr>
      </w:pPr>
      <w:r>
        <w:rPr>
          <w:rFonts w:ascii="Times New Roman" w:hAnsi="Times New Roman"/>
          <w:spacing w:val="0"/>
          <w:sz w:val="20"/>
        </w:rPr>
        <w:t>performance-based</w:t>
      </w:r>
    </w:p>
    <w:p>
      <w:pPr>
        <w:pStyle w:val="TextBody"/>
        <w:bidi w:val="0"/>
        <w:spacing w:before="240" w:after="0"/>
        <w:jc w:val="left"/>
        <w:rPr>
          <w:rFonts w:ascii="Times New Roman" w:hAnsi="Times New Roman"/>
          <w:sz w:val="20"/>
        </w:rPr>
      </w:pPr>
      <w:r>
        <w:rPr>
          <w:rFonts w:ascii="Times New Roman" w:hAnsi="Times New Roman"/>
          <w:sz w:val="20"/>
        </w:rPr>
        <w:t xml:space="preserve">stock options granted in 2024 were forfeited, with approximately half forfeited due to employee termination and the remaining forfeited due to the related performance condition not being achieved. Additionally, during the six months ended June 30, 2026 the Company granted 1,883,750 </w:t>
      </w:r>
    </w:p>
    <w:p>
      <w:pPr>
        <w:pStyle w:val="TextBody"/>
        <w:bidi w:val="0"/>
        <w:spacing w:before="240" w:after="0"/>
        <w:jc w:val="left"/>
        <w:rPr>
          <w:rFonts w:ascii="Times New Roman" w:hAnsi="Times New Roman"/>
          <w:spacing w:val="0"/>
          <w:sz w:val="20"/>
        </w:rPr>
      </w:pPr>
      <w:r>
        <w:rPr>
          <w:rFonts w:ascii="Times New Roman" w:hAnsi="Times New Roman"/>
          <w:spacing w:val="0"/>
          <w:sz w:val="20"/>
        </w:rPr>
        <w:t>performance-based</w:t>
      </w:r>
    </w:p>
    <w:p>
      <w:pPr>
        <w:pStyle w:val="TextBody"/>
        <w:bidi w:val="0"/>
        <w:spacing w:before="240" w:after="0"/>
        <w:jc w:val="left"/>
        <w:rPr>
          <w:rFonts w:ascii="Times New Roman" w:hAnsi="Times New Roman"/>
          <w:sz w:val="20"/>
        </w:rPr>
      </w:pPr>
      <w:r>
        <w:rPr>
          <w:rFonts w:ascii="Times New Roman" w:hAnsi="Times New Roman"/>
          <w:sz w:val="20"/>
        </w:rPr>
        <w:t xml:space="preserve">awards that vest upon the achievement of specified performance goals, with a portion subject to continued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service-based</w:t>
      </w:r>
    </w:p>
    <w:p>
      <w:pPr>
        <w:pStyle w:val="TextBody"/>
        <w:bidi w:val="0"/>
        <w:spacing w:before="240" w:after="0"/>
        <w:jc w:val="left"/>
        <w:rPr>
          <w:rFonts w:ascii="Times New Roman" w:hAnsi="Times New Roman"/>
          <w:sz w:val="20"/>
        </w:rPr>
      </w:pPr>
      <w:r>
        <w:rPr>
          <w:rFonts w:ascii="Times New Roman" w:hAnsi="Times New Roman"/>
          <w:sz w:val="20"/>
        </w:rPr>
        <w:t xml:space="preserve">vesting thereafter. As of June 30, 2026, the applicable performance conditions for these awards were not deemed probable, and therefore no compensation expense has been recognized related to these awards.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aggregate intrinsic value of options is calculated as the difference between the exercise price of the stock options and the fair value of the Company’s common stock for those options that had exercise prices lower than the fair value of the Company’s common stock.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aggregate intrinsic value of options exercised totaled $0.3 million for the six months ended June 30, 2026 and less than $0.1 million for the six months ended June 30, 2025. As of June 30, 2026 there was $11.2 million of unrecognized compensation expense, which the Company expects to recognize over a weighted-average period of 2.1 years. Included in this amount is $1.0 million of unrecognized compensation expense relating to the performance-based awards described above.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Company has recorded stock-based compensation expense as follows (in thousands): </w:t>
      </w:r>
    </w:p>
    <w:p>
      <w:pPr>
        <w:pStyle w:val="TextBody"/>
        <w:bidi w:val="0"/>
        <w:spacing w:before="0" w:after="0"/>
        <w:jc w:val="left"/>
        <w:rPr>
          <w:spacing w:val="0"/>
        </w:rPr>
      </w:pPr>
      <w:r>
        <w:rPr>
          <w:spacing w:val="0"/>
        </w:rPr>
        <w:t> </w:t>
      </w:r>
    </w:p>
    <w:tbl>
      <w:tblPr>
        <w:tblW w:w="8544" w:type="dxa"/>
        <w:jc w:val="left"/>
        <w:tblInd w:w="0" w:type="dxa"/>
        <w:tblLayout w:type="fixed"/>
        <w:tblCellMar>
          <w:top w:w="0" w:type="dxa"/>
          <w:left w:w="0" w:type="dxa"/>
          <w:bottom w:w="0" w:type="dxa"/>
          <w:right w:w="0" w:type="dxa"/>
        </w:tblCellMar>
      </w:tblPr>
      <w:tblGrid>
        <w:gridCol w:w="2225"/>
        <w:gridCol w:w="120"/>
        <w:gridCol w:w="232"/>
        <w:gridCol w:w="1029"/>
        <w:gridCol w:w="98"/>
        <w:gridCol w:w="198"/>
        <w:gridCol w:w="232"/>
        <w:gridCol w:w="1332"/>
        <w:gridCol w:w="60"/>
        <w:gridCol w:w="120"/>
        <w:gridCol w:w="191"/>
        <w:gridCol w:w="1096"/>
        <w:gridCol w:w="81"/>
        <w:gridCol w:w="164"/>
        <w:gridCol w:w="191"/>
        <w:gridCol w:w="1100"/>
        <w:gridCol w:w="75"/>
      </w:tblGrid>
      <w:tr>
        <w:trPr/>
        <w:tc>
          <w:tcPr>
            <w:tcW w:w="222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232"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0"/>
              <w:jc w:val="left"/>
              <w:rPr/>
            </w:pPr>
            <w:r>
              <w:rPr/>
              <w:t> </w:t>
            </w:r>
          </w:p>
        </w:tc>
        <w:tc>
          <w:tcPr>
            <w:tcW w:w="98" w:type="dxa"/>
            <w:tcBorders/>
            <w:vAlign w:val="center"/>
          </w:tcPr>
          <w:p>
            <w:pPr>
              <w:pStyle w:val="TableContents"/>
              <w:bidi w:val="0"/>
              <w:spacing w:before="0" w:after="0"/>
              <w:jc w:val="left"/>
              <w:rPr/>
            </w:pPr>
            <w:r>
              <w:rPr/>
              <w:t> </w:t>
            </w:r>
          </w:p>
        </w:tc>
        <w:tc>
          <w:tcPr>
            <w:tcW w:w="198" w:type="dxa"/>
            <w:tcBorders/>
            <w:vAlign w:val="center"/>
          </w:tcPr>
          <w:p>
            <w:pPr>
              <w:pStyle w:val="TableContents"/>
              <w:bidi w:val="0"/>
              <w:spacing w:before="0" w:after="0"/>
              <w:jc w:val="left"/>
              <w:rPr/>
            </w:pPr>
            <w:r>
              <w:rPr/>
              <w:t> </w:t>
            </w:r>
          </w:p>
        </w:tc>
        <w:tc>
          <w:tcPr>
            <w:tcW w:w="232" w:type="dxa"/>
            <w:tcBorders/>
            <w:vAlign w:val="center"/>
          </w:tcPr>
          <w:p>
            <w:pPr>
              <w:pStyle w:val="TableContents"/>
              <w:bidi w:val="0"/>
              <w:spacing w:before="0" w:after="0"/>
              <w:jc w:val="left"/>
              <w:rPr/>
            </w:pPr>
            <w:r>
              <w:rPr/>
              <w:t> </w:t>
            </w:r>
          </w:p>
        </w:tc>
        <w:tc>
          <w:tcPr>
            <w:tcW w:w="1332"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1096" w:type="dxa"/>
            <w:tcBorders/>
            <w:vAlign w:val="center"/>
          </w:tcPr>
          <w:p>
            <w:pPr>
              <w:pStyle w:val="TableContents"/>
              <w:bidi w:val="0"/>
              <w:spacing w:before="0" w:after="0"/>
              <w:jc w:val="left"/>
              <w:rPr/>
            </w:pPr>
            <w:r>
              <w:rPr/>
              <w:t> </w:t>
            </w:r>
          </w:p>
        </w:tc>
        <w:tc>
          <w:tcPr>
            <w:tcW w:w="81"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222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121" w:type="dxa"/>
            <w:gridSpan w:val="6"/>
            <w:tcBorders/>
            <w:vAlign w:val="center"/>
          </w:tcPr>
          <w:p>
            <w:pPr>
              <w:pStyle w:val="TableContents"/>
              <w:bidi w:val="0"/>
              <w:spacing w:before="0" w:after="0"/>
              <w:jc w:val="center"/>
              <w:rPr>
                <w:b/>
                <w:spacing w:val="0"/>
              </w:rPr>
            </w:pPr>
            <w:r>
              <w:rPr>
                <w:b/>
                <w:spacing w:val="0"/>
              </w:rPr>
              <w:t>Three Months Ended June 30,</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823" w:type="dxa"/>
            <w:gridSpan w:val="6"/>
            <w:tcBorders/>
            <w:vAlign w:val="center"/>
          </w:tcPr>
          <w:p>
            <w:pPr>
              <w:pStyle w:val="TableContents"/>
              <w:bidi w:val="0"/>
              <w:spacing w:before="0" w:after="0"/>
              <w:jc w:val="center"/>
              <w:rPr>
                <w:b/>
                <w:spacing w:val="0"/>
              </w:rPr>
            </w:pPr>
            <w:r>
              <w:rPr>
                <w:b/>
                <w:spacing w:val="0"/>
              </w:rPr>
              <w:t>Six Months Ended June 30,</w:t>
            </w:r>
          </w:p>
        </w:tc>
        <w:tc>
          <w:tcPr>
            <w:tcW w:w="75" w:type="dxa"/>
            <w:tcBorders/>
            <w:vAlign w:val="center"/>
          </w:tcPr>
          <w:p>
            <w:pPr>
              <w:pStyle w:val="TableContents"/>
              <w:bidi w:val="0"/>
              <w:spacing w:before="0" w:after="0"/>
              <w:jc w:val="left"/>
              <w:rPr>
                <w:spacing w:val="0"/>
              </w:rPr>
            </w:pPr>
            <w:r>
              <w:rPr>
                <w:spacing w:val="0"/>
              </w:rPr>
              <w:t> </w:t>
            </w:r>
          </w:p>
        </w:tc>
      </w:tr>
      <w:tr>
        <w:trPr/>
        <w:tc>
          <w:tcPr>
            <w:tcW w:w="222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261" w:type="dxa"/>
            <w:gridSpan w:val="2"/>
            <w:tcBorders/>
            <w:vAlign w:val="center"/>
          </w:tcPr>
          <w:p>
            <w:pPr>
              <w:pStyle w:val="TableContents"/>
              <w:bidi w:val="0"/>
              <w:spacing w:before="0" w:after="0"/>
              <w:jc w:val="center"/>
              <w:rPr>
                <w:b/>
                <w:spacing w:val="0"/>
              </w:rPr>
            </w:pPr>
            <w:r>
              <w:rPr>
                <w:b/>
                <w:spacing w:val="0"/>
              </w:rPr>
              <w:t>2026</w:t>
            </w:r>
          </w:p>
        </w:tc>
        <w:tc>
          <w:tcPr>
            <w:tcW w:w="98" w:type="dxa"/>
            <w:tcBorders/>
            <w:vAlign w:val="center"/>
          </w:tcPr>
          <w:p>
            <w:pPr>
              <w:pStyle w:val="TableContents"/>
              <w:bidi w:val="0"/>
              <w:spacing w:before="0" w:after="0"/>
              <w:jc w:val="left"/>
              <w:rPr>
                <w:spacing w:val="0"/>
              </w:rPr>
            </w:pPr>
            <w:r>
              <w:rPr>
                <w:spacing w:val="0"/>
              </w:rPr>
              <w:t> </w:t>
            </w:r>
          </w:p>
        </w:tc>
        <w:tc>
          <w:tcPr>
            <w:tcW w:w="198" w:type="dxa"/>
            <w:tcBorders/>
            <w:vAlign w:val="center"/>
          </w:tcPr>
          <w:p>
            <w:pPr>
              <w:pStyle w:val="TableContents"/>
              <w:bidi w:val="0"/>
              <w:spacing w:before="0" w:after="0"/>
              <w:jc w:val="left"/>
              <w:rPr>
                <w:spacing w:val="0"/>
              </w:rPr>
            </w:pPr>
            <w:r>
              <w:rPr>
                <w:spacing w:val="0"/>
              </w:rPr>
              <w:t>  </w:t>
            </w:r>
          </w:p>
        </w:tc>
        <w:tc>
          <w:tcPr>
            <w:tcW w:w="1564" w:type="dxa"/>
            <w:gridSpan w:val="2"/>
            <w:tcBorders/>
            <w:vAlign w:val="center"/>
          </w:tcPr>
          <w:p>
            <w:pPr>
              <w:pStyle w:val="TableContents"/>
              <w:bidi w:val="0"/>
              <w:spacing w:before="0" w:after="0"/>
              <w:jc w:val="center"/>
              <w:rPr>
                <w:b/>
                <w:spacing w:val="0"/>
              </w:rPr>
            </w:pPr>
            <w:r>
              <w:rPr>
                <w:b/>
                <w:spacing w:val="0"/>
              </w:rPr>
              <w:t>2025</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287" w:type="dxa"/>
            <w:gridSpan w:val="2"/>
            <w:tcBorders/>
            <w:vAlign w:val="center"/>
          </w:tcPr>
          <w:p>
            <w:pPr>
              <w:pStyle w:val="TableContents"/>
              <w:bidi w:val="0"/>
              <w:spacing w:before="0" w:after="0"/>
              <w:jc w:val="center"/>
              <w:rPr>
                <w:b/>
                <w:spacing w:val="0"/>
              </w:rPr>
            </w:pPr>
            <w:r>
              <w:rPr>
                <w:b/>
                <w:spacing w:val="0"/>
              </w:rPr>
              <w:t>2026</w:t>
            </w:r>
          </w:p>
        </w:tc>
        <w:tc>
          <w:tcPr>
            <w:tcW w:w="81" w:type="dxa"/>
            <w:tcBorders/>
            <w:vAlign w:val="center"/>
          </w:tcPr>
          <w:p>
            <w:pPr>
              <w:pStyle w:val="TableContents"/>
              <w:bidi w:val="0"/>
              <w:spacing w:before="0" w:after="0"/>
              <w:jc w:val="left"/>
              <w:rPr>
                <w:spacing w:val="0"/>
              </w:rPr>
            </w:pPr>
            <w:r>
              <w:rPr>
                <w:spacing w:val="0"/>
              </w:rPr>
              <w:t> </w:t>
            </w:r>
          </w:p>
        </w:tc>
        <w:tc>
          <w:tcPr>
            <w:tcW w:w="164" w:type="dxa"/>
            <w:tcBorders/>
            <w:vAlign w:val="center"/>
          </w:tcPr>
          <w:p>
            <w:pPr>
              <w:pStyle w:val="TableContents"/>
              <w:bidi w:val="0"/>
              <w:spacing w:before="0" w:after="0"/>
              <w:jc w:val="left"/>
              <w:rPr>
                <w:spacing w:val="0"/>
              </w:rPr>
            </w:pPr>
            <w:r>
              <w:rPr>
                <w:spacing w:val="0"/>
              </w:rPr>
              <w:t>  </w:t>
            </w:r>
          </w:p>
        </w:tc>
        <w:tc>
          <w:tcPr>
            <w:tcW w:w="1291" w:type="dxa"/>
            <w:gridSpan w:val="2"/>
            <w:tcBorders/>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0"/>
              <w:jc w:val="left"/>
              <w:rPr>
                <w:spacing w:val="0"/>
              </w:rPr>
            </w:pPr>
            <w:r>
              <w:rPr>
                <w:spacing w:val="0"/>
              </w:rPr>
              <w:t> </w:t>
            </w:r>
          </w:p>
        </w:tc>
      </w:tr>
      <w:tr>
        <w:trPr/>
        <w:tc>
          <w:tcPr>
            <w:tcW w:w="22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and development</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32" w:type="dxa"/>
            <w:tcBorders/>
            <w:shd w:fill="CCEEFF" w:val="clear"/>
            <w:vAlign w:val="center"/>
          </w:tcPr>
          <w:p>
            <w:pPr>
              <w:pStyle w:val="TableContents"/>
              <w:bidi w:val="0"/>
              <w:spacing w:before="0" w:after="0"/>
              <w:jc w:val="left"/>
              <w:rPr>
                <w:spacing w:val="0"/>
              </w:rPr>
            </w:pPr>
            <w:r>
              <w:rPr>
                <w:spacing w:val="0"/>
              </w:rPr>
              <w:t>$</w:t>
            </w:r>
          </w:p>
        </w:tc>
        <w:tc>
          <w:tcPr>
            <w:tcW w:w="1029" w:type="dxa"/>
            <w:tcBorders/>
            <w:shd w:fill="CCEEFF" w:val="clear"/>
            <w:vAlign w:val="center"/>
          </w:tcPr>
          <w:p>
            <w:pPr>
              <w:pStyle w:val="TableContents"/>
              <w:bidi w:val="0"/>
              <w:spacing w:before="0" w:after="0"/>
              <w:jc w:val="right"/>
              <w:rPr>
                <w:spacing w:val="0"/>
              </w:rPr>
            </w:pPr>
            <w:r>
              <w:rPr>
                <w:spacing w:val="0"/>
              </w:rPr>
              <w:t> </w:t>
            </w:r>
            <w:r>
              <w:rPr>
                <w:spacing w:val="0"/>
              </w:rPr>
              <w:t>688</w:t>
            </w:r>
          </w:p>
        </w:tc>
        <w:tc>
          <w:tcPr>
            <w:tcW w:w="98" w:type="dxa"/>
            <w:tcBorders/>
            <w:shd w:fill="CCEEFF" w:val="clear"/>
            <w:vAlign w:val="center"/>
          </w:tcPr>
          <w:p>
            <w:pPr>
              <w:pStyle w:val="TableContents"/>
              <w:bidi w:val="0"/>
              <w:spacing w:before="0" w:after="0"/>
              <w:jc w:val="left"/>
              <w:rPr>
                <w:spacing w:val="0"/>
              </w:rPr>
            </w:pPr>
            <w:r>
              <w:rPr>
                <w:spacing w:val="0"/>
              </w:rPr>
              <w:t> </w:t>
            </w:r>
          </w:p>
        </w:tc>
        <w:tc>
          <w:tcPr>
            <w:tcW w:w="198" w:type="dxa"/>
            <w:tcBorders/>
            <w:shd w:fill="CCEEFF" w:val="clear"/>
            <w:vAlign w:val="center"/>
          </w:tcPr>
          <w:p>
            <w:pPr>
              <w:pStyle w:val="TableContents"/>
              <w:bidi w:val="0"/>
              <w:spacing w:before="0" w:after="0"/>
              <w:jc w:val="left"/>
              <w:rPr>
                <w:spacing w:val="0"/>
              </w:rPr>
            </w:pPr>
            <w:r>
              <w:rPr>
                <w:spacing w:val="0"/>
              </w:rPr>
              <w:t>  </w:t>
            </w:r>
          </w:p>
        </w:tc>
        <w:tc>
          <w:tcPr>
            <w:tcW w:w="232" w:type="dxa"/>
            <w:tcBorders/>
            <w:shd w:fill="CCEEFF" w:val="clear"/>
            <w:vAlign w:val="center"/>
          </w:tcPr>
          <w:p>
            <w:pPr>
              <w:pStyle w:val="TableContents"/>
              <w:bidi w:val="0"/>
              <w:spacing w:before="0" w:after="0"/>
              <w:jc w:val="left"/>
              <w:rPr>
                <w:spacing w:val="0"/>
              </w:rPr>
            </w:pPr>
            <w:r>
              <w:rPr>
                <w:spacing w:val="0"/>
              </w:rPr>
              <w:t>$</w:t>
            </w:r>
          </w:p>
        </w:tc>
        <w:tc>
          <w:tcPr>
            <w:tcW w:w="1332" w:type="dxa"/>
            <w:tcBorders/>
            <w:shd w:fill="CCEEFF" w:val="clear"/>
            <w:vAlign w:val="center"/>
          </w:tcPr>
          <w:p>
            <w:pPr>
              <w:pStyle w:val="TableContents"/>
              <w:bidi w:val="0"/>
              <w:spacing w:before="0" w:after="0"/>
              <w:jc w:val="right"/>
              <w:rPr>
                <w:spacing w:val="0"/>
              </w:rPr>
            </w:pPr>
            <w:r>
              <w:rPr>
                <w:spacing w:val="0"/>
              </w:rPr>
              <w:t> </w:t>
            </w:r>
            <w:r>
              <w:rPr>
                <w:spacing w:val="0"/>
              </w:rPr>
              <w:t>1,168</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91" w:type="dxa"/>
            <w:tcBorders/>
            <w:shd w:fill="CCEEFF" w:val="clear"/>
            <w:vAlign w:val="center"/>
          </w:tcPr>
          <w:p>
            <w:pPr>
              <w:pStyle w:val="TableContents"/>
              <w:bidi w:val="0"/>
              <w:spacing w:before="0" w:after="0"/>
              <w:jc w:val="left"/>
              <w:rPr>
                <w:spacing w:val="0"/>
              </w:rPr>
            </w:pPr>
            <w:r>
              <w:rPr>
                <w:spacing w:val="0"/>
              </w:rPr>
              <w:t>$</w:t>
            </w:r>
          </w:p>
        </w:tc>
        <w:tc>
          <w:tcPr>
            <w:tcW w:w="1096" w:type="dxa"/>
            <w:tcBorders/>
            <w:shd w:fill="CCEEFF" w:val="clear"/>
            <w:vAlign w:val="center"/>
          </w:tcPr>
          <w:p>
            <w:pPr>
              <w:pStyle w:val="TableContents"/>
              <w:bidi w:val="0"/>
              <w:spacing w:before="0" w:after="0"/>
              <w:jc w:val="right"/>
              <w:rPr>
                <w:spacing w:val="0"/>
              </w:rPr>
            </w:pPr>
            <w:r>
              <w:rPr>
                <w:spacing w:val="0"/>
              </w:rPr>
              <w:t> </w:t>
            </w:r>
            <w:r>
              <w:rPr>
                <w:spacing w:val="0"/>
              </w:rPr>
              <w:t>1,368</w:t>
            </w:r>
          </w:p>
        </w:tc>
        <w:tc>
          <w:tcPr>
            <w:tcW w:w="81" w:type="dxa"/>
            <w:tcBorders/>
            <w:shd w:fill="CCEEFF" w:val="clear"/>
            <w:vAlign w:val="center"/>
          </w:tcPr>
          <w:p>
            <w:pPr>
              <w:pStyle w:val="TableContents"/>
              <w:bidi w:val="0"/>
              <w:spacing w:before="0" w:after="0"/>
              <w:jc w:val="left"/>
              <w:rPr>
                <w:spacing w:val="0"/>
              </w:rPr>
            </w:pPr>
            <w:r>
              <w:rPr>
                <w:spacing w:val="0"/>
              </w:rPr>
              <w:t> </w:t>
            </w:r>
          </w:p>
        </w:tc>
        <w:tc>
          <w:tcPr>
            <w:tcW w:w="164" w:type="dxa"/>
            <w:tcBorders/>
            <w:shd w:fill="CCEEFF" w:val="clear"/>
            <w:vAlign w:val="center"/>
          </w:tcPr>
          <w:p>
            <w:pPr>
              <w:pStyle w:val="TableContents"/>
              <w:bidi w:val="0"/>
              <w:spacing w:before="0" w:after="0"/>
              <w:jc w:val="left"/>
              <w:rPr>
                <w:spacing w:val="0"/>
              </w:rPr>
            </w:pPr>
            <w:r>
              <w:rPr>
                <w:spacing w:val="0"/>
              </w:rPr>
              <w:t>  </w:t>
            </w:r>
          </w:p>
        </w:tc>
        <w:tc>
          <w:tcPr>
            <w:tcW w:w="191" w:type="dxa"/>
            <w:tcBorders/>
            <w:shd w:fill="CCEEFF" w:val="clear"/>
            <w:vAlign w:val="center"/>
          </w:tcPr>
          <w:p>
            <w:pPr>
              <w:pStyle w:val="TableContents"/>
              <w:bidi w:val="0"/>
              <w:spacing w:before="0" w:after="0"/>
              <w:jc w:val="left"/>
              <w:rPr>
                <w:spacing w:val="0"/>
              </w:rPr>
            </w:pPr>
            <w:r>
              <w:rPr>
                <w:spacing w:val="0"/>
              </w:rPr>
              <w:t>$</w:t>
            </w:r>
          </w:p>
        </w:tc>
        <w:tc>
          <w:tcPr>
            <w:tcW w:w="1100" w:type="dxa"/>
            <w:tcBorders/>
            <w:shd w:fill="CCEEFF" w:val="clear"/>
            <w:vAlign w:val="center"/>
          </w:tcPr>
          <w:p>
            <w:pPr>
              <w:pStyle w:val="TableContents"/>
              <w:bidi w:val="0"/>
              <w:spacing w:before="0" w:after="0"/>
              <w:jc w:val="right"/>
              <w:rPr>
                <w:spacing w:val="0"/>
              </w:rPr>
            </w:pPr>
            <w:r>
              <w:rPr>
                <w:spacing w:val="0"/>
              </w:rPr>
              <w:t> </w:t>
            </w:r>
            <w:r>
              <w:rPr>
                <w:spacing w:val="0"/>
              </w:rPr>
              <w:t>1,993</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22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General and administrative</w:t>
            </w:r>
          </w:p>
        </w:tc>
        <w:tc>
          <w:tcPr>
            <w:tcW w:w="120" w:type="dxa"/>
            <w:tcBorders/>
            <w:vAlign w:val="center"/>
          </w:tcPr>
          <w:p>
            <w:pPr>
              <w:pStyle w:val="TableContents"/>
              <w:bidi w:val="0"/>
              <w:spacing w:before="0" w:after="0"/>
              <w:jc w:val="left"/>
              <w:rPr>
                <w:spacing w:val="0"/>
              </w:rPr>
            </w:pPr>
            <w:r>
              <w:rPr>
                <w:spacing w:val="0"/>
              </w:rPr>
              <w:t>  </w:t>
            </w:r>
          </w:p>
        </w:tc>
        <w:tc>
          <w:tcPr>
            <w:tcW w:w="232" w:type="dxa"/>
            <w:tcBorders/>
            <w:vAlign w:val="center"/>
          </w:tcPr>
          <w:p>
            <w:pPr>
              <w:pStyle w:val="TableContents"/>
              <w:bidi w:val="0"/>
              <w:spacing w:before="0" w:after="0"/>
              <w:jc w:val="left"/>
              <w:rPr>
                <w:spacing w:val="0"/>
              </w:rPr>
            </w:pPr>
            <w:r>
              <w:rPr>
                <w:spacing w:val="0"/>
              </w:rPr>
              <w:t> </w:t>
            </w:r>
          </w:p>
        </w:tc>
        <w:tc>
          <w:tcPr>
            <w:tcW w:w="1029" w:type="dxa"/>
            <w:tcBorders/>
            <w:vAlign w:val="center"/>
          </w:tcPr>
          <w:p>
            <w:pPr>
              <w:pStyle w:val="TableContents"/>
              <w:bidi w:val="0"/>
              <w:spacing w:before="0" w:after="0"/>
              <w:jc w:val="right"/>
              <w:rPr>
                <w:spacing w:val="0"/>
              </w:rPr>
            </w:pPr>
            <w:r>
              <w:rPr>
                <w:spacing w:val="0"/>
              </w:rPr>
              <w:t>864</w:t>
            </w:r>
          </w:p>
        </w:tc>
        <w:tc>
          <w:tcPr>
            <w:tcW w:w="98" w:type="dxa"/>
            <w:tcBorders/>
            <w:vAlign w:val="center"/>
          </w:tcPr>
          <w:p>
            <w:pPr>
              <w:pStyle w:val="TableContents"/>
              <w:bidi w:val="0"/>
              <w:spacing w:before="0" w:after="0"/>
              <w:jc w:val="left"/>
              <w:rPr>
                <w:spacing w:val="0"/>
              </w:rPr>
            </w:pPr>
            <w:r>
              <w:rPr>
                <w:spacing w:val="0"/>
              </w:rPr>
              <w:t> </w:t>
            </w:r>
          </w:p>
        </w:tc>
        <w:tc>
          <w:tcPr>
            <w:tcW w:w="198" w:type="dxa"/>
            <w:tcBorders/>
            <w:vAlign w:val="center"/>
          </w:tcPr>
          <w:p>
            <w:pPr>
              <w:pStyle w:val="TableContents"/>
              <w:bidi w:val="0"/>
              <w:spacing w:before="0" w:after="0"/>
              <w:jc w:val="left"/>
              <w:rPr>
                <w:spacing w:val="0"/>
              </w:rPr>
            </w:pPr>
            <w:r>
              <w:rPr>
                <w:spacing w:val="0"/>
              </w:rPr>
              <w:t>  </w:t>
            </w:r>
          </w:p>
        </w:tc>
        <w:tc>
          <w:tcPr>
            <w:tcW w:w="232" w:type="dxa"/>
            <w:tcBorders/>
            <w:vAlign w:val="center"/>
          </w:tcPr>
          <w:p>
            <w:pPr>
              <w:pStyle w:val="TableContents"/>
              <w:bidi w:val="0"/>
              <w:spacing w:before="0" w:after="0"/>
              <w:jc w:val="left"/>
              <w:rPr>
                <w:spacing w:val="0"/>
              </w:rPr>
            </w:pPr>
            <w:r>
              <w:rPr>
                <w:spacing w:val="0"/>
              </w:rPr>
              <w:t> </w:t>
            </w:r>
          </w:p>
        </w:tc>
        <w:tc>
          <w:tcPr>
            <w:tcW w:w="1332" w:type="dxa"/>
            <w:tcBorders/>
            <w:vAlign w:val="center"/>
          </w:tcPr>
          <w:p>
            <w:pPr>
              <w:pStyle w:val="TableContents"/>
              <w:bidi w:val="0"/>
              <w:spacing w:before="0" w:after="0"/>
              <w:jc w:val="right"/>
              <w:rPr>
                <w:spacing w:val="0"/>
              </w:rPr>
            </w:pPr>
            <w:r>
              <w:rPr>
                <w:spacing w:val="0"/>
              </w:rPr>
              <w:t>1,593</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91" w:type="dxa"/>
            <w:tcBorders/>
            <w:vAlign w:val="center"/>
          </w:tcPr>
          <w:p>
            <w:pPr>
              <w:pStyle w:val="TableContents"/>
              <w:bidi w:val="0"/>
              <w:spacing w:before="0" w:after="0"/>
              <w:jc w:val="left"/>
              <w:rPr>
                <w:spacing w:val="0"/>
              </w:rPr>
            </w:pPr>
            <w:r>
              <w:rPr>
                <w:spacing w:val="0"/>
              </w:rPr>
              <w:t> </w:t>
            </w:r>
          </w:p>
        </w:tc>
        <w:tc>
          <w:tcPr>
            <w:tcW w:w="1096" w:type="dxa"/>
            <w:tcBorders/>
            <w:vAlign w:val="center"/>
          </w:tcPr>
          <w:p>
            <w:pPr>
              <w:pStyle w:val="TableContents"/>
              <w:bidi w:val="0"/>
              <w:spacing w:before="0" w:after="0"/>
              <w:jc w:val="right"/>
              <w:rPr>
                <w:spacing w:val="0"/>
              </w:rPr>
            </w:pPr>
            <w:r>
              <w:rPr>
                <w:spacing w:val="0"/>
              </w:rPr>
              <w:t>1,638</w:t>
            </w:r>
          </w:p>
        </w:tc>
        <w:tc>
          <w:tcPr>
            <w:tcW w:w="81" w:type="dxa"/>
            <w:tcBorders/>
            <w:vAlign w:val="center"/>
          </w:tcPr>
          <w:p>
            <w:pPr>
              <w:pStyle w:val="TableContents"/>
              <w:bidi w:val="0"/>
              <w:spacing w:before="0" w:after="0"/>
              <w:jc w:val="left"/>
              <w:rPr>
                <w:spacing w:val="0"/>
              </w:rPr>
            </w:pPr>
            <w:r>
              <w:rPr>
                <w:spacing w:val="0"/>
              </w:rPr>
              <w:t> </w:t>
            </w:r>
          </w:p>
        </w:tc>
        <w:tc>
          <w:tcPr>
            <w:tcW w:w="164" w:type="dxa"/>
            <w:tcBorders/>
            <w:vAlign w:val="center"/>
          </w:tcPr>
          <w:p>
            <w:pPr>
              <w:pStyle w:val="TableContents"/>
              <w:bidi w:val="0"/>
              <w:spacing w:before="0" w:after="0"/>
              <w:jc w:val="left"/>
              <w:rPr>
                <w:spacing w:val="0"/>
              </w:rPr>
            </w:pPr>
            <w:r>
              <w:rPr>
                <w:spacing w:val="0"/>
              </w:rPr>
              <w:t>  </w:t>
            </w:r>
          </w:p>
        </w:tc>
        <w:tc>
          <w:tcPr>
            <w:tcW w:w="191" w:type="dxa"/>
            <w:tcBorders/>
            <w:vAlign w:val="center"/>
          </w:tcPr>
          <w:p>
            <w:pPr>
              <w:pStyle w:val="TableContents"/>
              <w:bidi w:val="0"/>
              <w:spacing w:before="0" w:after="0"/>
              <w:jc w:val="left"/>
              <w:rPr>
                <w:spacing w:val="0"/>
              </w:rPr>
            </w:pPr>
            <w:r>
              <w:rPr>
                <w:spacing w:val="0"/>
              </w:rPr>
              <w:t> </w:t>
            </w:r>
          </w:p>
        </w:tc>
        <w:tc>
          <w:tcPr>
            <w:tcW w:w="1100" w:type="dxa"/>
            <w:tcBorders/>
            <w:vAlign w:val="center"/>
          </w:tcPr>
          <w:p>
            <w:pPr>
              <w:pStyle w:val="TableContents"/>
              <w:bidi w:val="0"/>
              <w:spacing w:before="0" w:after="0"/>
              <w:jc w:val="right"/>
              <w:rPr>
                <w:spacing w:val="0"/>
              </w:rPr>
            </w:pPr>
            <w:r>
              <w:rPr>
                <w:spacing w:val="0"/>
              </w:rPr>
              <w:t>2,878</w:t>
            </w:r>
          </w:p>
        </w:tc>
        <w:tc>
          <w:tcPr>
            <w:tcW w:w="75" w:type="dxa"/>
            <w:tcBorders/>
            <w:vAlign w:val="center"/>
          </w:tcPr>
          <w:p>
            <w:pPr>
              <w:pStyle w:val="TableContents"/>
              <w:bidi w:val="0"/>
              <w:spacing w:before="0" w:after="0"/>
              <w:jc w:val="left"/>
              <w:rPr>
                <w:spacing w:val="0"/>
              </w:rPr>
            </w:pPr>
            <w:r>
              <w:rPr>
                <w:spacing w:val="0"/>
              </w:rPr>
              <w:t> </w:t>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23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2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 w:type="dxa"/>
            <w:tcBorders/>
            <w:vAlign w:val="center"/>
          </w:tcPr>
          <w:p>
            <w:pPr>
              <w:pStyle w:val="TableContents"/>
              <w:bidi w:val="0"/>
              <w:spacing w:before="0" w:after="0"/>
              <w:jc w:val="left"/>
              <w:rPr>
                <w:spacing w:val="0"/>
              </w:rPr>
            </w:pPr>
            <w:r>
              <w:rPr>
                <w:spacing w:val="0"/>
              </w:rPr>
              <w:t> </w:t>
            </w:r>
          </w:p>
        </w:tc>
        <w:tc>
          <w:tcPr>
            <w:tcW w:w="198" w:type="dxa"/>
            <w:tcBorders/>
            <w:vAlign w:val="center"/>
          </w:tcPr>
          <w:p>
            <w:pPr>
              <w:pStyle w:val="TableContents"/>
              <w:bidi w:val="0"/>
              <w:spacing w:before="0" w:after="0"/>
              <w:jc w:val="left"/>
              <w:rPr>
                <w:spacing w:val="0"/>
              </w:rPr>
            </w:pPr>
            <w:r>
              <w:rPr>
                <w:spacing w:val="0"/>
              </w:rPr>
              <w:t>  </w:t>
            </w:r>
          </w:p>
        </w:tc>
        <w:tc>
          <w:tcPr>
            <w:tcW w:w="23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3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9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1" w:type="dxa"/>
            <w:tcBorders/>
            <w:vAlign w:val="center"/>
          </w:tcPr>
          <w:p>
            <w:pPr>
              <w:pStyle w:val="TableContents"/>
              <w:bidi w:val="0"/>
              <w:spacing w:before="0" w:after="0"/>
              <w:jc w:val="left"/>
              <w:rPr>
                <w:spacing w:val="0"/>
              </w:rPr>
            </w:pPr>
            <w:r>
              <w:rPr>
                <w:spacing w:val="0"/>
              </w:rPr>
              <w:t> </w:t>
            </w:r>
          </w:p>
        </w:tc>
        <w:tc>
          <w:tcPr>
            <w:tcW w:w="164" w:type="dxa"/>
            <w:tcBorders/>
            <w:vAlign w:val="center"/>
          </w:tcPr>
          <w:p>
            <w:pPr>
              <w:pStyle w:val="TableContents"/>
              <w:bidi w:val="0"/>
              <w:spacing w:before="0" w:after="0"/>
              <w:jc w:val="left"/>
              <w:rPr>
                <w:spacing w:val="0"/>
              </w:rPr>
            </w:pPr>
            <w:r>
              <w:rPr>
                <w:spacing w:val="0"/>
              </w:rPr>
              <w:t>  </w:t>
            </w:r>
          </w:p>
        </w:tc>
        <w:tc>
          <w:tcPr>
            <w:tcW w:w="1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0"/>
              <w:jc w:val="left"/>
              <w:rPr>
                <w:spacing w:val="0"/>
              </w:rPr>
            </w:pPr>
            <w:r>
              <w:rPr>
                <w:spacing w:val="0"/>
              </w:rPr>
              <w:t> </w:t>
            </w:r>
          </w:p>
        </w:tc>
      </w:tr>
      <w:tr>
        <w:trPr/>
        <w:tc>
          <w:tcPr>
            <w:tcW w:w="222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261" w:type="dxa"/>
            <w:gridSpan w:val="2"/>
            <w:tcBorders/>
            <w:vAlign w:val="center"/>
          </w:tcPr>
          <w:p>
            <w:pPr>
              <w:pStyle w:val="TableContents"/>
              <w:bidi w:val="0"/>
              <w:spacing w:before="0" w:after="0"/>
              <w:jc w:val="center"/>
              <w:rPr>
                <w:spacing w:val="0"/>
              </w:rPr>
            </w:pPr>
            <w:r>
              <w:rPr>
                <w:spacing w:val="0"/>
              </w:rPr>
              <w:t>$1,552</w:t>
            </w:r>
          </w:p>
        </w:tc>
        <w:tc>
          <w:tcPr>
            <w:tcW w:w="98" w:type="dxa"/>
            <w:tcBorders/>
            <w:vAlign w:val="center"/>
          </w:tcPr>
          <w:p>
            <w:pPr>
              <w:pStyle w:val="TableContents"/>
              <w:bidi w:val="0"/>
              <w:spacing w:before="0" w:after="0"/>
              <w:jc w:val="left"/>
              <w:rPr>
                <w:spacing w:val="0"/>
              </w:rPr>
            </w:pPr>
            <w:r>
              <w:rPr>
                <w:spacing w:val="0"/>
              </w:rPr>
              <w:t> </w:t>
            </w:r>
          </w:p>
        </w:tc>
        <w:tc>
          <w:tcPr>
            <w:tcW w:w="198" w:type="dxa"/>
            <w:tcBorders/>
            <w:vAlign w:val="center"/>
          </w:tcPr>
          <w:p>
            <w:pPr>
              <w:pStyle w:val="TableContents"/>
              <w:bidi w:val="0"/>
              <w:spacing w:before="0" w:after="0"/>
              <w:jc w:val="left"/>
              <w:rPr>
                <w:spacing w:val="0"/>
              </w:rPr>
            </w:pPr>
            <w:r>
              <w:rPr>
                <w:spacing w:val="0"/>
              </w:rPr>
              <w:t>  </w:t>
            </w:r>
          </w:p>
        </w:tc>
        <w:tc>
          <w:tcPr>
            <w:tcW w:w="1564" w:type="dxa"/>
            <w:gridSpan w:val="2"/>
            <w:tcBorders/>
            <w:vAlign w:val="center"/>
          </w:tcPr>
          <w:p>
            <w:pPr>
              <w:pStyle w:val="TableContents"/>
              <w:bidi w:val="0"/>
              <w:spacing w:before="0" w:after="0"/>
              <w:jc w:val="center"/>
              <w:rPr>
                <w:spacing w:val="0"/>
              </w:rPr>
            </w:pPr>
            <w:r>
              <w:rPr>
                <w:spacing w:val="0"/>
              </w:rPr>
              <w:t>$2,761</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287" w:type="dxa"/>
            <w:gridSpan w:val="2"/>
            <w:tcBorders/>
            <w:vAlign w:val="center"/>
          </w:tcPr>
          <w:p>
            <w:pPr>
              <w:pStyle w:val="TableContents"/>
              <w:bidi w:val="0"/>
              <w:spacing w:before="0" w:after="0"/>
              <w:jc w:val="center"/>
              <w:rPr>
                <w:spacing w:val="0"/>
              </w:rPr>
            </w:pPr>
            <w:r>
              <w:rPr>
                <w:spacing w:val="0"/>
              </w:rPr>
              <w:t>$3,006</w:t>
            </w:r>
          </w:p>
        </w:tc>
        <w:tc>
          <w:tcPr>
            <w:tcW w:w="81" w:type="dxa"/>
            <w:tcBorders/>
            <w:vAlign w:val="center"/>
          </w:tcPr>
          <w:p>
            <w:pPr>
              <w:pStyle w:val="TableContents"/>
              <w:bidi w:val="0"/>
              <w:spacing w:before="0" w:after="0"/>
              <w:jc w:val="left"/>
              <w:rPr>
                <w:spacing w:val="0"/>
              </w:rPr>
            </w:pPr>
            <w:r>
              <w:rPr>
                <w:spacing w:val="0"/>
              </w:rPr>
              <w:t> </w:t>
            </w:r>
          </w:p>
        </w:tc>
        <w:tc>
          <w:tcPr>
            <w:tcW w:w="164" w:type="dxa"/>
            <w:tcBorders/>
            <w:vAlign w:val="center"/>
          </w:tcPr>
          <w:p>
            <w:pPr>
              <w:pStyle w:val="TableContents"/>
              <w:bidi w:val="0"/>
              <w:spacing w:before="0" w:after="0"/>
              <w:jc w:val="left"/>
              <w:rPr>
                <w:spacing w:val="0"/>
              </w:rPr>
            </w:pPr>
            <w:r>
              <w:rPr>
                <w:spacing w:val="0"/>
              </w:rPr>
              <w:t>  </w:t>
            </w:r>
          </w:p>
        </w:tc>
        <w:tc>
          <w:tcPr>
            <w:tcW w:w="1291" w:type="dxa"/>
            <w:gridSpan w:val="2"/>
            <w:tcBorders/>
            <w:vAlign w:val="center"/>
          </w:tcPr>
          <w:p>
            <w:pPr>
              <w:pStyle w:val="TableContents"/>
              <w:bidi w:val="0"/>
              <w:spacing w:before="0" w:after="0"/>
              <w:jc w:val="center"/>
              <w:rPr>
                <w:spacing w:val="0"/>
              </w:rPr>
            </w:pPr>
            <w:r>
              <w:rPr>
                <w:spacing w:val="0"/>
              </w:rPr>
              <w:t>$4,871</w:t>
            </w:r>
          </w:p>
        </w:tc>
        <w:tc>
          <w:tcPr>
            <w:tcW w:w="75" w:type="dxa"/>
            <w:tcBorders/>
            <w:vAlign w:val="center"/>
          </w:tcPr>
          <w:p>
            <w:pPr>
              <w:pStyle w:val="TableContents"/>
              <w:bidi w:val="0"/>
              <w:spacing w:before="0" w:after="0"/>
              <w:jc w:val="left"/>
              <w:rPr>
                <w:spacing w:val="0"/>
              </w:rPr>
            </w:pPr>
            <w:r>
              <w:rPr>
                <w:spacing w:val="0"/>
              </w:rPr>
              <w:t> </w:t>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23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2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 w:type="dxa"/>
            <w:tcBorders/>
            <w:vAlign w:val="center"/>
          </w:tcPr>
          <w:p>
            <w:pPr>
              <w:pStyle w:val="TableContents"/>
              <w:bidi w:val="0"/>
              <w:spacing w:before="0" w:after="0"/>
              <w:jc w:val="left"/>
              <w:rPr>
                <w:spacing w:val="0"/>
              </w:rPr>
            </w:pPr>
            <w:r>
              <w:rPr>
                <w:spacing w:val="0"/>
              </w:rPr>
              <w:t> </w:t>
            </w:r>
          </w:p>
        </w:tc>
        <w:tc>
          <w:tcPr>
            <w:tcW w:w="198" w:type="dxa"/>
            <w:tcBorders/>
            <w:vAlign w:val="center"/>
          </w:tcPr>
          <w:p>
            <w:pPr>
              <w:pStyle w:val="TableContents"/>
              <w:bidi w:val="0"/>
              <w:spacing w:before="0" w:after="0"/>
              <w:jc w:val="left"/>
              <w:rPr>
                <w:spacing w:val="0"/>
              </w:rPr>
            </w:pPr>
            <w:r>
              <w:rPr>
                <w:spacing w:val="0"/>
              </w:rPr>
              <w:t>  </w:t>
            </w:r>
          </w:p>
        </w:tc>
        <w:tc>
          <w:tcPr>
            <w:tcW w:w="23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3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9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1" w:type="dxa"/>
            <w:tcBorders/>
            <w:vAlign w:val="center"/>
          </w:tcPr>
          <w:p>
            <w:pPr>
              <w:pStyle w:val="TableContents"/>
              <w:bidi w:val="0"/>
              <w:spacing w:before="0" w:after="0"/>
              <w:jc w:val="left"/>
              <w:rPr>
                <w:spacing w:val="0"/>
              </w:rPr>
            </w:pPr>
            <w:r>
              <w:rPr>
                <w:spacing w:val="0"/>
              </w:rPr>
              <w:t> </w:t>
            </w:r>
          </w:p>
        </w:tc>
        <w:tc>
          <w:tcPr>
            <w:tcW w:w="164" w:type="dxa"/>
            <w:tcBorders/>
            <w:vAlign w:val="center"/>
          </w:tcPr>
          <w:p>
            <w:pPr>
              <w:pStyle w:val="TableContents"/>
              <w:bidi w:val="0"/>
              <w:spacing w:before="0" w:after="0"/>
              <w:jc w:val="left"/>
              <w:rPr>
                <w:spacing w:val="0"/>
              </w:rPr>
            </w:pPr>
            <w:r>
              <w:rPr>
                <w:spacing w:val="0"/>
              </w:rPr>
              <w:t>  </w:t>
            </w:r>
          </w:p>
        </w:tc>
        <w:tc>
          <w:tcPr>
            <w:tcW w:w="1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0"/>
              <w:jc w:val="left"/>
              <w:rPr>
                <w:spacing w:val="0"/>
              </w:rPr>
            </w:pPr>
            <w:r>
              <w:rPr>
                <w:spacing w:val="0"/>
              </w:rPr>
              <w:t> </w:t>
            </w:r>
          </w:p>
        </w:tc>
      </w:tr>
    </w:tbl>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8. Income Taxes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No income tax expense was recorded during the three and six months ended June 30, 2026 or 2025. The Company maintained a full valuation allowance through June 30, 2026 due to uncertainty regarding its ability to utilize deferred tax assets.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9. Commitments and Contingencies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401(k) Plan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January 2017, and as amended in February 2020, the Company established a defined contribution plan under Section 401(k) of the Internal Revenue Code (the “401(k) Plan”). The 401(k) Plan covers all employees who meet defined minimum age and service requirements and allows participants to defer a portion of their annual compensation on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pre-tax</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basis. Starting in 2020, the Company makes matching contributions at a rate of 100% of each employee’s contribution up to a maximum employee contribution of 3% of eligible plan compensation. The Company made matching contributions of $0.1 million and $0.3 million for each of the three and six months ended June 30, 2026 and 2025, respectively.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Other Contractual Obligations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enters into contracts in the normal course of business with third parties for preclinical research studies, upcoming clinical trials and testing and manufacturing services. These contracts typically do not contain minimum purchase commitments and are generally cancelable by the Company upon written notice. Payments due upon cancellation consist of payments for services provided or expenses incurred, including noncancelable obligations of the service providers, up to the date of cancellation and in the case of certain arrangements may include noncancelable fees.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Indemnification Agreements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the ordinary course of business, the Company may provide indemnification of varying scope and terms to vendors, lessors, contract research organizations,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its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The Company has not incurred any material costs as a result of such indemnifications and is not currently aware of any indemnification claims.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Legal Proceedings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is not a party to any material legal proceedings. At each reporting date, the Company evaluates whether a potential loss amount or a potential range of losses is probable and reasonably estimable under the provisions of the authoritative guidance that addresses accounting for contingencies. The Company expenses as incurred the costs related to such legal proceedings.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Collaboration and License Agreement with University of Texas M.D. Anderson Cancer Center </w:t>
      </w:r>
    </w:p>
    <w:p>
      <w:pPr>
        <w:pStyle w:val="TextBody"/>
        <w:bidi w:val="0"/>
        <w:spacing w:before="120" w:after="0"/>
        <w:jc w:val="left"/>
        <w:rPr>
          <w:rFonts w:ascii="Times New Roman" w:hAnsi="Times New Roman"/>
          <w:spacing w:val="0"/>
          <w:sz w:val="20"/>
        </w:rPr>
      </w:pPr>
      <w:r>
        <w:rPr>
          <w:rFonts w:ascii="Times New Roman" w:hAnsi="Times New Roman"/>
          <w:spacing w:val="0"/>
          <w:sz w:val="20"/>
        </w:rPr>
        <w:t>In November 2020, The Company entered into a multi-year collaborative research and option agreement (the “Collaboration Agreement”) with the Board of Regents (the “Board of Regents”) of The University of Texas System, on behalf of the University of Texas M.D. Anderson Cancer Center (“M.D. Anderson”), designed to expedite the research and development of novel engineered TIL for the treatment of solid tumors. Pursuant to the Collaboration Agreement, as amended, the Company agreed to fund research activities of up to $8.3 million over approximately two years and received the option to obtain a license to certain intellectual property arising from the collaboration. The collaboration focused on developing TIL containing regulated membrane-bound IL15 (“mbIL15”), with the potential to enhance anti-tumor efficacy and reduce tumor burden in patients suffering from different types of solid tumors. The collaboration’s purpose was to accelerate the development of cytoTIL</w:t>
      </w:r>
    </w:p>
    <w:p>
      <w:pPr>
        <w:pStyle w:val="TextBody"/>
        <w:bidi w:val="0"/>
        <w:spacing w:before="120" w:after="0"/>
        <w:jc w:val="left"/>
        <w:rPr>
          <w:spacing w:val="0"/>
        </w:rPr>
      </w:pPr>
      <w:r>
        <w:rPr>
          <w:spacing w:val="0"/>
        </w:rPr>
        <w:t>™</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 including process and analytical development and clinical readiness activities. The Collaboration Agreement expired in 2023 and, prior to such expiration, the Company exercised its option to license certain intellectual property arising from the collaboration and subsequently entered into the resulting license agreement with the Board of Regents on behalf of M.D. Anderson (the (“M.D. Anderson License Agreement”) in October 2021.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Under the M.D. Anderson License Agreement, the Company is obligated to pay to M.D. Anderson (a) a royalty on net sales of Developed Products and licensed products at a low single digit percentage (b) milestone payments of up to (i) $75.0 million upon the achievement of certain specified clinical and regulatory milestones and (ii) $90.0 million upon the achievement of certain specified sales milestones, which milestones may be payable with respect to multiple products and indications and (c) a share of certain consideration received by the Company from sublicensees under any sublicense agreements with third parties. As of June 30, 2026, no additional milestone payments were considered probable of achievement and, accordingly,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related liability has been recognized.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M.D. Anderson License Agreement may be terminated by the Board of Regents upon notice for an uncured challenge of the Board of Regents’ patents and by mutual agreement of us and the Board of Regents.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10. Leases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has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non-cancelable</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operating lease agreements for office space in Cambridge, Massachusetts and Bedford, Massachusetts, which run through January 2027 and December, 2028, respectively. Future minimum payments under these operating leases as of June 30, 2026 was $3.0 million. Operating lease cost was $0.7 million for each of the three months ended June 30, 2026 and 2025, and $1.4 million for each of the six months ended June 30, 2026 and 2025.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11. Net Loss Per Share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following table sets forth the computation of the Company basic and diluted net loss per share for the periods presented (in thousands, except share and per share amounts):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3898"/>
        <w:gridCol w:w="120"/>
        <w:gridCol w:w="149"/>
        <w:gridCol w:w="1178"/>
        <w:gridCol w:w="165"/>
        <w:gridCol w:w="128"/>
        <w:gridCol w:w="149"/>
        <w:gridCol w:w="1178"/>
        <w:gridCol w:w="155"/>
        <w:gridCol w:w="120"/>
        <w:gridCol w:w="141"/>
        <w:gridCol w:w="1114"/>
        <w:gridCol w:w="156"/>
        <w:gridCol w:w="121"/>
        <w:gridCol w:w="141"/>
        <w:gridCol w:w="1114"/>
        <w:gridCol w:w="178"/>
      </w:tblGrid>
      <w:tr>
        <w:trPr/>
        <w:tc>
          <w:tcPr>
            <w:tcW w:w="3898"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49" w:type="dxa"/>
            <w:tcBorders/>
            <w:vAlign w:val="center"/>
          </w:tcPr>
          <w:p>
            <w:pPr>
              <w:pStyle w:val="TableContents"/>
              <w:bidi w:val="0"/>
              <w:spacing w:before="0" w:after="0"/>
              <w:jc w:val="left"/>
              <w:rPr/>
            </w:pPr>
            <w:r>
              <w:rPr/>
              <w:t> </w:t>
            </w:r>
          </w:p>
        </w:tc>
        <w:tc>
          <w:tcPr>
            <w:tcW w:w="1178" w:type="dxa"/>
            <w:tcBorders/>
            <w:vAlign w:val="center"/>
          </w:tcPr>
          <w:p>
            <w:pPr>
              <w:pStyle w:val="TableContents"/>
              <w:bidi w:val="0"/>
              <w:spacing w:before="0" w:after="0"/>
              <w:jc w:val="left"/>
              <w:rPr/>
            </w:pPr>
            <w:r>
              <w:rPr/>
              <w:t> </w:t>
            </w:r>
          </w:p>
        </w:tc>
        <w:tc>
          <w:tcPr>
            <w:tcW w:w="165" w:type="dxa"/>
            <w:tcBorders/>
            <w:vAlign w:val="center"/>
          </w:tcPr>
          <w:p>
            <w:pPr>
              <w:pStyle w:val="TableContents"/>
              <w:bidi w:val="0"/>
              <w:spacing w:before="0" w:after="0"/>
              <w:jc w:val="left"/>
              <w:rPr/>
            </w:pPr>
            <w:r>
              <w:rPr/>
              <w:t> </w:t>
            </w:r>
          </w:p>
        </w:tc>
        <w:tc>
          <w:tcPr>
            <w:tcW w:w="128" w:type="dxa"/>
            <w:tcBorders/>
            <w:vAlign w:val="center"/>
          </w:tcPr>
          <w:p>
            <w:pPr>
              <w:pStyle w:val="TableContents"/>
              <w:bidi w:val="0"/>
              <w:spacing w:before="0" w:after="0"/>
              <w:jc w:val="left"/>
              <w:rPr/>
            </w:pPr>
            <w:r>
              <w:rPr/>
              <w:t> </w:t>
            </w:r>
          </w:p>
        </w:tc>
        <w:tc>
          <w:tcPr>
            <w:tcW w:w="149" w:type="dxa"/>
            <w:tcBorders/>
            <w:vAlign w:val="center"/>
          </w:tcPr>
          <w:p>
            <w:pPr>
              <w:pStyle w:val="TableContents"/>
              <w:bidi w:val="0"/>
              <w:spacing w:before="0" w:after="0"/>
              <w:jc w:val="left"/>
              <w:rPr/>
            </w:pPr>
            <w:r>
              <w:rPr/>
              <w:t> </w:t>
            </w:r>
          </w:p>
        </w:tc>
        <w:tc>
          <w:tcPr>
            <w:tcW w:w="1178"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41" w:type="dxa"/>
            <w:tcBorders/>
            <w:vAlign w:val="center"/>
          </w:tcPr>
          <w:p>
            <w:pPr>
              <w:pStyle w:val="TableContents"/>
              <w:bidi w:val="0"/>
              <w:spacing w:before="0" w:after="0"/>
              <w:jc w:val="left"/>
              <w:rPr/>
            </w:pPr>
            <w:r>
              <w:rPr/>
              <w:t> </w:t>
            </w:r>
          </w:p>
        </w:tc>
        <w:tc>
          <w:tcPr>
            <w:tcW w:w="1114" w:type="dxa"/>
            <w:tcBorders/>
            <w:vAlign w:val="center"/>
          </w:tcPr>
          <w:p>
            <w:pPr>
              <w:pStyle w:val="TableContents"/>
              <w:bidi w:val="0"/>
              <w:spacing w:before="0" w:after="0"/>
              <w:jc w:val="left"/>
              <w:rPr/>
            </w:pPr>
            <w:r>
              <w:rPr/>
              <w:t> </w:t>
            </w:r>
          </w:p>
        </w:tc>
        <w:tc>
          <w:tcPr>
            <w:tcW w:w="156" w:type="dxa"/>
            <w:tcBorders/>
            <w:vAlign w:val="center"/>
          </w:tcPr>
          <w:p>
            <w:pPr>
              <w:pStyle w:val="TableContents"/>
              <w:bidi w:val="0"/>
              <w:spacing w:before="0" w:after="0"/>
              <w:jc w:val="left"/>
              <w:rPr/>
            </w:pPr>
            <w:r>
              <w:rPr/>
              <w:t> </w:t>
            </w:r>
          </w:p>
        </w:tc>
        <w:tc>
          <w:tcPr>
            <w:tcW w:w="121" w:type="dxa"/>
            <w:tcBorders/>
            <w:vAlign w:val="center"/>
          </w:tcPr>
          <w:p>
            <w:pPr>
              <w:pStyle w:val="TableContents"/>
              <w:bidi w:val="0"/>
              <w:spacing w:before="0" w:after="0"/>
              <w:jc w:val="left"/>
              <w:rPr/>
            </w:pPr>
            <w:r>
              <w:rPr/>
              <w:t> </w:t>
            </w:r>
          </w:p>
        </w:tc>
        <w:tc>
          <w:tcPr>
            <w:tcW w:w="141" w:type="dxa"/>
            <w:tcBorders/>
            <w:vAlign w:val="center"/>
          </w:tcPr>
          <w:p>
            <w:pPr>
              <w:pStyle w:val="TableContents"/>
              <w:bidi w:val="0"/>
              <w:spacing w:before="0" w:after="0"/>
              <w:jc w:val="left"/>
              <w:rPr/>
            </w:pPr>
            <w:r>
              <w:rPr/>
              <w:t> </w:t>
            </w:r>
          </w:p>
        </w:tc>
        <w:tc>
          <w:tcPr>
            <w:tcW w:w="1114" w:type="dxa"/>
            <w:tcBorders/>
            <w:vAlign w:val="center"/>
          </w:tcPr>
          <w:p>
            <w:pPr>
              <w:pStyle w:val="TableContents"/>
              <w:bidi w:val="0"/>
              <w:spacing w:before="0" w:after="0"/>
              <w:jc w:val="left"/>
              <w:rPr/>
            </w:pPr>
            <w:r>
              <w:rPr/>
              <w:t> </w:t>
            </w:r>
          </w:p>
        </w:tc>
        <w:tc>
          <w:tcPr>
            <w:tcW w:w="178" w:type="dxa"/>
            <w:tcBorders/>
            <w:vAlign w:val="center"/>
          </w:tcPr>
          <w:p>
            <w:pPr>
              <w:pStyle w:val="TableContents"/>
              <w:bidi w:val="0"/>
              <w:spacing w:before="0" w:after="0"/>
              <w:jc w:val="left"/>
              <w:rPr/>
            </w:pPr>
            <w:r>
              <w:rPr/>
              <w:t> </w:t>
            </w:r>
          </w:p>
        </w:tc>
      </w:tr>
      <w:tr>
        <w:trPr/>
        <w:tc>
          <w:tcPr>
            <w:tcW w:w="3898"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947" w:type="dxa"/>
            <w:gridSpan w:val="6"/>
            <w:tcBorders/>
            <w:vAlign w:val="center"/>
          </w:tcPr>
          <w:p>
            <w:pPr>
              <w:pStyle w:val="TableContents"/>
              <w:bidi w:val="0"/>
              <w:spacing w:before="0" w:after="0"/>
              <w:jc w:val="center"/>
              <w:rPr>
                <w:b/>
                <w:spacing w:val="0"/>
              </w:rPr>
            </w:pPr>
            <w:r>
              <w:rPr>
                <w:b/>
                <w:spacing w:val="0"/>
              </w:rPr>
              <w:t>Three Months Ended June 30,</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787" w:type="dxa"/>
            <w:gridSpan w:val="6"/>
            <w:tcBorders/>
            <w:vAlign w:val="center"/>
          </w:tcPr>
          <w:p>
            <w:pPr>
              <w:pStyle w:val="TableContents"/>
              <w:bidi w:val="0"/>
              <w:spacing w:before="0" w:after="0"/>
              <w:jc w:val="center"/>
              <w:rPr>
                <w:b/>
                <w:spacing w:val="0"/>
              </w:rPr>
            </w:pPr>
            <w:r>
              <w:rPr>
                <w:b/>
                <w:spacing w:val="0"/>
              </w:rPr>
              <w:t>Six Months Ended June 30,</w:t>
            </w:r>
          </w:p>
        </w:tc>
        <w:tc>
          <w:tcPr>
            <w:tcW w:w="178" w:type="dxa"/>
            <w:tcBorders/>
            <w:vAlign w:val="center"/>
          </w:tcPr>
          <w:p>
            <w:pPr>
              <w:pStyle w:val="TableContents"/>
              <w:bidi w:val="0"/>
              <w:spacing w:before="0" w:after="0"/>
              <w:jc w:val="left"/>
              <w:rPr>
                <w:spacing w:val="0"/>
              </w:rPr>
            </w:pPr>
            <w:r>
              <w:rPr>
                <w:spacing w:val="0"/>
              </w:rPr>
              <w:t> </w:t>
            </w:r>
          </w:p>
        </w:tc>
      </w:tr>
      <w:tr>
        <w:trPr/>
        <w:tc>
          <w:tcPr>
            <w:tcW w:w="3898"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327" w:type="dxa"/>
            <w:gridSpan w:val="2"/>
            <w:tcBorders/>
            <w:vAlign w:val="center"/>
          </w:tcPr>
          <w:p>
            <w:pPr>
              <w:pStyle w:val="TableContents"/>
              <w:bidi w:val="0"/>
              <w:spacing w:before="0" w:after="0"/>
              <w:jc w:val="center"/>
              <w:rPr>
                <w:b/>
                <w:spacing w:val="0"/>
              </w:rPr>
            </w:pPr>
            <w:r>
              <w:rPr>
                <w:b/>
                <w:spacing w:val="0"/>
              </w:rPr>
              <w:t>2026</w:t>
            </w:r>
          </w:p>
        </w:tc>
        <w:tc>
          <w:tcPr>
            <w:tcW w:w="165" w:type="dxa"/>
            <w:tcBorders/>
            <w:vAlign w:val="center"/>
          </w:tcPr>
          <w:p>
            <w:pPr>
              <w:pStyle w:val="TableContents"/>
              <w:bidi w:val="0"/>
              <w:spacing w:before="0" w:after="0"/>
              <w:jc w:val="left"/>
              <w:rPr>
                <w:spacing w:val="0"/>
              </w:rPr>
            </w:pPr>
            <w:r>
              <w:rPr>
                <w:spacing w:val="0"/>
              </w:rPr>
              <w:t> </w:t>
            </w:r>
          </w:p>
        </w:tc>
        <w:tc>
          <w:tcPr>
            <w:tcW w:w="128" w:type="dxa"/>
            <w:tcBorders/>
            <w:vAlign w:val="center"/>
          </w:tcPr>
          <w:p>
            <w:pPr>
              <w:pStyle w:val="TableContents"/>
              <w:bidi w:val="0"/>
              <w:spacing w:before="0" w:after="0"/>
              <w:jc w:val="left"/>
              <w:rPr>
                <w:spacing w:val="0"/>
              </w:rPr>
            </w:pPr>
            <w:r>
              <w:rPr>
                <w:spacing w:val="0"/>
              </w:rPr>
              <w:t>  </w:t>
            </w:r>
          </w:p>
        </w:tc>
        <w:tc>
          <w:tcPr>
            <w:tcW w:w="1327" w:type="dxa"/>
            <w:gridSpan w:val="2"/>
            <w:tcBorders/>
            <w:vAlign w:val="center"/>
          </w:tcPr>
          <w:p>
            <w:pPr>
              <w:pStyle w:val="TableContents"/>
              <w:bidi w:val="0"/>
              <w:spacing w:before="0" w:after="0"/>
              <w:jc w:val="center"/>
              <w:rPr>
                <w:b/>
                <w:spacing w:val="0"/>
              </w:rPr>
            </w:pPr>
            <w:r>
              <w:rPr>
                <w:b/>
                <w:spacing w:val="0"/>
              </w:rPr>
              <w:t>2025</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255" w:type="dxa"/>
            <w:gridSpan w:val="2"/>
            <w:tcBorders/>
            <w:vAlign w:val="center"/>
          </w:tcPr>
          <w:p>
            <w:pPr>
              <w:pStyle w:val="TableContents"/>
              <w:bidi w:val="0"/>
              <w:spacing w:before="0" w:after="0"/>
              <w:jc w:val="center"/>
              <w:rPr>
                <w:b/>
                <w:spacing w:val="0"/>
              </w:rPr>
            </w:pPr>
            <w:r>
              <w:rPr>
                <w:b/>
                <w:spacing w:val="0"/>
              </w:rPr>
              <w:t>2026</w:t>
            </w:r>
          </w:p>
        </w:tc>
        <w:tc>
          <w:tcPr>
            <w:tcW w:w="156" w:type="dxa"/>
            <w:tcBorders/>
            <w:vAlign w:val="center"/>
          </w:tcPr>
          <w:p>
            <w:pPr>
              <w:pStyle w:val="TableContents"/>
              <w:bidi w:val="0"/>
              <w:spacing w:before="0" w:after="0"/>
              <w:jc w:val="left"/>
              <w:rPr>
                <w:spacing w:val="0"/>
              </w:rPr>
            </w:pPr>
            <w:r>
              <w:rPr>
                <w:spacing w:val="0"/>
              </w:rPr>
              <w:t> </w:t>
            </w:r>
          </w:p>
        </w:tc>
        <w:tc>
          <w:tcPr>
            <w:tcW w:w="121" w:type="dxa"/>
            <w:tcBorders/>
            <w:vAlign w:val="center"/>
          </w:tcPr>
          <w:p>
            <w:pPr>
              <w:pStyle w:val="TableContents"/>
              <w:bidi w:val="0"/>
              <w:spacing w:before="0" w:after="0"/>
              <w:jc w:val="left"/>
              <w:rPr>
                <w:spacing w:val="0"/>
              </w:rPr>
            </w:pPr>
            <w:r>
              <w:rPr>
                <w:spacing w:val="0"/>
              </w:rPr>
              <w:t>  </w:t>
            </w:r>
          </w:p>
        </w:tc>
        <w:tc>
          <w:tcPr>
            <w:tcW w:w="1255" w:type="dxa"/>
            <w:gridSpan w:val="2"/>
            <w:tcBorders/>
            <w:vAlign w:val="center"/>
          </w:tcPr>
          <w:p>
            <w:pPr>
              <w:pStyle w:val="TableContents"/>
              <w:bidi w:val="0"/>
              <w:spacing w:before="0" w:after="0"/>
              <w:jc w:val="center"/>
              <w:rPr>
                <w:b/>
                <w:spacing w:val="0"/>
              </w:rPr>
            </w:pPr>
            <w:r>
              <w:rPr>
                <w:b/>
                <w:spacing w:val="0"/>
              </w:rPr>
              <w:t>2025</w:t>
            </w:r>
          </w:p>
        </w:tc>
        <w:tc>
          <w:tcPr>
            <w:tcW w:w="178" w:type="dxa"/>
            <w:tcBorders/>
            <w:vAlign w:val="center"/>
          </w:tcPr>
          <w:p>
            <w:pPr>
              <w:pStyle w:val="TableContents"/>
              <w:bidi w:val="0"/>
              <w:spacing w:before="0" w:after="0"/>
              <w:jc w:val="left"/>
              <w:rPr>
                <w:spacing w:val="0"/>
              </w:rPr>
            </w:pPr>
            <w:r>
              <w:rPr>
                <w:spacing w:val="0"/>
              </w:rPr>
              <w:t> </w:t>
            </w:r>
          </w:p>
        </w:tc>
      </w:tr>
      <w:tr>
        <w:trPr/>
        <w:tc>
          <w:tcPr>
            <w:tcW w:w="3898"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Numerator:</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9"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0"/>
              <w:jc w:val="left"/>
              <w:rPr>
                <w:spacing w:val="0"/>
              </w:rPr>
            </w:pPr>
            <w:r>
              <w:rPr>
                <w:spacing w:val="0"/>
              </w:rPr>
              <w:t>  </w:t>
            </w:r>
          </w:p>
        </w:tc>
        <w:tc>
          <w:tcPr>
            <w:tcW w:w="149"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1"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0"/>
              <w:jc w:val="left"/>
              <w:rPr>
                <w:spacing w:val="0"/>
              </w:rPr>
            </w:pPr>
            <w:r>
              <w:rPr>
                <w:spacing w:val="0"/>
              </w:rPr>
              <w:t>  </w:t>
            </w:r>
          </w:p>
        </w:tc>
        <w:tc>
          <w:tcPr>
            <w:tcW w:w="141"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r>
      <w:tr>
        <w:trPr/>
        <w:tc>
          <w:tcPr>
            <w:tcW w:w="3898"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vAlign w:val="center"/>
          </w:tcPr>
          <w:p>
            <w:pPr>
              <w:pStyle w:val="TableContents"/>
              <w:bidi w:val="0"/>
              <w:spacing w:before="0" w:after="0"/>
              <w:jc w:val="left"/>
              <w:rPr>
                <w:spacing w:val="0"/>
              </w:rPr>
            </w:pPr>
            <w:r>
              <w:rPr>
                <w:spacing w:val="0"/>
              </w:rPr>
              <w:t>  </w:t>
            </w:r>
          </w:p>
        </w:tc>
        <w:tc>
          <w:tcPr>
            <w:tcW w:w="149" w:type="dxa"/>
            <w:tcBorders/>
            <w:vAlign w:val="center"/>
          </w:tcPr>
          <w:p>
            <w:pPr>
              <w:pStyle w:val="TableContents"/>
              <w:bidi w:val="0"/>
              <w:spacing w:before="0" w:after="0"/>
              <w:jc w:val="left"/>
              <w:rPr>
                <w:spacing w:val="0"/>
              </w:rPr>
            </w:pPr>
            <w:r>
              <w:rPr>
                <w:spacing w:val="0"/>
              </w:rPr>
              <w:t>$</w:t>
            </w:r>
          </w:p>
        </w:tc>
        <w:tc>
          <w:tcPr>
            <w:tcW w:w="1178" w:type="dxa"/>
            <w:tcBorders/>
            <w:vAlign w:val="center"/>
          </w:tcPr>
          <w:p>
            <w:pPr>
              <w:pStyle w:val="TableContents"/>
              <w:bidi w:val="0"/>
              <w:spacing w:before="0" w:after="0"/>
              <w:jc w:val="right"/>
              <w:rPr>
                <w:spacing w:val="0"/>
              </w:rPr>
            </w:pPr>
            <w:r>
              <w:rPr>
                <w:spacing w:val="0"/>
              </w:rPr>
              <w:t>(25,864</w:t>
            </w:r>
          </w:p>
        </w:tc>
        <w:tc>
          <w:tcPr>
            <w:tcW w:w="165" w:type="dxa"/>
            <w:tcBorders/>
            <w:vAlign w:val="center"/>
          </w:tcPr>
          <w:p>
            <w:pPr>
              <w:pStyle w:val="TableContents"/>
              <w:bidi w:val="0"/>
              <w:spacing w:before="0" w:after="0"/>
              <w:jc w:val="left"/>
              <w:rPr>
                <w:spacing w:val="0"/>
              </w:rPr>
            </w:pPr>
            <w:r>
              <w:rPr>
                <w:spacing w:val="0"/>
              </w:rPr>
              <w:t>) </w:t>
            </w:r>
          </w:p>
        </w:tc>
        <w:tc>
          <w:tcPr>
            <w:tcW w:w="128" w:type="dxa"/>
            <w:tcBorders/>
            <w:vAlign w:val="center"/>
          </w:tcPr>
          <w:p>
            <w:pPr>
              <w:pStyle w:val="TableContents"/>
              <w:bidi w:val="0"/>
              <w:spacing w:before="0" w:after="0"/>
              <w:jc w:val="left"/>
              <w:rPr>
                <w:spacing w:val="0"/>
              </w:rPr>
            </w:pPr>
            <w:r>
              <w:rPr>
                <w:spacing w:val="0"/>
              </w:rPr>
              <w:t>  </w:t>
            </w:r>
          </w:p>
        </w:tc>
        <w:tc>
          <w:tcPr>
            <w:tcW w:w="149" w:type="dxa"/>
            <w:tcBorders/>
            <w:vAlign w:val="center"/>
          </w:tcPr>
          <w:p>
            <w:pPr>
              <w:pStyle w:val="TableContents"/>
              <w:bidi w:val="0"/>
              <w:spacing w:before="0" w:after="0"/>
              <w:jc w:val="left"/>
              <w:rPr>
                <w:spacing w:val="0"/>
              </w:rPr>
            </w:pPr>
            <w:r>
              <w:rPr>
                <w:spacing w:val="0"/>
              </w:rPr>
              <w:t>$</w:t>
            </w:r>
          </w:p>
        </w:tc>
        <w:tc>
          <w:tcPr>
            <w:tcW w:w="1178" w:type="dxa"/>
            <w:tcBorders/>
            <w:vAlign w:val="center"/>
          </w:tcPr>
          <w:p>
            <w:pPr>
              <w:pStyle w:val="TableContents"/>
              <w:bidi w:val="0"/>
              <w:spacing w:before="0" w:after="0"/>
              <w:jc w:val="right"/>
              <w:rPr>
                <w:spacing w:val="0"/>
              </w:rPr>
            </w:pPr>
            <w:r>
              <w:rPr>
                <w:spacing w:val="0"/>
              </w:rPr>
              <w:t>(26,896</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1" w:type="dxa"/>
            <w:tcBorders/>
            <w:vAlign w:val="center"/>
          </w:tcPr>
          <w:p>
            <w:pPr>
              <w:pStyle w:val="TableContents"/>
              <w:bidi w:val="0"/>
              <w:spacing w:before="0" w:after="0"/>
              <w:jc w:val="left"/>
              <w:rPr>
                <w:spacing w:val="0"/>
              </w:rPr>
            </w:pPr>
            <w:r>
              <w:rPr>
                <w:spacing w:val="0"/>
              </w:rPr>
              <w:t>$</w:t>
            </w:r>
          </w:p>
        </w:tc>
        <w:tc>
          <w:tcPr>
            <w:tcW w:w="1114" w:type="dxa"/>
            <w:tcBorders/>
            <w:vAlign w:val="center"/>
          </w:tcPr>
          <w:p>
            <w:pPr>
              <w:pStyle w:val="TableContents"/>
              <w:bidi w:val="0"/>
              <w:spacing w:before="0" w:after="0"/>
              <w:jc w:val="right"/>
              <w:rPr>
                <w:spacing w:val="0"/>
              </w:rPr>
            </w:pPr>
            <w:r>
              <w:rPr>
                <w:spacing w:val="0"/>
              </w:rPr>
              <w:t>(45,497</w:t>
            </w:r>
          </w:p>
        </w:tc>
        <w:tc>
          <w:tcPr>
            <w:tcW w:w="156" w:type="dxa"/>
            <w:tcBorders/>
            <w:vAlign w:val="center"/>
          </w:tcPr>
          <w:p>
            <w:pPr>
              <w:pStyle w:val="TableContents"/>
              <w:bidi w:val="0"/>
              <w:spacing w:before="0" w:after="0"/>
              <w:jc w:val="left"/>
              <w:rPr>
                <w:spacing w:val="0"/>
              </w:rPr>
            </w:pPr>
            <w:r>
              <w:rPr>
                <w:spacing w:val="0"/>
              </w:rPr>
              <w:t>) </w:t>
            </w:r>
          </w:p>
        </w:tc>
        <w:tc>
          <w:tcPr>
            <w:tcW w:w="121" w:type="dxa"/>
            <w:tcBorders/>
            <w:vAlign w:val="center"/>
          </w:tcPr>
          <w:p>
            <w:pPr>
              <w:pStyle w:val="TableContents"/>
              <w:bidi w:val="0"/>
              <w:spacing w:before="0" w:after="0"/>
              <w:jc w:val="left"/>
              <w:rPr>
                <w:spacing w:val="0"/>
              </w:rPr>
            </w:pPr>
            <w:r>
              <w:rPr>
                <w:spacing w:val="0"/>
              </w:rPr>
              <w:t>  </w:t>
            </w:r>
          </w:p>
        </w:tc>
        <w:tc>
          <w:tcPr>
            <w:tcW w:w="141" w:type="dxa"/>
            <w:tcBorders/>
            <w:vAlign w:val="center"/>
          </w:tcPr>
          <w:p>
            <w:pPr>
              <w:pStyle w:val="TableContents"/>
              <w:bidi w:val="0"/>
              <w:spacing w:before="0" w:after="0"/>
              <w:jc w:val="left"/>
              <w:rPr>
                <w:spacing w:val="0"/>
              </w:rPr>
            </w:pPr>
            <w:r>
              <w:rPr>
                <w:spacing w:val="0"/>
              </w:rPr>
              <w:t>$</w:t>
            </w:r>
          </w:p>
        </w:tc>
        <w:tc>
          <w:tcPr>
            <w:tcW w:w="1114" w:type="dxa"/>
            <w:tcBorders/>
            <w:vAlign w:val="center"/>
          </w:tcPr>
          <w:p>
            <w:pPr>
              <w:pStyle w:val="TableContents"/>
              <w:bidi w:val="0"/>
              <w:spacing w:before="0" w:after="0"/>
              <w:jc w:val="right"/>
              <w:rPr>
                <w:spacing w:val="0"/>
              </w:rPr>
            </w:pPr>
            <w:r>
              <w:rPr>
                <w:spacing w:val="0"/>
              </w:rPr>
              <w:t>(51,882</w:t>
            </w:r>
          </w:p>
        </w:tc>
        <w:tc>
          <w:tcPr>
            <w:tcW w:w="178" w:type="dxa"/>
            <w:tcBorders/>
            <w:vAlign w:val="center"/>
          </w:tcPr>
          <w:p>
            <w:pPr>
              <w:pStyle w:val="TableContents"/>
              <w:bidi w:val="0"/>
              <w:spacing w:before="0" w:after="0"/>
              <w:jc w:val="left"/>
              <w:rPr>
                <w:spacing w:val="0"/>
              </w:rPr>
            </w:pPr>
            <w:r>
              <w:rPr>
                <w:spacing w:val="0"/>
              </w:rPr>
              <w:t>) </w:t>
            </w:r>
          </w:p>
        </w:tc>
      </w:tr>
      <w:tr>
        <w:trPr/>
        <w:tc>
          <w:tcPr>
            <w:tcW w:w="389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4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5" w:type="dxa"/>
            <w:tcBorders/>
            <w:vAlign w:val="center"/>
          </w:tcPr>
          <w:p>
            <w:pPr>
              <w:pStyle w:val="TableContents"/>
              <w:bidi w:val="0"/>
              <w:spacing w:before="0" w:after="0"/>
              <w:jc w:val="left"/>
              <w:rPr>
                <w:spacing w:val="0"/>
              </w:rPr>
            </w:pPr>
            <w:r>
              <w:rPr>
                <w:spacing w:val="0"/>
              </w:rPr>
              <w:t> </w:t>
            </w:r>
          </w:p>
        </w:tc>
        <w:tc>
          <w:tcPr>
            <w:tcW w:w="128" w:type="dxa"/>
            <w:tcBorders/>
            <w:vAlign w:val="center"/>
          </w:tcPr>
          <w:p>
            <w:pPr>
              <w:pStyle w:val="TableContents"/>
              <w:bidi w:val="0"/>
              <w:spacing w:before="0" w:after="0"/>
              <w:jc w:val="left"/>
              <w:rPr>
                <w:spacing w:val="0"/>
              </w:rPr>
            </w:pPr>
            <w:r>
              <w:rPr>
                <w:spacing w:val="0"/>
              </w:rPr>
              <w:t>  </w:t>
            </w:r>
          </w:p>
        </w:tc>
        <w:tc>
          <w:tcPr>
            <w:tcW w:w="14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1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6" w:type="dxa"/>
            <w:tcBorders/>
            <w:vAlign w:val="center"/>
          </w:tcPr>
          <w:p>
            <w:pPr>
              <w:pStyle w:val="TableContents"/>
              <w:bidi w:val="0"/>
              <w:spacing w:before="0" w:after="0"/>
              <w:jc w:val="left"/>
              <w:rPr>
                <w:spacing w:val="0"/>
              </w:rPr>
            </w:pPr>
            <w:r>
              <w:rPr>
                <w:spacing w:val="0"/>
              </w:rPr>
              <w:t> </w:t>
            </w:r>
          </w:p>
        </w:tc>
        <w:tc>
          <w:tcPr>
            <w:tcW w:w="121" w:type="dxa"/>
            <w:tcBorders/>
            <w:vAlign w:val="center"/>
          </w:tcPr>
          <w:p>
            <w:pPr>
              <w:pStyle w:val="TableContents"/>
              <w:bidi w:val="0"/>
              <w:spacing w:before="0" w:after="0"/>
              <w:jc w:val="left"/>
              <w:rPr>
                <w:spacing w:val="0"/>
              </w:rPr>
            </w:pPr>
            <w:r>
              <w:rPr>
                <w:spacing w:val="0"/>
              </w:rPr>
              <w:t>  </w:t>
            </w:r>
          </w:p>
        </w:tc>
        <w:tc>
          <w:tcPr>
            <w:tcW w:w="14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1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8" w:type="dxa"/>
            <w:tcBorders/>
            <w:vAlign w:val="center"/>
          </w:tcPr>
          <w:p>
            <w:pPr>
              <w:pStyle w:val="TableContents"/>
              <w:bidi w:val="0"/>
              <w:spacing w:before="0" w:after="0"/>
              <w:jc w:val="left"/>
              <w:rPr>
                <w:spacing w:val="0"/>
              </w:rPr>
            </w:pPr>
            <w:r>
              <w:rPr>
                <w:spacing w:val="0"/>
              </w:rPr>
              <w:t> </w:t>
            </w:r>
          </w:p>
        </w:tc>
      </w:tr>
      <w:tr>
        <w:trPr/>
        <w:tc>
          <w:tcPr>
            <w:tcW w:w="3898"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Denominator</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9"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0"/>
              <w:jc w:val="left"/>
              <w:rPr>
                <w:spacing w:val="0"/>
              </w:rPr>
            </w:pPr>
            <w:r>
              <w:rPr>
                <w:spacing w:val="0"/>
              </w:rPr>
              <w:t>  </w:t>
            </w:r>
          </w:p>
        </w:tc>
        <w:tc>
          <w:tcPr>
            <w:tcW w:w="149"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1"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0"/>
              <w:jc w:val="left"/>
              <w:rPr>
                <w:spacing w:val="0"/>
              </w:rPr>
            </w:pPr>
            <w:r>
              <w:rPr>
                <w:spacing w:val="0"/>
              </w:rPr>
              <w:t>  </w:t>
            </w:r>
          </w:p>
        </w:tc>
        <w:tc>
          <w:tcPr>
            <w:tcW w:w="141"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r>
      <w:tr>
        <w:trPr/>
        <w:tc>
          <w:tcPr>
            <w:tcW w:w="3898"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Weighted-average common shares outstanding, basic and diluted</w:t>
            </w:r>
          </w:p>
        </w:tc>
        <w:tc>
          <w:tcPr>
            <w:tcW w:w="120" w:type="dxa"/>
            <w:tcBorders/>
            <w:vAlign w:val="center"/>
          </w:tcPr>
          <w:p>
            <w:pPr>
              <w:pStyle w:val="TableContents"/>
              <w:bidi w:val="0"/>
              <w:spacing w:before="0" w:after="0"/>
              <w:jc w:val="left"/>
              <w:rPr>
                <w:spacing w:val="0"/>
              </w:rPr>
            </w:pPr>
            <w:r>
              <w:rPr>
                <w:spacing w:val="0"/>
              </w:rPr>
              <w:t>  </w:t>
            </w:r>
          </w:p>
        </w:tc>
        <w:tc>
          <w:tcPr>
            <w:tcW w:w="149" w:type="dxa"/>
            <w:tcBorders/>
            <w:vAlign w:val="center"/>
          </w:tcPr>
          <w:p>
            <w:pPr>
              <w:pStyle w:val="TableContents"/>
              <w:bidi w:val="0"/>
              <w:spacing w:before="0" w:after="0"/>
              <w:jc w:val="left"/>
              <w:rPr>
                <w:spacing w:val="0"/>
              </w:rPr>
            </w:pPr>
            <w:r>
              <w:rPr>
                <w:spacing w:val="0"/>
              </w:rPr>
              <w:t> </w:t>
            </w:r>
          </w:p>
        </w:tc>
        <w:tc>
          <w:tcPr>
            <w:tcW w:w="1178" w:type="dxa"/>
            <w:tcBorders/>
            <w:vAlign w:val="center"/>
          </w:tcPr>
          <w:p>
            <w:pPr>
              <w:pStyle w:val="TableContents"/>
              <w:bidi w:val="0"/>
              <w:spacing w:before="0" w:after="283"/>
              <w:jc w:val="right"/>
              <w:rPr/>
            </w:pPr>
            <w:r>
              <w:rPr/>
              <w:t>21,808,064</w:t>
            </w:r>
          </w:p>
        </w:tc>
        <w:tc>
          <w:tcPr>
            <w:tcW w:w="165" w:type="dxa"/>
            <w:tcBorders/>
            <w:vAlign w:val="center"/>
          </w:tcPr>
          <w:p>
            <w:pPr>
              <w:pStyle w:val="TableContents"/>
              <w:bidi w:val="0"/>
              <w:spacing w:before="0" w:after="0"/>
              <w:jc w:val="left"/>
              <w:rPr>
                <w:spacing w:val="0"/>
              </w:rPr>
            </w:pPr>
            <w:r>
              <w:rPr>
                <w:spacing w:val="0"/>
              </w:rPr>
              <w:t> </w:t>
            </w:r>
          </w:p>
        </w:tc>
        <w:tc>
          <w:tcPr>
            <w:tcW w:w="128" w:type="dxa"/>
            <w:tcBorders/>
            <w:vAlign w:val="center"/>
          </w:tcPr>
          <w:p>
            <w:pPr>
              <w:pStyle w:val="TableContents"/>
              <w:bidi w:val="0"/>
              <w:spacing w:before="0" w:after="0"/>
              <w:jc w:val="left"/>
              <w:rPr>
                <w:spacing w:val="0"/>
              </w:rPr>
            </w:pPr>
            <w:r>
              <w:rPr>
                <w:spacing w:val="0"/>
              </w:rPr>
              <w:t>  </w:t>
            </w:r>
          </w:p>
        </w:tc>
        <w:tc>
          <w:tcPr>
            <w:tcW w:w="149" w:type="dxa"/>
            <w:tcBorders/>
            <w:vAlign w:val="center"/>
          </w:tcPr>
          <w:p>
            <w:pPr>
              <w:pStyle w:val="TableContents"/>
              <w:bidi w:val="0"/>
              <w:spacing w:before="0" w:after="0"/>
              <w:jc w:val="left"/>
              <w:rPr>
                <w:spacing w:val="0"/>
              </w:rPr>
            </w:pPr>
            <w:r>
              <w:rPr>
                <w:spacing w:val="0"/>
              </w:rPr>
              <w:t> </w:t>
            </w:r>
          </w:p>
        </w:tc>
        <w:tc>
          <w:tcPr>
            <w:tcW w:w="1178" w:type="dxa"/>
            <w:tcBorders/>
            <w:vAlign w:val="center"/>
          </w:tcPr>
          <w:p>
            <w:pPr>
              <w:pStyle w:val="TableContents"/>
              <w:bidi w:val="0"/>
              <w:spacing w:before="0" w:after="283"/>
              <w:jc w:val="right"/>
              <w:rPr/>
            </w:pPr>
            <w:r>
              <w:rPr/>
              <w:t>13,939,366</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1" w:type="dxa"/>
            <w:tcBorders/>
            <w:vAlign w:val="center"/>
          </w:tcPr>
          <w:p>
            <w:pPr>
              <w:pStyle w:val="TableContents"/>
              <w:bidi w:val="0"/>
              <w:spacing w:before="0" w:after="0"/>
              <w:jc w:val="left"/>
              <w:rPr>
                <w:spacing w:val="0"/>
              </w:rPr>
            </w:pPr>
            <w:r>
              <w:rPr>
                <w:spacing w:val="0"/>
              </w:rPr>
              <w:t> </w:t>
            </w:r>
          </w:p>
        </w:tc>
        <w:tc>
          <w:tcPr>
            <w:tcW w:w="1114" w:type="dxa"/>
            <w:tcBorders/>
            <w:vAlign w:val="center"/>
          </w:tcPr>
          <w:p>
            <w:pPr>
              <w:pStyle w:val="TableContents"/>
              <w:bidi w:val="0"/>
              <w:spacing w:before="0" w:after="283"/>
              <w:jc w:val="right"/>
              <w:rPr/>
            </w:pPr>
            <w:r>
              <w:rPr/>
              <w:t>19,751,933</w:t>
            </w:r>
          </w:p>
        </w:tc>
        <w:tc>
          <w:tcPr>
            <w:tcW w:w="156" w:type="dxa"/>
            <w:tcBorders/>
            <w:vAlign w:val="center"/>
          </w:tcPr>
          <w:p>
            <w:pPr>
              <w:pStyle w:val="TableContents"/>
              <w:bidi w:val="0"/>
              <w:spacing w:before="0" w:after="0"/>
              <w:jc w:val="left"/>
              <w:rPr>
                <w:spacing w:val="0"/>
              </w:rPr>
            </w:pPr>
            <w:r>
              <w:rPr>
                <w:spacing w:val="0"/>
              </w:rPr>
              <w:t> </w:t>
            </w:r>
          </w:p>
        </w:tc>
        <w:tc>
          <w:tcPr>
            <w:tcW w:w="121" w:type="dxa"/>
            <w:tcBorders/>
            <w:vAlign w:val="center"/>
          </w:tcPr>
          <w:p>
            <w:pPr>
              <w:pStyle w:val="TableContents"/>
              <w:bidi w:val="0"/>
              <w:spacing w:before="0" w:after="0"/>
              <w:jc w:val="left"/>
              <w:rPr>
                <w:spacing w:val="0"/>
              </w:rPr>
            </w:pPr>
            <w:r>
              <w:rPr>
                <w:spacing w:val="0"/>
              </w:rPr>
              <w:t>  </w:t>
            </w:r>
          </w:p>
        </w:tc>
        <w:tc>
          <w:tcPr>
            <w:tcW w:w="141" w:type="dxa"/>
            <w:tcBorders/>
            <w:vAlign w:val="center"/>
          </w:tcPr>
          <w:p>
            <w:pPr>
              <w:pStyle w:val="TableContents"/>
              <w:bidi w:val="0"/>
              <w:spacing w:before="0" w:after="0"/>
              <w:jc w:val="left"/>
              <w:rPr>
                <w:spacing w:val="0"/>
              </w:rPr>
            </w:pPr>
            <w:r>
              <w:rPr>
                <w:spacing w:val="0"/>
              </w:rPr>
              <w:t> </w:t>
            </w:r>
          </w:p>
        </w:tc>
        <w:tc>
          <w:tcPr>
            <w:tcW w:w="1114" w:type="dxa"/>
            <w:tcBorders/>
            <w:vAlign w:val="center"/>
          </w:tcPr>
          <w:p>
            <w:pPr>
              <w:pStyle w:val="TableContents"/>
              <w:bidi w:val="0"/>
              <w:spacing w:before="0" w:after="283"/>
              <w:jc w:val="right"/>
              <w:rPr/>
            </w:pPr>
            <w:r>
              <w:rPr/>
              <w:t>13,931,419</w:t>
            </w:r>
          </w:p>
        </w:tc>
        <w:tc>
          <w:tcPr>
            <w:tcW w:w="178" w:type="dxa"/>
            <w:tcBorders/>
            <w:vAlign w:val="center"/>
          </w:tcPr>
          <w:p>
            <w:pPr>
              <w:pStyle w:val="TableContents"/>
              <w:bidi w:val="0"/>
              <w:spacing w:before="0" w:after="0"/>
              <w:jc w:val="left"/>
              <w:rPr>
                <w:spacing w:val="0"/>
              </w:rPr>
            </w:pPr>
            <w:r>
              <w:rPr>
                <w:spacing w:val="0"/>
              </w:rPr>
              <w:t> </w:t>
            </w:r>
          </w:p>
        </w:tc>
      </w:tr>
      <w:tr>
        <w:trPr/>
        <w:tc>
          <w:tcPr>
            <w:tcW w:w="389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4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5" w:type="dxa"/>
            <w:tcBorders/>
            <w:vAlign w:val="center"/>
          </w:tcPr>
          <w:p>
            <w:pPr>
              <w:pStyle w:val="TableContents"/>
              <w:bidi w:val="0"/>
              <w:spacing w:before="0" w:after="0"/>
              <w:jc w:val="left"/>
              <w:rPr>
                <w:spacing w:val="0"/>
              </w:rPr>
            </w:pPr>
            <w:r>
              <w:rPr>
                <w:spacing w:val="0"/>
              </w:rPr>
              <w:t> </w:t>
            </w:r>
          </w:p>
        </w:tc>
        <w:tc>
          <w:tcPr>
            <w:tcW w:w="128" w:type="dxa"/>
            <w:tcBorders/>
            <w:vAlign w:val="center"/>
          </w:tcPr>
          <w:p>
            <w:pPr>
              <w:pStyle w:val="TableContents"/>
              <w:bidi w:val="0"/>
              <w:spacing w:before="0" w:after="0"/>
              <w:jc w:val="left"/>
              <w:rPr>
                <w:spacing w:val="0"/>
              </w:rPr>
            </w:pPr>
            <w:r>
              <w:rPr>
                <w:spacing w:val="0"/>
              </w:rPr>
              <w:t>  </w:t>
            </w:r>
          </w:p>
        </w:tc>
        <w:tc>
          <w:tcPr>
            <w:tcW w:w="14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1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6" w:type="dxa"/>
            <w:tcBorders/>
            <w:vAlign w:val="center"/>
          </w:tcPr>
          <w:p>
            <w:pPr>
              <w:pStyle w:val="TableContents"/>
              <w:bidi w:val="0"/>
              <w:spacing w:before="0" w:after="0"/>
              <w:jc w:val="left"/>
              <w:rPr>
                <w:spacing w:val="0"/>
              </w:rPr>
            </w:pPr>
            <w:r>
              <w:rPr>
                <w:spacing w:val="0"/>
              </w:rPr>
              <w:t> </w:t>
            </w:r>
          </w:p>
        </w:tc>
        <w:tc>
          <w:tcPr>
            <w:tcW w:w="121" w:type="dxa"/>
            <w:tcBorders/>
            <w:vAlign w:val="center"/>
          </w:tcPr>
          <w:p>
            <w:pPr>
              <w:pStyle w:val="TableContents"/>
              <w:bidi w:val="0"/>
              <w:spacing w:before="0" w:after="0"/>
              <w:jc w:val="left"/>
              <w:rPr>
                <w:spacing w:val="0"/>
              </w:rPr>
            </w:pPr>
            <w:r>
              <w:rPr>
                <w:spacing w:val="0"/>
              </w:rPr>
              <w:t>  </w:t>
            </w:r>
          </w:p>
        </w:tc>
        <w:tc>
          <w:tcPr>
            <w:tcW w:w="14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1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8" w:type="dxa"/>
            <w:tcBorders/>
            <w:vAlign w:val="center"/>
          </w:tcPr>
          <w:p>
            <w:pPr>
              <w:pStyle w:val="TableContents"/>
              <w:bidi w:val="0"/>
              <w:spacing w:before="0" w:after="0"/>
              <w:jc w:val="left"/>
              <w:rPr>
                <w:spacing w:val="0"/>
              </w:rPr>
            </w:pPr>
            <w:r>
              <w:rPr>
                <w:spacing w:val="0"/>
              </w:rPr>
              <w:t> </w:t>
            </w:r>
          </w:p>
        </w:tc>
      </w:tr>
      <w:tr>
        <w:trPr/>
        <w:tc>
          <w:tcPr>
            <w:tcW w:w="3898"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 per share attributable to common stockholders, basic and diluted</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9" w:type="dxa"/>
            <w:tcBorders/>
            <w:shd w:fill="CCEEFF" w:val="clear"/>
            <w:vAlign w:val="center"/>
          </w:tcPr>
          <w:p>
            <w:pPr>
              <w:pStyle w:val="TableContents"/>
              <w:bidi w:val="0"/>
              <w:spacing w:before="0" w:after="0"/>
              <w:jc w:val="left"/>
              <w:rPr>
                <w:spacing w:val="0"/>
              </w:rPr>
            </w:pPr>
            <w:r>
              <w:rPr>
                <w:spacing w:val="0"/>
              </w:rPr>
              <w:t>$</w:t>
            </w:r>
          </w:p>
        </w:tc>
        <w:tc>
          <w:tcPr>
            <w:tcW w:w="1178" w:type="dxa"/>
            <w:tcBorders/>
            <w:shd w:fill="CCEEFF" w:val="clear"/>
            <w:vAlign w:val="center"/>
          </w:tcPr>
          <w:p>
            <w:pPr>
              <w:pStyle w:val="TableContents"/>
              <w:bidi w:val="0"/>
              <w:spacing w:before="0" w:after="283"/>
              <w:jc w:val="right"/>
              <w:rPr/>
            </w:pPr>
            <w:r>
              <w:rPr/>
              <w:t>(1.19</w:t>
            </w:r>
          </w:p>
        </w:tc>
        <w:tc>
          <w:tcPr>
            <w:tcW w:w="165" w:type="dxa"/>
            <w:tcBorders/>
            <w:shd w:fill="CCEEFF" w:val="clear"/>
            <w:vAlign w:val="center"/>
          </w:tcPr>
          <w:p>
            <w:pPr>
              <w:pStyle w:val="TableContents"/>
              <w:bidi w:val="0"/>
              <w:spacing w:before="0" w:after="0"/>
              <w:jc w:val="left"/>
              <w:rPr>
                <w:spacing w:val="0"/>
              </w:rPr>
            </w:pPr>
            <w:r>
              <w:rPr>
                <w:spacing w:val="0"/>
              </w:rPr>
              <w:t>) </w:t>
            </w:r>
          </w:p>
        </w:tc>
        <w:tc>
          <w:tcPr>
            <w:tcW w:w="128" w:type="dxa"/>
            <w:tcBorders/>
            <w:shd w:fill="CCEEFF" w:val="clear"/>
            <w:vAlign w:val="center"/>
          </w:tcPr>
          <w:p>
            <w:pPr>
              <w:pStyle w:val="TableContents"/>
              <w:bidi w:val="0"/>
              <w:spacing w:before="0" w:after="0"/>
              <w:jc w:val="left"/>
              <w:rPr>
                <w:spacing w:val="0"/>
              </w:rPr>
            </w:pPr>
            <w:r>
              <w:rPr>
                <w:spacing w:val="0"/>
              </w:rPr>
              <w:t>  </w:t>
            </w:r>
          </w:p>
        </w:tc>
        <w:tc>
          <w:tcPr>
            <w:tcW w:w="149" w:type="dxa"/>
            <w:tcBorders/>
            <w:shd w:fill="CCEEFF" w:val="clear"/>
            <w:vAlign w:val="center"/>
          </w:tcPr>
          <w:p>
            <w:pPr>
              <w:pStyle w:val="TableContents"/>
              <w:bidi w:val="0"/>
              <w:spacing w:before="0" w:after="0"/>
              <w:jc w:val="left"/>
              <w:rPr>
                <w:spacing w:val="0"/>
              </w:rPr>
            </w:pPr>
            <w:r>
              <w:rPr>
                <w:spacing w:val="0"/>
              </w:rPr>
              <w:t>$</w:t>
            </w:r>
          </w:p>
        </w:tc>
        <w:tc>
          <w:tcPr>
            <w:tcW w:w="1178" w:type="dxa"/>
            <w:tcBorders/>
            <w:shd w:fill="CCEEFF" w:val="clear"/>
            <w:vAlign w:val="center"/>
          </w:tcPr>
          <w:p>
            <w:pPr>
              <w:pStyle w:val="TableContents"/>
              <w:bidi w:val="0"/>
              <w:spacing w:before="0" w:after="283"/>
              <w:jc w:val="right"/>
              <w:rPr/>
            </w:pPr>
            <w:r>
              <w:rPr/>
              <w:t>(1.93</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1" w:type="dxa"/>
            <w:tcBorders/>
            <w:shd w:fill="CCEEFF" w:val="clear"/>
            <w:vAlign w:val="center"/>
          </w:tcPr>
          <w:p>
            <w:pPr>
              <w:pStyle w:val="TableContents"/>
              <w:bidi w:val="0"/>
              <w:spacing w:before="0" w:after="0"/>
              <w:jc w:val="left"/>
              <w:rPr>
                <w:spacing w:val="0"/>
              </w:rPr>
            </w:pPr>
            <w:r>
              <w:rPr>
                <w:spacing w:val="0"/>
              </w:rPr>
              <w:t>$</w:t>
            </w:r>
          </w:p>
        </w:tc>
        <w:tc>
          <w:tcPr>
            <w:tcW w:w="1114" w:type="dxa"/>
            <w:tcBorders/>
            <w:shd w:fill="CCEEFF" w:val="clear"/>
            <w:vAlign w:val="center"/>
          </w:tcPr>
          <w:p>
            <w:pPr>
              <w:pStyle w:val="TableContents"/>
              <w:bidi w:val="0"/>
              <w:spacing w:before="0" w:after="283"/>
              <w:jc w:val="right"/>
              <w:rPr/>
            </w:pPr>
            <w:r>
              <w:rPr/>
              <w:t>(2.30</w:t>
            </w:r>
          </w:p>
        </w:tc>
        <w:tc>
          <w:tcPr>
            <w:tcW w:w="156" w:type="dxa"/>
            <w:tcBorders/>
            <w:shd w:fill="CCEEFF" w:val="clear"/>
            <w:vAlign w:val="center"/>
          </w:tcPr>
          <w:p>
            <w:pPr>
              <w:pStyle w:val="TableContents"/>
              <w:bidi w:val="0"/>
              <w:spacing w:before="0" w:after="0"/>
              <w:jc w:val="left"/>
              <w:rPr>
                <w:spacing w:val="0"/>
              </w:rPr>
            </w:pPr>
            <w:r>
              <w:rPr>
                <w:spacing w:val="0"/>
              </w:rPr>
              <w:t>) </w:t>
            </w:r>
          </w:p>
        </w:tc>
        <w:tc>
          <w:tcPr>
            <w:tcW w:w="121" w:type="dxa"/>
            <w:tcBorders/>
            <w:shd w:fill="CCEEFF" w:val="clear"/>
            <w:vAlign w:val="center"/>
          </w:tcPr>
          <w:p>
            <w:pPr>
              <w:pStyle w:val="TableContents"/>
              <w:bidi w:val="0"/>
              <w:spacing w:before="0" w:after="0"/>
              <w:jc w:val="left"/>
              <w:rPr>
                <w:spacing w:val="0"/>
              </w:rPr>
            </w:pPr>
            <w:r>
              <w:rPr>
                <w:spacing w:val="0"/>
              </w:rPr>
              <w:t>  </w:t>
            </w:r>
          </w:p>
        </w:tc>
        <w:tc>
          <w:tcPr>
            <w:tcW w:w="141" w:type="dxa"/>
            <w:tcBorders/>
            <w:shd w:fill="CCEEFF" w:val="clear"/>
            <w:vAlign w:val="center"/>
          </w:tcPr>
          <w:p>
            <w:pPr>
              <w:pStyle w:val="TableContents"/>
              <w:bidi w:val="0"/>
              <w:spacing w:before="0" w:after="0"/>
              <w:jc w:val="left"/>
              <w:rPr>
                <w:spacing w:val="0"/>
              </w:rPr>
            </w:pPr>
            <w:r>
              <w:rPr>
                <w:spacing w:val="0"/>
              </w:rPr>
              <w:t>$</w:t>
            </w:r>
          </w:p>
        </w:tc>
        <w:tc>
          <w:tcPr>
            <w:tcW w:w="1114" w:type="dxa"/>
            <w:tcBorders/>
            <w:shd w:fill="CCEEFF" w:val="clear"/>
            <w:vAlign w:val="center"/>
          </w:tcPr>
          <w:p>
            <w:pPr>
              <w:pStyle w:val="TableContents"/>
              <w:bidi w:val="0"/>
              <w:spacing w:before="0" w:after="283"/>
              <w:jc w:val="right"/>
              <w:rPr/>
            </w:pPr>
            <w:r>
              <w:rPr/>
              <w:t>(3.72</w:t>
            </w:r>
          </w:p>
        </w:tc>
        <w:tc>
          <w:tcPr>
            <w:tcW w:w="178" w:type="dxa"/>
            <w:tcBorders/>
            <w:shd w:fill="CCEEFF" w:val="clear"/>
            <w:vAlign w:val="center"/>
          </w:tcPr>
          <w:p>
            <w:pPr>
              <w:pStyle w:val="TableContents"/>
              <w:bidi w:val="0"/>
              <w:spacing w:before="0" w:after="0"/>
              <w:jc w:val="left"/>
              <w:rPr>
                <w:spacing w:val="0"/>
              </w:rPr>
            </w:pPr>
            <w:r>
              <w:rPr>
                <w:spacing w:val="0"/>
              </w:rPr>
              <w:t>) </w:t>
            </w:r>
          </w:p>
        </w:tc>
      </w:tr>
      <w:tr>
        <w:trPr/>
        <w:tc>
          <w:tcPr>
            <w:tcW w:w="389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4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5" w:type="dxa"/>
            <w:tcBorders/>
            <w:vAlign w:val="center"/>
          </w:tcPr>
          <w:p>
            <w:pPr>
              <w:pStyle w:val="TableContents"/>
              <w:bidi w:val="0"/>
              <w:spacing w:before="0" w:after="0"/>
              <w:jc w:val="left"/>
              <w:rPr>
                <w:spacing w:val="0"/>
              </w:rPr>
            </w:pPr>
            <w:r>
              <w:rPr>
                <w:spacing w:val="0"/>
              </w:rPr>
              <w:t> </w:t>
            </w:r>
          </w:p>
        </w:tc>
        <w:tc>
          <w:tcPr>
            <w:tcW w:w="128" w:type="dxa"/>
            <w:tcBorders/>
            <w:vAlign w:val="center"/>
          </w:tcPr>
          <w:p>
            <w:pPr>
              <w:pStyle w:val="TableContents"/>
              <w:bidi w:val="0"/>
              <w:spacing w:before="0" w:after="0"/>
              <w:jc w:val="left"/>
              <w:rPr>
                <w:spacing w:val="0"/>
              </w:rPr>
            </w:pPr>
            <w:r>
              <w:rPr>
                <w:spacing w:val="0"/>
              </w:rPr>
              <w:t>  </w:t>
            </w:r>
          </w:p>
        </w:tc>
        <w:tc>
          <w:tcPr>
            <w:tcW w:w="14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1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6" w:type="dxa"/>
            <w:tcBorders/>
            <w:vAlign w:val="center"/>
          </w:tcPr>
          <w:p>
            <w:pPr>
              <w:pStyle w:val="TableContents"/>
              <w:bidi w:val="0"/>
              <w:spacing w:before="0" w:after="0"/>
              <w:jc w:val="left"/>
              <w:rPr>
                <w:spacing w:val="0"/>
              </w:rPr>
            </w:pPr>
            <w:r>
              <w:rPr>
                <w:spacing w:val="0"/>
              </w:rPr>
              <w:t> </w:t>
            </w:r>
          </w:p>
        </w:tc>
        <w:tc>
          <w:tcPr>
            <w:tcW w:w="121" w:type="dxa"/>
            <w:tcBorders/>
            <w:vAlign w:val="center"/>
          </w:tcPr>
          <w:p>
            <w:pPr>
              <w:pStyle w:val="TableContents"/>
              <w:bidi w:val="0"/>
              <w:spacing w:before="0" w:after="0"/>
              <w:jc w:val="left"/>
              <w:rPr>
                <w:spacing w:val="0"/>
              </w:rPr>
            </w:pPr>
            <w:r>
              <w:rPr>
                <w:spacing w:val="0"/>
              </w:rPr>
              <w:t>  </w:t>
            </w:r>
          </w:p>
        </w:tc>
        <w:tc>
          <w:tcPr>
            <w:tcW w:w="14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1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8" w:type="dxa"/>
            <w:tcBorders/>
            <w:vAlign w:val="center"/>
          </w:tcPr>
          <w:p>
            <w:pPr>
              <w:pStyle w:val="TableContents"/>
              <w:bidi w:val="0"/>
              <w:spacing w:before="0" w:after="0"/>
              <w:jc w:val="left"/>
              <w:rPr>
                <w:spacing w:val="0"/>
              </w:rPr>
            </w:pPr>
            <w:r>
              <w:rPr>
                <w:spacing w:val="0"/>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Obsidian Sub excluded the following shares from the computation of diluted net loss per share attributable to common stockholders during the three and six months ended June 30, 2026 and 2025 because including them would have had an anti-dilutive effect: </w:t>
      </w:r>
    </w:p>
    <w:p>
      <w:pPr>
        <w:pStyle w:val="TextBody"/>
        <w:bidi w:val="0"/>
        <w:spacing w:before="0" w:after="0"/>
        <w:jc w:val="left"/>
        <w:rPr>
          <w:spacing w:val="0"/>
        </w:rPr>
      </w:pPr>
      <w:r>
        <w:rPr>
          <w:spacing w:val="0"/>
        </w:rPr>
        <w:t> </w:t>
      </w:r>
    </w:p>
    <w:tbl>
      <w:tblPr>
        <w:tblW w:w="6744" w:type="dxa"/>
        <w:jc w:val="left"/>
        <w:tblInd w:w="0" w:type="dxa"/>
        <w:tblLayout w:type="fixed"/>
        <w:tblCellMar>
          <w:top w:w="0" w:type="dxa"/>
          <w:left w:w="0" w:type="dxa"/>
          <w:bottom w:w="0" w:type="dxa"/>
          <w:right w:w="0" w:type="dxa"/>
        </w:tblCellMar>
      </w:tblPr>
      <w:tblGrid>
        <w:gridCol w:w="3260"/>
        <w:gridCol w:w="120"/>
        <w:gridCol w:w="1593"/>
        <w:gridCol w:w="156"/>
        <w:gridCol w:w="1615"/>
      </w:tblGrid>
      <w:tr>
        <w:trPr/>
        <w:tc>
          <w:tcPr>
            <w:tcW w:w="32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593" w:type="dxa"/>
            <w:tcBorders/>
            <w:vAlign w:val="center"/>
          </w:tcPr>
          <w:p>
            <w:pPr>
              <w:pStyle w:val="TableContents"/>
              <w:bidi w:val="0"/>
              <w:spacing w:before="0" w:after="0"/>
              <w:jc w:val="left"/>
              <w:rPr/>
            </w:pPr>
            <w:r>
              <w:rPr/>
              <w:t> </w:t>
            </w:r>
          </w:p>
        </w:tc>
        <w:tc>
          <w:tcPr>
            <w:tcW w:w="156" w:type="dxa"/>
            <w:tcBorders/>
            <w:vAlign w:val="center"/>
          </w:tcPr>
          <w:p>
            <w:pPr>
              <w:pStyle w:val="TableContents"/>
              <w:bidi w:val="0"/>
              <w:spacing w:before="0" w:after="0"/>
              <w:jc w:val="left"/>
              <w:rPr/>
            </w:pPr>
            <w:r>
              <w:rPr/>
              <w:t> </w:t>
            </w:r>
          </w:p>
        </w:tc>
        <w:tc>
          <w:tcPr>
            <w:tcW w:w="1615" w:type="dxa"/>
            <w:tcBorders/>
            <w:vAlign w:val="center"/>
          </w:tcPr>
          <w:p>
            <w:pPr>
              <w:pStyle w:val="TableContents"/>
              <w:bidi w:val="0"/>
              <w:spacing w:before="0" w:after="0"/>
              <w:jc w:val="left"/>
              <w:rPr/>
            </w:pPr>
            <w:r>
              <w:rPr/>
              <w:t> </w:t>
            </w:r>
          </w:p>
        </w:tc>
      </w:tr>
      <w:tr>
        <w:trPr/>
        <w:tc>
          <w:tcPr>
            <w:tcW w:w="32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364" w:type="dxa"/>
            <w:gridSpan w:val="3"/>
            <w:tcBorders/>
            <w:vAlign w:val="center"/>
          </w:tcPr>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For the Three and Six Months Ended June 30,</w:t>
            </w:r>
          </w:p>
        </w:tc>
      </w:tr>
      <w:tr>
        <w:trPr/>
        <w:tc>
          <w:tcPr>
            <w:tcW w:w="32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593" w:type="dxa"/>
            <w:tcBorders/>
            <w:vAlign w:val="center"/>
          </w:tcPr>
          <w:p>
            <w:pPr>
              <w:pStyle w:val="TableContents"/>
              <w:bidi w:val="0"/>
              <w:spacing w:before="0" w:after="20"/>
              <w:jc w:val="center"/>
              <w:rPr>
                <w:spacing w:val="0"/>
              </w:rPr>
            </w:pPr>
            <w:r>
              <w:rPr>
                <w:spacing w:val="0"/>
              </w:rPr>
              <w:t>  </w:t>
            </w:r>
            <w:r>
              <w:rPr>
                <w:rFonts w:ascii="Times New Roman" w:hAnsi="Times New Roman"/>
                <w:b/>
                <w:spacing w:val="0"/>
                <w:sz w:val="16"/>
              </w:rPr>
              <w:t>2026  </w:t>
            </w:r>
          </w:p>
        </w:tc>
        <w:tc>
          <w:tcPr>
            <w:tcW w:w="156" w:type="dxa"/>
            <w:tcBorders/>
            <w:vAlign w:val="center"/>
          </w:tcPr>
          <w:p>
            <w:pPr>
              <w:pStyle w:val="TableContents"/>
              <w:bidi w:val="0"/>
              <w:spacing w:before="0" w:after="0"/>
              <w:jc w:val="left"/>
              <w:rPr>
                <w:spacing w:val="0"/>
              </w:rPr>
            </w:pPr>
            <w:r>
              <w:rPr>
                <w:spacing w:val="0"/>
              </w:rPr>
              <w:t>  </w:t>
            </w:r>
          </w:p>
        </w:tc>
        <w:tc>
          <w:tcPr>
            <w:tcW w:w="1615" w:type="dxa"/>
            <w:tcBorders/>
            <w:vAlign w:val="center"/>
          </w:tcPr>
          <w:p>
            <w:pPr>
              <w:pStyle w:val="TableContents"/>
              <w:bidi w:val="0"/>
              <w:spacing w:before="0" w:after="20"/>
              <w:jc w:val="center"/>
              <w:rPr>
                <w:spacing w:val="0"/>
              </w:rPr>
            </w:pPr>
            <w:r>
              <w:rPr>
                <w:spacing w:val="0"/>
              </w:rPr>
              <w:t>  </w:t>
            </w:r>
            <w:r>
              <w:rPr>
                <w:rFonts w:ascii="Times New Roman" w:hAnsi="Times New Roman"/>
                <w:b/>
                <w:spacing w:val="0"/>
                <w:sz w:val="16"/>
              </w:rPr>
              <w:t>2025  </w:t>
            </w:r>
          </w:p>
        </w:tc>
      </w:tr>
      <w:tr>
        <w:trPr/>
        <w:tc>
          <w:tcPr>
            <w:tcW w:w="32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Redeemable convertible preferred stock</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593" w:type="dxa"/>
            <w:tcBorders/>
            <w:shd w:fill="CCEEFF" w:val="clear"/>
            <w:vAlign w:val="center"/>
          </w:tcPr>
          <w:p>
            <w:pPr>
              <w:pStyle w:val="TableContents"/>
              <w:bidi w:val="0"/>
              <w:spacing w:before="0" w:after="0"/>
              <w:jc w:val="right"/>
              <w:rPr>
                <w:spacing w:val="0"/>
              </w:rPr>
            </w:pPr>
            <w:r>
              <w:rPr>
                <w:spacing w:val="0"/>
              </w:rPr>
              <w:t>207,952,902</w:t>
            </w:r>
          </w:p>
        </w:tc>
        <w:tc>
          <w:tcPr>
            <w:tcW w:w="156" w:type="dxa"/>
            <w:tcBorders/>
            <w:shd w:fill="CCEEFF" w:val="clear"/>
            <w:vAlign w:val="center"/>
          </w:tcPr>
          <w:p>
            <w:pPr>
              <w:pStyle w:val="TableContents"/>
              <w:bidi w:val="0"/>
              <w:spacing w:before="0" w:after="0"/>
              <w:jc w:val="left"/>
              <w:rPr>
                <w:spacing w:val="0"/>
              </w:rPr>
            </w:pPr>
            <w:r>
              <w:rPr>
                <w:spacing w:val="0"/>
              </w:rPr>
              <w:t>  </w:t>
            </w:r>
          </w:p>
        </w:tc>
        <w:tc>
          <w:tcPr>
            <w:tcW w:w="1615" w:type="dxa"/>
            <w:tcBorders/>
            <w:shd w:fill="CCEEFF" w:val="clear"/>
            <w:vAlign w:val="center"/>
          </w:tcPr>
          <w:p>
            <w:pPr>
              <w:pStyle w:val="TableContents"/>
              <w:bidi w:val="0"/>
              <w:spacing w:before="0" w:after="0"/>
              <w:jc w:val="right"/>
              <w:rPr>
                <w:spacing w:val="0"/>
              </w:rPr>
            </w:pPr>
            <w:r>
              <w:rPr>
                <w:spacing w:val="0"/>
              </w:rPr>
              <w:t>215,038,192</w:t>
            </w:r>
          </w:p>
        </w:tc>
      </w:tr>
      <w:tr>
        <w:trPr/>
        <w:tc>
          <w:tcPr>
            <w:tcW w:w="32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Warrants to purchase Series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A-1</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redeemable convertible preferred stock</w:t>
            </w:r>
          </w:p>
        </w:tc>
        <w:tc>
          <w:tcPr>
            <w:tcW w:w="120" w:type="dxa"/>
            <w:tcBorders/>
            <w:vAlign w:val="center"/>
          </w:tcPr>
          <w:p>
            <w:pPr>
              <w:pStyle w:val="TableContents"/>
              <w:bidi w:val="0"/>
              <w:spacing w:before="0" w:after="0"/>
              <w:jc w:val="left"/>
              <w:rPr>
                <w:spacing w:val="0"/>
              </w:rPr>
            </w:pPr>
            <w:r>
              <w:rPr>
                <w:spacing w:val="0"/>
              </w:rPr>
              <w:t>  </w:t>
            </w:r>
          </w:p>
        </w:tc>
        <w:tc>
          <w:tcPr>
            <w:tcW w:w="1593" w:type="dxa"/>
            <w:tcBorders/>
            <w:vAlign w:val="center"/>
          </w:tcPr>
          <w:p>
            <w:pPr>
              <w:pStyle w:val="TableContents"/>
              <w:bidi w:val="0"/>
              <w:spacing w:before="0" w:after="0"/>
              <w:jc w:val="right"/>
              <w:rPr>
                <w:spacing w:val="0"/>
              </w:rPr>
            </w:pPr>
            <w:r>
              <w:rPr>
                <w:spacing w:val="0"/>
              </w:rPr>
              <w:t>22,124</w:t>
            </w:r>
          </w:p>
        </w:tc>
        <w:tc>
          <w:tcPr>
            <w:tcW w:w="156" w:type="dxa"/>
            <w:tcBorders/>
            <w:vAlign w:val="center"/>
          </w:tcPr>
          <w:p>
            <w:pPr>
              <w:pStyle w:val="TableContents"/>
              <w:bidi w:val="0"/>
              <w:spacing w:before="0" w:after="0"/>
              <w:jc w:val="left"/>
              <w:rPr>
                <w:spacing w:val="0"/>
              </w:rPr>
            </w:pPr>
            <w:r>
              <w:rPr>
                <w:spacing w:val="0"/>
              </w:rPr>
              <w:t>  </w:t>
            </w:r>
          </w:p>
        </w:tc>
        <w:tc>
          <w:tcPr>
            <w:tcW w:w="1615" w:type="dxa"/>
            <w:tcBorders/>
            <w:vAlign w:val="center"/>
          </w:tcPr>
          <w:p>
            <w:pPr>
              <w:pStyle w:val="TableContents"/>
              <w:bidi w:val="0"/>
              <w:spacing w:before="0" w:after="0"/>
              <w:jc w:val="right"/>
              <w:rPr>
                <w:spacing w:val="0"/>
              </w:rPr>
            </w:pPr>
            <w:r>
              <w:rPr>
                <w:spacing w:val="0"/>
              </w:rPr>
              <w:t>22,124</w:t>
            </w:r>
          </w:p>
        </w:tc>
      </w:tr>
      <w:tr>
        <w:trPr/>
        <w:tc>
          <w:tcPr>
            <w:tcW w:w="32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Options to purchase common stock</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593" w:type="dxa"/>
            <w:tcBorders/>
            <w:shd w:fill="CCEEFF" w:val="clear"/>
            <w:vAlign w:val="center"/>
          </w:tcPr>
          <w:p>
            <w:pPr>
              <w:pStyle w:val="TableContents"/>
              <w:bidi w:val="0"/>
              <w:spacing w:before="0" w:after="0"/>
              <w:jc w:val="right"/>
              <w:rPr>
                <w:spacing w:val="0"/>
              </w:rPr>
            </w:pPr>
            <w:r>
              <w:rPr>
                <w:spacing w:val="0"/>
              </w:rPr>
              <w:t>35,635,693</w:t>
            </w:r>
          </w:p>
        </w:tc>
        <w:tc>
          <w:tcPr>
            <w:tcW w:w="156" w:type="dxa"/>
            <w:tcBorders/>
            <w:shd w:fill="CCEEFF" w:val="clear"/>
            <w:vAlign w:val="center"/>
          </w:tcPr>
          <w:p>
            <w:pPr>
              <w:pStyle w:val="TableContents"/>
              <w:bidi w:val="0"/>
              <w:spacing w:before="0" w:after="0"/>
              <w:jc w:val="left"/>
              <w:rPr>
                <w:spacing w:val="0"/>
              </w:rPr>
            </w:pPr>
            <w:r>
              <w:rPr>
                <w:spacing w:val="0"/>
              </w:rPr>
              <w:t>  </w:t>
            </w:r>
          </w:p>
        </w:tc>
        <w:tc>
          <w:tcPr>
            <w:tcW w:w="1615" w:type="dxa"/>
            <w:tcBorders/>
            <w:shd w:fill="CCEEFF" w:val="clear"/>
            <w:vAlign w:val="center"/>
          </w:tcPr>
          <w:p>
            <w:pPr>
              <w:pStyle w:val="TableContents"/>
              <w:bidi w:val="0"/>
              <w:spacing w:before="0" w:after="0"/>
              <w:jc w:val="right"/>
              <w:rPr>
                <w:spacing w:val="0"/>
              </w:rPr>
            </w:pPr>
            <w:r>
              <w:rPr>
                <w:spacing w:val="0"/>
              </w:rPr>
              <w:t>39,247,349</w:t>
            </w:r>
          </w:p>
        </w:tc>
      </w:tr>
      <w:tr>
        <w:trPr/>
        <w:tc>
          <w:tcPr>
            <w:tcW w:w="32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59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6" w:type="dxa"/>
            <w:tcBorders/>
            <w:vAlign w:val="center"/>
          </w:tcPr>
          <w:p>
            <w:pPr>
              <w:pStyle w:val="TableContents"/>
              <w:bidi w:val="0"/>
              <w:spacing w:before="0" w:after="0"/>
              <w:jc w:val="left"/>
              <w:rPr>
                <w:spacing w:val="0"/>
              </w:rPr>
            </w:pPr>
            <w:r>
              <w:rPr>
                <w:spacing w:val="0"/>
              </w:rPr>
              <w:t>  </w:t>
            </w:r>
          </w:p>
        </w:tc>
        <w:tc>
          <w:tcPr>
            <w:tcW w:w="161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r>
      <w:tr>
        <w:trPr/>
        <w:tc>
          <w:tcPr>
            <w:tcW w:w="32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w:t>
            </w:r>
          </w:p>
        </w:tc>
        <w:tc>
          <w:tcPr>
            <w:tcW w:w="120" w:type="dxa"/>
            <w:tcBorders/>
            <w:vAlign w:val="center"/>
          </w:tcPr>
          <w:p>
            <w:pPr>
              <w:pStyle w:val="TableContents"/>
              <w:bidi w:val="0"/>
              <w:spacing w:before="0" w:after="0"/>
              <w:jc w:val="left"/>
              <w:rPr>
                <w:spacing w:val="0"/>
              </w:rPr>
            </w:pPr>
            <w:r>
              <w:rPr>
                <w:spacing w:val="0"/>
              </w:rPr>
              <w:t>  </w:t>
            </w:r>
          </w:p>
        </w:tc>
        <w:tc>
          <w:tcPr>
            <w:tcW w:w="1593" w:type="dxa"/>
            <w:tcBorders/>
            <w:vAlign w:val="center"/>
          </w:tcPr>
          <w:p>
            <w:pPr>
              <w:pStyle w:val="TableContents"/>
              <w:bidi w:val="0"/>
              <w:spacing w:before="0" w:after="0"/>
              <w:jc w:val="right"/>
              <w:rPr>
                <w:spacing w:val="0"/>
              </w:rPr>
            </w:pPr>
            <w:r>
              <w:rPr>
                <w:spacing w:val="0"/>
              </w:rPr>
              <w:t>243,610,719</w:t>
            </w:r>
          </w:p>
        </w:tc>
        <w:tc>
          <w:tcPr>
            <w:tcW w:w="156" w:type="dxa"/>
            <w:tcBorders/>
            <w:vAlign w:val="center"/>
          </w:tcPr>
          <w:p>
            <w:pPr>
              <w:pStyle w:val="TableContents"/>
              <w:bidi w:val="0"/>
              <w:spacing w:before="0" w:after="0"/>
              <w:jc w:val="left"/>
              <w:rPr>
                <w:spacing w:val="0"/>
              </w:rPr>
            </w:pPr>
            <w:r>
              <w:rPr>
                <w:spacing w:val="0"/>
              </w:rPr>
              <w:t>  </w:t>
            </w:r>
          </w:p>
        </w:tc>
        <w:tc>
          <w:tcPr>
            <w:tcW w:w="1615" w:type="dxa"/>
            <w:tcBorders/>
            <w:vAlign w:val="center"/>
          </w:tcPr>
          <w:p>
            <w:pPr>
              <w:pStyle w:val="TableContents"/>
              <w:bidi w:val="0"/>
              <w:spacing w:before="0" w:after="0"/>
              <w:jc w:val="right"/>
              <w:rPr>
                <w:spacing w:val="0"/>
              </w:rPr>
            </w:pPr>
            <w:r>
              <w:rPr>
                <w:spacing w:val="0"/>
              </w:rPr>
              <w:t>254,307,665</w:t>
            </w:r>
          </w:p>
        </w:tc>
      </w:tr>
      <w:tr>
        <w:trPr/>
        <w:tc>
          <w:tcPr>
            <w:tcW w:w="32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59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6" w:type="dxa"/>
            <w:tcBorders/>
            <w:vAlign w:val="center"/>
          </w:tcPr>
          <w:p>
            <w:pPr>
              <w:pStyle w:val="TableContents"/>
              <w:bidi w:val="0"/>
              <w:spacing w:before="0" w:after="0"/>
              <w:jc w:val="left"/>
              <w:rPr>
                <w:spacing w:val="0"/>
              </w:rPr>
            </w:pPr>
            <w:r>
              <w:rPr>
                <w:spacing w:val="0"/>
              </w:rPr>
              <w:t>  </w:t>
            </w:r>
          </w:p>
        </w:tc>
        <w:tc>
          <w:tcPr>
            <w:tcW w:w="161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r>
    </w:tbl>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12. Related Party Transactions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entered into individual collaboration and license agreements with Celgene Corporation (“Celgene”) in 2019 and 2020, respectively, and a collaboration agreement with Vertex Pharmaceuticals, Inc., (“Vertex”) in 2021. Both Celgene and Vertex purchased the Company’s Preferred Stock in connection with the collaboration agreements. All performance obligations under the collaboration agreements were satisfied in previous reporting periods. Accordingly, during the three and six months ended June 30, 2026, the Company did not recognize related party revenue associated with the collaboration agreements. The Celgene collaboration agreement was terminated in October 2025 and the Celgene license agreement was terminated in November 2025. The Vertex collaboration agreement expired in April 2025. No future revenue associated with these collaboration arrangements will be recognized.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13. Segment Information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Company’s Chief Executive Officer serves as the chief operating decision maker and reviews cash, cash equivalents and marketable securities as a measure of segment assets. As of June 30, 2026 and December 31, 2025, the Company’s cash, cash equivalents and marketable securities were $34.4 million and $80.5 million, respectively.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following tables illustrate information about segment revenue, significant segment expenses and segment operating loss for the three and six months ended June 30, 2026 and 2025: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3074"/>
        <w:gridCol w:w="120"/>
        <w:gridCol w:w="244"/>
        <w:gridCol w:w="1193"/>
        <w:gridCol w:w="251"/>
        <w:gridCol w:w="194"/>
        <w:gridCol w:w="244"/>
        <w:gridCol w:w="1193"/>
        <w:gridCol w:w="155"/>
        <w:gridCol w:w="120"/>
        <w:gridCol w:w="241"/>
        <w:gridCol w:w="1178"/>
        <w:gridCol w:w="226"/>
        <w:gridCol w:w="175"/>
        <w:gridCol w:w="241"/>
        <w:gridCol w:w="1178"/>
        <w:gridCol w:w="178"/>
      </w:tblGrid>
      <w:tr>
        <w:trPr/>
        <w:tc>
          <w:tcPr>
            <w:tcW w:w="3074"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244" w:type="dxa"/>
            <w:tcBorders/>
            <w:vAlign w:val="center"/>
          </w:tcPr>
          <w:p>
            <w:pPr>
              <w:pStyle w:val="TableContents"/>
              <w:bidi w:val="0"/>
              <w:spacing w:before="0" w:after="0"/>
              <w:jc w:val="left"/>
              <w:rPr/>
            </w:pPr>
            <w:r>
              <w:rPr/>
              <w:t> </w:t>
            </w:r>
          </w:p>
        </w:tc>
        <w:tc>
          <w:tcPr>
            <w:tcW w:w="1193" w:type="dxa"/>
            <w:tcBorders/>
            <w:vAlign w:val="center"/>
          </w:tcPr>
          <w:p>
            <w:pPr>
              <w:pStyle w:val="TableContents"/>
              <w:bidi w:val="0"/>
              <w:spacing w:before="0" w:after="0"/>
              <w:jc w:val="left"/>
              <w:rPr/>
            </w:pPr>
            <w:r>
              <w:rPr/>
              <w:t> </w:t>
            </w:r>
          </w:p>
        </w:tc>
        <w:tc>
          <w:tcPr>
            <w:tcW w:w="251"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244" w:type="dxa"/>
            <w:tcBorders/>
            <w:vAlign w:val="center"/>
          </w:tcPr>
          <w:p>
            <w:pPr>
              <w:pStyle w:val="TableContents"/>
              <w:bidi w:val="0"/>
              <w:spacing w:before="0" w:after="0"/>
              <w:jc w:val="left"/>
              <w:rPr/>
            </w:pPr>
            <w:r>
              <w:rPr/>
              <w:t> </w:t>
            </w:r>
          </w:p>
        </w:tc>
        <w:tc>
          <w:tcPr>
            <w:tcW w:w="1193"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left"/>
              <w:rPr/>
            </w:pPr>
            <w:r>
              <w:rPr/>
              <w:t> </w:t>
            </w:r>
          </w:p>
        </w:tc>
        <w:tc>
          <w:tcPr>
            <w:tcW w:w="1178"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left"/>
              <w:rPr/>
            </w:pPr>
            <w:r>
              <w:rPr/>
              <w:t> </w:t>
            </w:r>
          </w:p>
        </w:tc>
        <w:tc>
          <w:tcPr>
            <w:tcW w:w="1178" w:type="dxa"/>
            <w:tcBorders/>
            <w:vAlign w:val="center"/>
          </w:tcPr>
          <w:p>
            <w:pPr>
              <w:pStyle w:val="TableContents"/>
              <w:bidi w:val="0"/>
              <w:spacing w:before="0" w:after="0"/>
              <w:jc w:val="left"/>
              <w:rPr/>
            </w:pPr>
            <w:r>
              <w:rPr/>
              <w:t> </w:t>
            </w:r>
          </w:p>
        </w:tc>
        <w:tc>
          <w:tcPr>
            <w:tcW w:w="178" w:type="dxa"/>
            <w:tcBorders/>
            <w:vAlign w:val="center"/>
          </w:tcPr>
          <w:p>
            <w:pPr>
              <w:pStyle w:val="TableContents"/>
              <w:bidi w:val="0"/>
              <w:spacing w:before="0" w:after="0"/>
              <w:jc w:val="left"/>
              <w:rPr/>
            </w:pPr>
            <w:r>
              <w:rPr/>
              <w:t> </w:t>
            </w:r>
          </w:p>
        </w:tc>
      </w:tr>
      <w:tr>
        <w:trPr/>
        <w:tc>
          <w:tcPr>
            <w:tcW w:w="3074"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319" w:type="dxa"/>
            <w:gridSpan w:val="6"/>
            <w:tcBorders/>
            <w:vAlign w:val="center"/>
          </w:tcPr>
          <w:p>
            <w:pPr>
              <w:pStyle w:val="TableContents"/>
              <w:bidi w:val="0"/>
              <w:spacing w:before="0" w:after="0"/>
              <w:jc w:val="center"/>
              <w:rPr>
                <w:b/>
                <w:spacing w:val="0"/>
              </w:rPr>
            </w:pPr>
            <w:r>
              <w:rPr>
                <w:b/>
                <w:spacing w:val="0"/>
              </w:rPr>
              <w:t>Three Months Ended June 30,</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239" w:type="dxa"/>
            <w:gridSpan w:val="6"/>
            <w:tcBorders/>
            <w:vAlign w:val="center"/>
          </w:tcPr>
          <w:p>
            <w:pPr>
              <w:pStyle w:val="TableContents"/>
              <w:bidi w:val="0"/>
              <w:spacing w:before="0" w:after="0"/>
              <w:jc w:val="center"/>
              <w:rPr>
                <w:b/>
                <w:spacing w:val="0"/>
              </w:rPr>
            </w:pPr>
            <w:r>
              <w:rPr>
                <w:b/>
                <w:spacing w:val="0"/>
              </w:rPr>
              <w:t>Six Months Ended June 30,</w:t>
            </w:r>
          </w:p>
        </w:tc>
        <w:tc>
          <w:tcPr>
            <w:tcW w:w="178" w:type="dxa"/>
            <w:tcBorders/>
            <w:vAlign w:val="center"/>
          </w:tcPr>
          <w:p>
            <w:pPr>
              <w:pStyle w:val="TableContents"/>
              <w:bidi w:val="0"/>
              <w:spacing w:before="0" w:after="0"/>
              <w:jc w:val="left"/>
              <w:rPr>
                <w:spacing w:val="0"/>
              </w:rPr>
            </w:pPr>
            <w:r>
              <w:rPr>
                <w:spacing w:val="0"/>
              </w:rPr>
              <w:t> </w:t>
            </w:r>
          </w:p>
        </w:tc>
      </w:tr>
      <w:tr>
        <w:trPr/>
        <w:tc>
          <w:tcPr>
            <w:tcW w:w="3074"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37" w:type="dxa"/>
            <w:gridSpan w:val="2"/>
            <w:tcBorders/>
            <w:vAlign w:val="center"/>
          </w:tcPr>
          <w:p>
            <w:pPr>
              <w:pStyle w:val="TableContents"/>
              <w:bidi w:val="0"/>
              <w:spacing w:before="0" w:after="0"/>
              <w:jc w:val="center"/>
              <w:rPr>
                <w:spacing w:val="0"/>
              </w:rPr>
            </w:pPr>
            <w:r>
              <w:rPr>
                <w:spacing w:val="0"/>
              </w:rPr>
              <w:t>  </w:t>
            </w:r>
            <w:r>
              <w:rPr>
                <w:b/>
                <w:spacing w:val="0"/>
              </w:rPr>
              <w:t>2026  </w:t>
            </w:r>
          </w:p>
        </w:tc>
        <w:tc>
          <w:tcPr>
            <w:tcW w:w="251" w:type="dxa"/>
            <w:tcBorders/>
            <w:vAlign w:val="center"/>
          </w:tcPr>
          <w:p>
            <w:pPr>
              <w:pStyle w:val="TableContents"/>
              <w:bidi w:val="0"/>
              <w:spacing w:before="0" w:after="0"/>
              <w:jc w:val="left"/>
              <w:rPr>
                <w:spacing w:val="0"/>
              </w:rPr>
            </w:pPr>
            <w:r>
              <w:rPr>
                <w:spacing w:val="0"/>
              </w:rPr>
              <w:t> </w:t>
            </w:r>
          </w:p>
        </w:tc>
        <w:tc>
          <w:tcPr>
            <w:tcW w:w="194" w:type="dxa"/>
            <w:tcBorders/>
            <w:vAlign w:val="center"/>
          </w:tcPr>
          <w:p>
            <w:pPr>
              <w:pStyle w:val="TableContents"/>
              <w:bidi w:val="0"/>
              <w:spacing w:before="0" w:after="0"/>
              <w:jc w:val="left"/>
              <w:rPr>
                <w:spacing w:val="0"/>
              </w:rPr>
            </w:pPr>
            <w:r>
              <w:rPr>
                <w:spacing w:val="0"/>
              </w:rPr>
              <w:t>  </w:t>
            </w:r>
          </w:p>
        </w:tc>
        <w:tc>
          <w:tcPr>
            <w:tcW w:w="1437" w:type="dxa"/>
            <w:gridSpan w:val="2"/>
            <w:tcBorders/>
            <w:vAlign w:val="center"/>
          </w:tcPr>
          <w:p>
            <w:pPr>
              <w:pStyle w:val="TableContents"/>
              <w:bidi w:val="0"/>
              <w:spacing w:before="0" w:after="0"/>
              <w:jc w:val="center"/>
              <w:rPr>
                <w:spacing w:val="0"/>
              </w:rPr>
            </w:pPr>
            <w:r>
              <w:rPr>
                <w:spacing w:val="0"/>
              </w:rPr>
              <w:t>  </w:t>
            </w:r>
            <w:r>
              <w:rPr>
                <w:b/>
                <w:spacing w:val="0"/>
              </w:rPr>
              <w:t>2025  </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19" w:type="dxa"/>
            <w:gridSpan w:val="2"/>
            <w:tcBorders/>
            <w:vAlign w:val="center"/>
          </w:tcPr>
          <w:p>
            <w:pPr>
              <w:pStyle w:val="TableContents"/>
              <w:bidi w:val="0"/>
              <w:spacing w:before="0" w:after="0"/>
              <w:jc w:val="center"/>
              <w:rPr>
                <w:spacing w:val="0"/>
              </w:rPr>
            </w:pPr>
            <w:r>
              <w:rPr>
                <w:spacing w:val="0"/>
              </w:rPr>
              <w:t>  </w:t>
            </w:r>
            <w:r>
              <w:rPr>
                <w:b/>
                <w:spacing w:val="0"/>
              </w:rPr>
              <w:t>2026  </w:t>
            </w:r>
          </w:p>
        </w:tc>
        <w:tc>
          <w:tcPr>
            <w:tcW w:w="226" w:type="dxa"/>
            <w:tcBorders/>
            <w:vAlign w:val="center"/>
          </w:tcPr>
          <w:p>
            <w:pPr>
              <w:pStyle w:val="TableContents"/>
              <w:bidi w:val="0"/>
              <w:spacing w:before="0" w:after="0"/>
              <w:jc w:val="left"/>
              <w:rPr>
                <w:spacing w:val="0"/>
              </w:rPr>
            </w:pPr>
            <w:r>
              <w:rPr>
                <w:spacing w:val="0"/>
              </w:rPr>
              <w:t> </w:t>
            </w:r>
          </w:p>
        </w:tc>
        <w:tc>
          <w:tcPr>
            <w:tcW w:w="175" w:type="dxa"/>
            <w:tcBorders/>
            <w:vAlign w:val="center"/>
          </w:tcPr>
          <w:p>
            <w:pPr>
              <w:pStyle w:val="TableContents"/>
              <w:bidi w:val="0"/>
              <w:spacing w:before="0" w:after="0"/>
              <w:jc w:val="left"/>
              <w:rPr>
                <w:spacing w:val="0"/>
              </w:rPr>
            </w:pPr>
            <w:r>
              <w:rPr>
                <w:spacing w:val="0"/>
              </w:rPr>
              <w:t>  </w:t>
            </w:r>
          </w:p>
        </w:tc>
        <w:tc>
          <w:tcPr>
            <w:tcW w:w="1419" w:type="dxa"/>
            <w:gridSpan w:val="2"/>
            <w:tcBorders/>
            <w:vAlign w:val="center"/>
          </w:tcPr>
          <w:p>
            <w:pPr>
              <w:pStyle w:val="TableContents"/>
              <w:bidi w:val="0"/>
              <w:spacing w:before="0" w:after="0"/>
              <w:jc w:val="center"/>
              <w:rPr>
                <w:spacing w:val="0"/>
              </w:rPr>
            </w:pPr>
            <w:r>
              <w:rPr>
                <w:spacing w:val="0"/>
              </w:rPr>
              <w:t>  </w:t>
            </w:r>
            <w:r>
              <w:rPr>
                <w:b/>
                <w:spacing w:val="0"/>
              </w:rPr>
              <w:t>2025  </w:t>
            </w:r>
          </w:p>
        </w:tc>
        <w:tc>
          <w:tcPr>
            <w:tcW w:w="178" w:type="dxa"/>
            <w:tcBorders/>
            <w:vAlign w:val="center"/>
          </w:tcPr>
          <w:p>
            <w:pPr>
              <w:pStyle w:val="TableContents"/>
              <w:bidi w:val="0"/>
              <w:spacing w:before="0" w:after="0"/>
              <w:jc w:val="left"/>
              <w:rPr>
                <w:spacing w:val="0"/>
              </w:rPr>
            </w:pPr>
            <w:r>
              <w:rPr>
                <w:spacing w:val="0"/>
              </w:rPr>
              <w:t> </w:t>
            </w:r>
          </w:p>
        </w:tc>
      </w:tr>
      <w:tr>
        <w:trPr/>
        <w:tc>
          <w:tcPr>
            <w:tcW w:w="3074"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Revenues: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44" w:type="dxa"/>
            <w:tcBorders/>
            <w:shd w:fill="CCEEFF" w:val="clear"/>
            <w:vAlign w:val="center"/>
          </w:tcPr>
          <w:p>
            <w:pPr>
              <w:pStyle w:val="TableContents"/>
              <w:bidi w:val="0"/>
              <w:spacing w:before="0" w:after="0"/>
              <w:jc w:val="left"/>
              <w:rPr>
                <w:spacing w:val="0"/>
              </w:rPr>
            </w:pPr>
            <w:r>
              <w:rPr>
                <w:spacing w:val="0"/>
              </w:rPr>
              <w:t>$</w:t>
            </w:r>
          </w:p>
        </w:tc>
        <w:tc>
          <w:tcPr>
            <w:tcW w:w="1193" w:type="dxa"/>
            <w:tcBorders/>
            <w:shd w:fill="CCEEFF" w:val="clear"/>
            <w:vAlign w:val="center"/>
          </w:tcPr>
          <w:p>
            <w:pPr>
              <w:pStyle w:val="TableContents"/>
              <w:bidi w:val="0"/>
              <w:spacing w:before="0" w:after="0"/>
              <w:jc w:val="right"/>
              <w:rPr>
                <w:spacing w:val="0"/>
              </w:rPr>
            </w:pPr>
            <w:r>
              <w:rPr>
                <w:spacing w:val="0"/>
              </w:rPr>
              <w:t>— </w:t>
            </w:r>
          </w:p>
        </w:tc>
        <w:tc>
          <w:tcPr>
            <w:tcW w:w="251" w:type="dxa"/>
            <w:tcBorders/>
            <w:shd w:fill="CCEEFF" w:val="clear"/>
            <w:vAlign w:val="center"/>
          </w:tcPr>
          <w:p>
            <w:pPr>
              <w:pStyle w:val="TableContents"/>
              <w:bidi w:val="0"/>
              <w:spacing w:before="0" w:after="0"/>
              <w:jc w:val="left"/>
              <w:rPr>
                <w:spacing w:val="0"/>
              </w:rPr>
            </w:pPr>
            <w:r>
              <w:rPr>
                <w:spacing w:val="0"/>
              </w:rPr>
              <w:t> </w:t>
            </w:r>
          </w:p>
        </w:tc>
        <w:tc>
          <w:tcPr>
            <w:tcW w:w="194" w:type="dxa"/>
            <w:tcBorders/>
            <w:shd w:fill="CCEEFF" w:val="clear"/>
            <w:vAlign w:val="center"/>
          </w:tcPr>
          <w:p>
            <w:pPr>
              <w:pStyle w:val="TableContents"/>
              <w:bidi w:val="0"/>
              <w:spacing w:before="0" w:after="0"/>
              <w:jc w:val="left"/>
              <w:rPr>
                <w:spacing w:val="0"/>
              </w:rPr>
            </w:pPr>
            <w:r>
              <w:rPr>
                <w:spacing w:val="0"/>
              </w:rPr>
              <w:t>  </w:t>
            </w:r>
          </w:p>
        </w:tc>
        <w:tc>
          <w:tcPr>
            <w:tcW w:w="244" w:type="dxa"/>
            <w:tcBorders/>
            <w:shd w:fill="CCEEFF" w:val="clear"/>
            <w:vAlign w:val="center"/>
          </w:tcPr>
          <w:p>
            <w:pPr>
              <w:pStyle w:val="TableContents"/>
              <w:bidi w:val="0"/>
              <w:spacing w:before="0" w:after="0"/>
              <w:jc w:val="left"/>
              <w:rPr>
                <w:spacing w:val="0"/>
              </w:rPr>
            </w:pPr>
            <w:r>
              <w:rPr>
                <w:spacing w:val="0"/>
              </w:rPr>
              <w:t>$</w:t>
            </w:r>
          </w:p>
        </w:tc>
        <w:tc>
          <w:tcPr>
            <w:tcW w:w="1193"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41" w:type="dxa"/>
            <w:tcBorders/>
            <w:shd w:fill="CCEEFF" w:val="clear"/>
            <w:vAlign w:val="center"/>
          </w:tcPr>
          <w:p>
            <w:pPr>
              <w:pStyle w:val="TableContents"/>
              <w:bidi w:val="0"/>
              <w:spacing w:before="0" w:after="0"/>
              <w:jc w:val="left"/>
              <w:rPr>
                <w:spacing w:val="0"/>
              </w:rPr>
            </w:pPr>
            <w:r>
              <w:rPr>
                <w:spacing w:val="0"/>
              </w:rPr>
              <w:t>$</w:t>
            </w:r>
          </w:p>
        </w:tc>
        <w:tc>
          <w:tcPr>
            <w:tcW w:w="1178" w:type="dxa"/>
            <w:tcBorders/>
            <w:shd w:fill="CCEEFF" w:val="clear"/>
            <w:vAlign w:val="center"/>
          </w:tcPr>
          <w:p>
            <w:pPr>
              <w:pStyle w:val="TableContents"/>
              <w:bidi w:val="0"/>
              <w:spacing w:before="0" w:after="0"/>
              <w:jc w:val="right"/>
              <w:rPr>
                <w:spacing w:val="0"/>
              </w:rPr>
            </w:pPr>
            <w:r>
              <w:rPr>
                <w:spacing w:val="0"/>
              </w:rPr>
              <w:t>— </w:t>
            </w:r>
          </w:p>
        </w:tc>
        <w:tc>
          <w:tcPr>
            <w:tcW w:w="226" w:type="dxa"/>
            <w:tcBorders/>
            <w:shd w:fill="CCEEFF" w:val="clear"/>
            <w:vAlign w:val="center"/>
          </w:tcPr>
          <w:p>
            <w:pPr>
              <w:pStyle w:val="TableContents"/>
              <w:bidi w:val="0"/>
              <w:spacing w:before="0" w:after="0"/>
              <w:jc w:val="left"/>
              <w:rPr>
                <w:spacing w:val="0"/>
              </w:rPr>
            </w:pPr>
            <w:r>
              <w:rPr>
                <w:spacing w:val="0"/>
              </w:rPr>
              <w:t> </w:t>
            </w:r>
          </w:p>
        </w:tc>
        <w:tc>
          <w:tcPr>
            <w:tcW w:w="175" w:type="dxa"/>
            <w:tcBorders/>
            <w:shd w:fill="CCEEFF" w:val="clear"/>
            <w:vAlign w:val="center"/>
          </w:tcPr>
          <w:p>
            <w:pPr>
              <w:pStyle w:val="TableContents"/>
              <w:bidi w:val="0"/>
              <w:spacing w:before="0" w:after="0"/>
              <w:jc w:val="left"/>
              <w:rPr>
                <w:spacing w:val="0"/>
              </w:rPr>
            </w:pPr>
            <w:r>
              <w:rPr>
                <w:spacing w:val="0"/>
              </w:rPr>
              <w:t>  </w:t>
            </w:r>
          </w:p>
        </w:tc>
        <w:tc>
          <w:tcPr>
            <w:tcW w:w="241" w:type="dxa"/>
            <w:tcBorders/>
            <w:shd w:fill="CCEEFF" w:val="clear"/>
            <w:vAlign w:val="center"/>
          </w:tcPr>
          <w:p>
            <w:pPr>
              <w:pStyle w:val="TableContents"/>
              <w:bidi w:val="0"/>
              <w:spacing w:before="0" w:after="0"/>
              <w:jc w:val="left"/>
              <w:rPr>
                <w:spacing w:val="0"/>
              </w:rPr>
            </w:pPr>
            <w:r>
              <w:rPr>
                <w:spacing w:val="0"/>
              </w:rPr>
              <w:t>$</w:t>
            </w:r>
          </w:p>
        </w:tc>
        <w:tc>
          <w:tcPr>
            <w:tcW w:w="1178" w:type="dxa"/>
            <w:tcBorders/>
            <w:shd w:fill="CCEEFF" w:val="clear"/>
            <w:vAlign w:val="center"/>
          </w:tcPr>
          <w:p>
            <w:pPr>
              <w:pStyle w:val="TableContents"/>
              <w:bidi w:val="0"/>
              <w:spacing w:before="0" w:after="0"/>
              <w:jc w:val="right"/>
              <w:rPr>
                <w:spacing w:val="0"/>
              </w:rPr>
            </w:pPr>
            <w:r>
              <w:rPr>
                <w:spacing w:val="0"/>
              </w:rPr>
              <w:t>— </w:t>
            </w:r>
          </w:p>
        </w:tc>
        <w:tc>
          <w:tcPr>
            <w:tcW w:w="178" w:type="dxa"/>
            <w:tcBorders/>
            <w:shd w:fill="CCEEFF" w:val="clear"/>
            <w:vAlign w:val="center"/>
          </w:tcPr>
          <w:p>
            <w:pPr>
              <w:pStyle w:val="TableContents"/>
              <w:bidi w:val="0"/>
              <w:spacing w:before="0" w:after="0"/>
              <w:jc w:val="left"/>
              <w:rPr>
                <w:spacing w:val="0"/>
              </w:rPr>
            </w:pPr>
            <w:r>
              <w:rPr>
                <w:spacing w:val="0"/>
              </w:rPr>
              <w:t> </w:t>
            </w:r>
          </w:p>
        </w:tc>
      </w:tr>
      <w:tr>
        <w:trPr/>
        <w:tc>
          <w:tcPr>
            <w:tcW w:w="3074"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Less(1):</w:t>
            </w:r>
          </w:p>
        </w:tc>
        <w:tc>
          <w:tcPr>
            <w:tcW w:w="120" w:type="dxa"/>
            <w:tcBorders/>
            <w:vAlign w:val="center"/>
          </w:tcPr>
          <w:p>
            <w:pPr>
              <w:pStyle w:val="TableContents"/>
              <w:bidi w:val="0"/>
              <w:spacing w:before="0" w:after="0"/>
              <w:jc w:val="left"/>
              <w:rPr>
                <w:spacing w:val="0"/>
              </w:rPr>
            </w:pPr>
            <w:r>
              <w:rPr>
                <w:spacing w:val="0"/>
              </w:rPr>
              <w:t>  </w:t>
            </w:r>
          </w:p>
        </w:tc>
        <w:tc>
          <w:tcPr>
            <w:tcW w:w="244"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jc w:val="left"/>
              <w:rPr>
                <w:spacing w:val="0"/>
              </w:rPr>
            </w:pPr>
            <w:r>
              <w:rPr>
                <w:spacing w:val="0"/>
              </w:rPr>
              <w:t>  </w:t>
            </w:r>
          </w:p>
        </w:tc>
        <w:tc>
          <w:tcPr>
            <w:tcW w:w="244"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241"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spacing w:val="0"/>
              </w:rPr>
            </w:pPr>
            <w:r>
              <w:rPr>
                <w:spacing w:val="0"/>
              </w:rPr>
              <w:t>  </w:t>
            </w:r>
          </w:p>
        </w:tc>
        <w:tc>
          <w:tcPr>
            <w:tcW w:w="241"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r>
      <w:tr>
        <w:trPr/>
        <w:tc>
          <w:tcPr>
            <w:tcW w:w="3074"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and development expenses(2):</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44"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0"/>
              <w:jc w:val="left"/>
              <w:rPr>
                <w:spacing w:val="0"/>
              </w:rPr>
            </w:pPr>
            <w:r>
              <w:rPr>
                <w:spacing w:val="0"/>
              </w:rPr>
              <w:t>  </w:t>
            </w:r>
          </w:p>
        </w:tc>
        <w:tc>
          <w:tcPr>
            <w:tcW w:w="244"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4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0"/>
              <w:jc w:val="left"/>
              <w:rPr>
                <w:spacing w:val="0"/>
              </w:rPr>
            </w:pPr>
            <w:r>
              <w:rPr>
                <w:spacing w:val="0"/>
              </w:rPr>
              <w:t>  </w:t>
            </w:r>
          </w:p>
        </w:tc>
        <w:tc>
          <w:tcPr>
            <w:tcW w:w="24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r>
      <w:tr>
        <w:trPr/>
        <w:tc>
          <w:tcPr>
            <w:tcW w:w="3074"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Compensation and related expenses</w:t>
            </w:r>
          </w:p>
        </w:tc>
        <w:tc>
          <w:tcPr>
            <w:tcW w:w="120" w:type="dxa"/>
            <w:tcBorders/>
            <w:vAlign w:val="center"/>
          </w:tcPr>
          <w:p>
            <w:pPr>
              <w:pStyle w:val="TableContents"/>
              <w:bidi w:val="0"/>
              <w:spacing w:before="0" w:after="0"/>
              <w:jc w:val="left"/>
              <w:rPr>
                <w:spacing w:val="0"/>
              </w:rPr>
            </w:pPr>
            <w:r>
              <w:rPr>
                <w:spacing w:val="0"/>
              </w:rPr>
              <w:t>  </w:t>
            </w:r>
          </w:p>
        </w:tc>
        <w:tc>
          <w:tcPr>
            <w:tcW w:w="244" w:type="dxa"/>
            <w:tcBorders/>
            <w:vAlign w:val="center"/>
          </w:tcPr>
          <w:p>
            <w:pPr>
              <w:pStyle w:val="TableContents"/>
              <w:bidi w:val="0"/>
              <w:spacing w:before="0" w:after="0"/>
              <w:jc w:val="left"/>
              <w:rPr>
                <w:spacing w:val="0"/>
              </w:rPr>
            </w:pPr>
            <w:r>
              <w:rPr>
                <w:spacing w:val="0"/>
              </w:rPr>
              <w:t> </w:t>
            </w:r>
          </w:p>
        </w:tc>
        <w:tc>
          <w:tcPr>
            <w:tcW w:w="1193" w:type="dxa"/>
            <w:tcBorders/>
            <w:vAlign w:val="center"/>
          </w:tcPr>
          <w:p>
            <w:pPr>
              <w:pStyle w:val="TableContents"/>
              <w:bidi w:val="0"/>
              <w:spacing w:before="0" w:after="0"/>
              <w:jc w:val="right"/>
              <w:rPr>
                <w:spacing w:val="0"/>
              </w:rPr>
            </w:pPr>
            <w:r>
              <w:rPr>
                <w:spacing w:val="0"/>
              </w:rPr>
              <w:t>5,486</w:t>
            </w:r>
          </w:p>
        </w:tc>
        <w:tc>
          <w:tcPr>
            <w:tcW w:w="251" w:type="dxa"/>
            <w:tcBorders/>
            <w:vAlign w:val="center"/>
          </w:tcPr>
          <w:p>
            <w:pPr>
              <w:pStyle w:val="TableContents"/>
              <w:bidi w:val="0"/>
              <w:spacing w:before="0" w:after="0"/>
              <w:jc w:val="left"/>
              <w:rPr>
                <w:spacing w:val="0"/>
              </w:rPr>
            </w:pPr>
            <w:r>
              <w:rPr>
                <w:spacing w:val="0"/>
              </w:rPr>
              <w:t> </w:t>
            </w:r>
          </w:p>
        </w:tc>
        <w:tc>
          <w:tcPr>
            <w:tcW w:w="194" w:type="dxa"/>
            <w:tcBorders/>
            <w:vAlign w:val="center"/>
          </w:tcPr>
          <w:p>
            <w:pPr>
              <w:pStyle w:val="TableContents"/>
              <w:bidi w:val="0"/>
              <w:spacing w:before="0" w:after="0"/>
              <w:jc w:val="left"/>
              <w:rPr>
                <w:spacing w:val="0"/>
              </w:rPr>
            </w:pPr>
            <w:r>
              <w:rPr>
                <w:spacing w:val="0"/>
              </w:rPr>
              <w:t>  </w:t>
            </w:r>
          </w:p>
        </w:tc>
        <w:tc>
          <w:tcPr>
            <w:tcW w:w="244" w:type="dxa"/>
            <w:tcBorders/>
            <w:vAlign w:val="center"/>
          </w:tcPr>
          <w:p>
            <w:pPr>
              <w:pStyle w:val="TableContents"/>
              <w:bidi w:val="0"/>
              <w:spacing w:before="0" w:after="0"/>
              <w:jc w:val="left"/>
              <w:rPr>
                <w:spacing w:val="0"/>
              </w:rPr>
            </w:pPr>
            <w:r>
              <w:rPr>
                <w:spacing w:val="0"/>
              </w:rPr>
              <w:t> </w:t>
            </w:r>
          </w:p>
        </w:tc>
        <w:tc>
          <w:tcPr>
            <w:tcW w:w="1193" w:type="dxa"/>
            <w:tcBorders/>
            <w:vAlign w:val="center"/>
          </w:tcPr>
          <w:p>
            <w:pPr>
              <w:pStyle w:val="TableContents"/>
              <w:bidi w:val="0"/>
              <w:spacing w:before="0" w:after="0"/>
              <w:jc w:val="right"/>
              <w:rPr>
                <w:spacing w:val="0"/>
              </w:rPr>
            </w:pPr>
            <w:r>
              <w:rPr>
                <w:spacing w:val="0"/>
              </w:rPr>
              <w:t>7,067</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41" w:type="dxa"/>
            <w:tcBorders/>
            <w:vAlign w:val="center"/>
          </w:tcPr>
          <w:p>
            <w:pPr>
              <w:pStyle w:val="TableContents"/>
              <w:bidi w:val="0"/>
              <w:spacing w:before="0" w:after="0"/>
              <w:jc w:val="left"/>
              <w:rPr>
                <w:spacing w:val="0"/>
              </w:rPr>
            </w:pPr>
            <w:r>
              <w:rPr>
                <w:spacing w:val="0"/>
              </w:rPr>
              <w:t> </w:t>
            </w:r>
          </w:p>
        </w:tc>
        <w:tc>
          <w:tcPr>
            <w:tcW w:w="1178" w:type="dxa"/>
            <w:tcBorders/>
            <w:vAlign w:val="center"/>
          </w:tcPr>
          <w:p>
            <w:pPr>
              <w:pStyle w:val="TableContents"/>
              <w:bidi w:val="0"/>
              <w:spacing w:before="0" w:after="0"/>
              <w:jc w:val="right"/>
              <w:rPr>
                <w:spacing w:val="0"/>
              </w:rPr>
            </w:pPr>
            <w:r>
              <w:rPr>
                <w:spacing w:val="0"/>
              </w:rPr>
              <w:t>10,734</w:t>
            </w:r>
          </w:p>
        </w:tc>
        <w:tc>
          <w:tcPr>
            <w:tcW w:w="226" w:type="dxa"/>
            <w:tcBorders/>
            <w:vAlign w:val="center"/>
          </w:tcPr>
          <w:p>
            <w:pPr>
              <w:pStyle w:val="TableContents"/>
              <w:bidi w:val="0"/>
              <w:spacing w:before="0" w:after="0"/>
              <w:jc w:val="left"/>
              <w:rPr>
                <w:spacing w:val="0"/>
              </w:rPr>
            </w:pPr>
            <w:r>
              <w:rPr>
                <w:spacing w:val="0"/>
              </w:rPr>
              <w:t> </w:t>
            </w:r>
          </w:p>
        </w:tc>
        <w:tc>
          <w:tcPr>
            <w:tcW w:w="175" w:type="dxa"/>
            <w:tcBorders/>
            <w:vAlign w:val="center"/>
          </w:tcPr>
          <w:p>
            <w:pPr>
              <w:pStyle w:val="TableContents"/>
              <w:bidi w:val="0"/>
              <w:spacing w:before="0" w:after="0"/>
              <w:jc w:val="left"/>
              <w:rPr>
                <w:spacing w:val="0"/>
              </w:rPr>
            </w:pPr>
            <w:r>
              <w:rPr>
                <w:spacing w:val="0"/>
              </w:rPr>
              <w:t>  </w:t>
            </w:r>
          </w:p>
        </w:tc>
        <w:tc>
          <w:tcPr>
            <w:tcW w:w="241" w:type="dxa"/>
            <w:tcBorders/>
            <w:vAlign w:val="center"/>
          </w:tcPr>
          <w:p>
            <w:pPr>
              <w:pStyle w:val="TableContents"/>
              <w:bidi w:val="0"/>
              <w:spacing w:before="0" w:after="0"/>
              <w:jc w:val="left"/>
              <w:rPr>
                <w:spacing w:val="0"/>
              </w:rPr>
            </w:pPr>
            <w:r>
              <w:rPr>
                <w:spacing w:val="0"/>
              </w:rPr>
              <w:t> </w:t>
            </w:r>
          </w:p>
        </w:tc>
        <w:tc>
          <w:tcPr>
            <w:tcW w:w="1178" w:type="dxa"/>
            <w:tcBorders/>
            <w:vAlign w:val="center"/>
          </w:tcPr>
          <w:p>
            <w:pPr>
              <w:pStyle w:val="TableContents"/>
              <w:bidi w:val="0"/>
              <w:spacing w:before="0" w:after="0"/>
              <w:jc w:val="right"/>
              <w:rPr>
                <w:spacing w:val="0"/>
              </w:rPr>
            </w:pPr>
            <w:r>
              <w:rPr>
                <w:spacing w:val="0"/>
              </w:rPr>
              <w:t>13,156</w:t>
            </w:r>
          </w:p>
        </w:tc>
        <w:tc>
          <w:tcPr>
            <w:tcW w:w="178" w:type="dxa"/>
            <w:tcBorders/>
            <w:vAlign w:val="center"/>
          </w:tcPr>
          <w:p>
            <w:pPr>
              <w:pStyle w:val="TableContents"/>
              <w:bidi w:val="0"/>
              <w:spacing w:before="0" w:after="0"/>
              <w:jc w:val="left"/>
              <w:rPr>
                <w:spacing w:val="0"/>
              </w:rPr>
            </w:pPr>
            <w:r>
              <w:rPr>
                <w:spacing w:val="0"/>
              </w:rPr>
              <w:t> </w:t>
            </w:r>
          </w:p>
        </w:tc>
      </w:tr>
      <w:tr>
        <w:trPr/>
        <w:tc>
          <w:tcPr>
            <w:tcW w:w="3074"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Drug discovery and platform</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44" w:type="dxa"/>
            <w:tcBorders/>
            <w:shd w:fill="CCEEFF" w:val="clear"/>
            <w:vAlign w:val="center"/>
          </w:tcPr>
          <w:p>
            <w:pPr>
              <w:pStyle w:val="TableContents"/>
              <w:bidi w:val="0"/>
              <w:spacing w:before="0" w:after="0"/>
              <w:jc w:val="left"/>
              <w:rPr>
                <w:spacing w:val="0"/>
              </w:rPr>
            </w:pPr>
            <w:r>
              <w:rPr>
                <w:spacing w:val="0"/>
              </w:rPr>
              <w:t> </w:t>
            </w:r>
          </w:p>
        </w:tc>
        <w:tc>
          <w:tcPr>
            <w:tcW w:w="1193" w:type="dxa"/>
            <w:tcBorders/>
            <w:shd w:fill="CCEEFF" w:val="clear"/>
            <w:vAlign w:val="center"/>
          </w:tcPr>
          <w:p>
            <w:pPr>
              <w:pStyle w:val="TableContents"/>
              <w:bidi w:val="0"/>
              <w:spacing w:before="0" w:after="0"/>
              <w:jc w:val="right"/>
              <w:rPr>
                <w:spacing w:val="0"/>
              </w:rPr>
            </w:pPr>
            <w:r>
              <w:rPr>
                <w:spacing w:val="0"/>
              </w:rPr>
              <w:t>51</w:t>
            </w:r>
          </w:p>
        </w:tc>
        <w:tc>
          <w:tcPr>
            <w:tcW w:w="251" w:type="dxa"/>
            <w:tcBorders/>
            <w:shd w:fill="CCEEFF" w:val="clear"/>
            <w:vAlign w:val="center"/>
          </w:tcPr>
          <w:p>
            <w:pPr>
              <w:pStyle w:val="TableContents"/>
              <w:bidi w:val="0"/>
              <w:spacing w:before="0" w:after="0"/>
              <w:jc w:val="left"/>
              <w:rPr>
                <w:spacing w:val="0"/>
              </w:rPr>
            </w:pPr>
            <w:r>
              <w:rPr>
                <w:spacing w:val="0"/>
              </w:rPr>
              <w:t> </w:t>
            </w:r>
          </w:p>
        </w:tc>
        <w:tc>
          <w:tcPr>
            <w:tcW w:w="194" w:type="dxa"/>
            <w:tcBorders/>
            <w:shd w:fill="CCEEFF" w:val="clear"/>
            <w:vAlign w:val="center"/>
          </w:tcPr>
          <w:p>
            <w:pPr>
              <w:pStyle w:val="TableContents"/>
              <w:bidi w:val="0"/>
              <w:spacing w:before="0" w:after="0"/>
              <w:jc w:val="left"/>
              <w:rPr>
                <w:spacing w:val="0"/>
              </w:rPr>
            </w:pPr>
            <w:r>
              <w:rPr>
                <w:spacing w:val="0"/>
              </w:rPr>
              <w:t>  </w:t>
            </w:r>
          </w:p>
        </w:tc>
        <w:tc>
          <w:tcPr>
            <w:tcW w:w="244" w:type="dxa"/>
            <w:tcBorders/>
            <w:shd w:fill="CCEEFF" w:val="clear"/>
            <w:vAlign w:val="center"/>
          </w:tcPr>
          <w:p>
            <w:pPr>
              <w:pStyle w:val="TableContents"/>
              <w:bidi w:val="0"/>
              <w:spacing w:before="0" w:after="0"/>
              <w:jc w:val="left"/>
              <w:rPr>
                <w:spacing w:val="0"/>
              </w:rPr>
            </w:pPr>
            <w:r>
              <w:rPr>
                <w:spacing w:val="0"/>
              </w:rPr>
              <w:t> </w:t>
            </w:r>
          </w:p>
        </w:tc>
        <w:tc>
          <w:tcPr>
            <w:tcW w:w="1193" w:type="dxa"/>
            <w:tcBorders/>
            <w:shd w:fill="CCEEFF" w:val="clear"/>
            <w:vAlign w:val="center"/>
          </w:tcPr>
          <w:p>
            <w:pPr>
              <w:pStyle w:val="TableContents"/>
              <w:bidi w:val="0"/>
              <w:spacing w:before="0" w:after="0"/>
              <w:jc w:val="right"/>
              <w:rPr>
                <w:spacing w:val="0"/>
              </w:rPr>
            </w:pPr>
            <w:r>
              <w:rPr>
                <w:spacing w:val="0"/>
              </w:rPr>
              <w:t>417</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41" w:type="dxa"/>
            <w:tcBorders/>
            <w:shd w:fill="CCEEFF" w:val="clear"/>
            <w:vAlign w:val="center"/>
          </w:tcPr>
          <w:p>
            <w:pPr>
              <w:pStyle w:val="TableContents"/>
              <w:bidi w:val="0"/>
              <w:spacing w:before="0" w:after="0"/>
              <w:jc w:val="left"/>
              <w:rPr>
                <w:spacing w:val="0"/>
              </w:rPr>
            </w:pPr>
            <w:r>
              <w:rPr>
                <w:spacing w:val="0"/>
              </w:rPr>
              <w:t> </w:t>
            </w:r>
          </w:p>
        </w:tc>
        <w:tc>
          <w:tcPr>
            <w:tcW w:w="1178" w:type="dxa"/>
            <w:tcBorders/>
            <w:shd w:fill="CCEEFF" w:val="clear"/>
            <w:vAlign w:val="center"/>
          </w:tcPr>
          <w:p>
            <w:pPr>
              <w:pStyle w:val="TableContents"/>
              <w:bidi w:val="0"/>
              <w:spacing w:before="0" w:after="0"/>
              <w:jc w:val="right"/>
              <w:rPr>
                <w:spacing w:val="0"/>
              </w:rPr>
            </w:pPr>
            <w:r>
              <w:rPr>
                <w:spacing w:val="0"/>
              </w:rPr>
              <w:t>249</w:t>
            </w:r>
          </w:p>
        </w:tc>
        <w:tc>
          <w:tcPr>
            <w:tcW w:w="226" w:type="dxa"/>
            <w:tcBorders/>
            <w:shd w:fill="CCEEFF" w:val="clear"/>
            <w:vAlign w:val="center"/>
          </w:tcPr>
          <w:p>
            <w:pPr>
              <w:pStyle w:val="TableContents"/>
              <w:bidi w:val="0"/>
              <w:spacing w:before="0" w:after="0"/>
              <w:jc w:val="left"/>
              <w:rPr>
                <w:spacing w:val="0"/>
              </w:rPr>
            </w:pPr>
            <w:r>
              <w:rPr>
                <w:spacing w:val="0"/>
              </w:rPr>
              <w:t> </w:t>
            </w:r>
          </w:p>
        </w:tc>
        <w:tc>
          <w:tcPr>
            <w:tcW w:w="175" w:type="dxa"/>
            <w:tcBorders/>
            <w:shd w:fill="CCEEFF" w:val="clear"/>
            <w:vAlign w:val="center"/>
          </w:tcPr>
          <w:p>
            <w:pPr>
              <w:pStyle w:val="TableContents"/>
              <w:bidi w:val="0"/>
              <w:spacing w:before="0" w:after="0"/>
              <w:jc w:val="left"/>
              <w:rPr>
                <w:spacing w:val="0"/>
              </w:rPr>
            </w:pPr>
            <w:r>
              <w:rPr>
                <w:spacing w:val="0"/>
              </w:rPr>
              <w:t>  </w:t>
            </w:r>
          </w:p>
        </w:tc>
        <w:tc>
          <w:tcPr>
            <w:tcW w:w="241" w:type="dxa"/>
            <w:tcBorders/>
            <w:shd w:fill="CCEEFF" w:val="clear"/>
            <w:vAlign w:val="center"/>
          </w:tcPr>
          <w:p>
            <w:pPr>
              <w:pStyle w:val="TableContents"/>
              <w:bidi w:val="0"/>
              <w:spacing w:before="0" w:after="0"/>
              <w:jc w:val="left"/>
              <w:rPr>
                <w:spacing w:val="0"/>
              </w:rPr>
            </w:pPr>
            <w:r>
              <w:rPr>
                <w:spacing w:val="0"/>
              </w:rPr>
              <w:t> </w:t>
            </w:r>
          </w:p>
        </w:tc>
        <w:tc>
          <w:tcPr>
            <w:tcW w:w="1178" w:type="dxa"/>
            <w:tcBorders/>
            <w:shd w:fill="CCEEFF" w:val="clear"/>
            <w:vAlign w:val="center"/>
          </w:tcPr>
          <w:p>
            <w:pPr>
              <w:pStyle w:val="TableContents"/>
              <w:bidi w:val="0"/>
              <w:spacing w:before="0" w:after="0"/>
              <w:jc w:val="right"/>
              <w:rPr>
                <w:spacing w:val="0"/>
              </w:rPr>
            </w:pPr>
            <w:r>
              <w:rPr>
                <w:spacing w:val="0"/>
              </w:rPr>
              <w:t>567</w:t>
            </w:r>
          </w:p>
        </w:tc>
        <w:tc>
          <w:tcPr>
            <w:tcW w:w="178" w:type="dxa"/>
            <w:tcBorders/>
            <w:shd w:fill="CCEEFF" w:val="clear"/>
            <w:vAlign w:val="center"/>
          </w:tcPr>
          <w:p>
            <w:pPr>
              <w:pStyle w:val="TableContents"/>
              <w:bidi w:val="0"/>
              <w:spacing w:before="0" w:after="0"/>
              <w:jc w:val="left"/>
              <w:rPr>
                <w:spacing w:val="0"/>
              </w:rPr>
            </w:pPr>
            <w:r>
              <w:rPr>
                <w:spacing w:val="0"/>
              </w:rPr>
              <w:t> </w:t>
            </w:r>
          </w:p>
        </w:tc>
      </w:tr>
      <w:tr>
        <w:trPr/>
        <w:tc>
          <w:tcPr>
            <w:tcW w:w="3074"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Clinical and manufacturing activities</w:t>
            </w:r>
          </w:p>
        </w:tc>
        <w:tc>
          <w:tcPr>
            <w:tcW w:w="120" w:type="dxa"/>
            <w:tcBorders/>
            <w:vAlign w:val="center"/>
          </w:tcPr>
          <w:p>
            <w:pPr>
              <w:pStyle w:val="TableContents"/>
              <w:bidi w:val="0"/>
              <w:spacing w:before="0" w:after="0"/>
              <w:jc w:val="left"/>
              <w:rPr>
                <w:spacing w:val="0"/>
              </w:rPr>
            </w:pPr>
            <w:r>
              <w:rPr>
                <w:spacing w:val="0"/>
              </w:rPr>
              <w:t>  </w:t>
            </w:r>
          </w:p>
        </w:tc>
        <w:tc>
          <w:tcPr>
            <w:tcW w:w="244" w:type="dxa"/>
            <w:tcBorders/>
            <w:vAlign w:val="center"/>
          </w:tcPr>
          <w:p>
            <w:pPr>
              <w:pStyle w:val="TableContents"/>
              <w:bidi w:val="0"/>
              <w:spacing w:before="0" w:after="0"/>
              <w:jc w:val="left"/>
              <w:rPr>
                <w:spacing w:val="0"/>
              </w:rPr>
            </w:pPr>
            <w:r>
              <w:rPr>
                <w:spacing w:val="0"/>
              </w:rPr>
              <w:t> </w:t>
            </w:r>
          </w:p>
        </w:tc>
        <w:tc>
          <w:tcPr>
            <w:tcW w:w="1193" w:type="dxa"/>
            <w:tcBorders/>
            <w:vAlign w:val="center"/>
          </w:tcPr>
          <w:p>
            <w:pPr>
              <w:pStyle w:val="TableContents"/>
              <w:bidi w:val="0"/>
              <w:spacing w:before="0" w:after="0"/>
              <w:jc w:val="right"/>
              <w:rPr>
                <w:spacing w:val="0"/>
              </w:rPr>
            </w:pPr>
            <w:r>
              <w:rPr>
                <w:spacing w:val="0"/>
              </w:rPr>
              <w:t>12,637</w:t>
            </w:r>
          </w:p>
        </w:tc>
        <w:tc>
          <w:tcPr>
            <w:tcW w:w="251" w:type="dxa"/>
            <w:tcBorders/>
            <w:vAlign w:val="center"/>
          </w:tcPr>
          <w:p>
            <w:pPr>
              <w:pStyle w:val="TableContents"/>
              <w:bidi w:val="0"/>
              <w:spacing w:before="0" w:after="0"/>
              <w:jc w:val="left"/>
              <w:rPr>
                <w:spacing w:val="0"/>
              </w:rPr>
            </w:pPr>
            <w:r>
              <w:rPr>
                <w:spacing w:val="0"/>
              </w:rPr>
              <w:t> </w:t>
            </w:r>
          </w:p>
        </w:tc>
        <w:tc>
          <w:tcPr>
            <w:tcW w:w="194" w:type="dxa"/>
            <w:tcBorders/>
            <w:vAlign w:val="center"/>
          </w:tcPr>
          <w:p>
            <w:pPr>
              <w:pStyle w:val="TableContents"/>
              <w:bidi w:val="0"/>
              <w:spacing w:before="0" w:after="0"/>
              <w:jc w:val="left"/>
              <w:rPr>
                <w:spacing w:val="0"/>
              </w:rPr>
            </w:pPr>
            <w:r>
              <w:rPr>
                <w:spacing w:val="0"/>
              </w:rPr>
              <w:t>  </w:t>
            </w:r>
          </w:p>
        </w:tc>
        <w:tc>
          <w:tcPr>
            <w:tcW w:w="244" w:type="dxa"/>
            <w:tcBorders/>
            <w:vAlign w:val="center"/>
          </w:tcPr>
          <w:p>
            <w:pPr>
              <w:pStyle w:val="TableContents"/>
              <w:bidi w:val="0"/>
              <w:spacing w:before="0" w:after="0"/>
              <w:jc w:val="left"/>
              <w:rPr>
                <w:spacing w:val="0"/>
              </w:rPr>
            </w:pPr>
            <w:r>
              <w:rPr>
                <w:spacing w:val="0"/>
              </w:rPr>
              <w:t> </w:t>
            </w:r>
          </w:p>
        </w:tc>
        <w:tc>
          <w:tcPr>
            <w:tcW w:w="1193" w:type="dxa"/>
            <w:tcBorders/>
            <w:vAlign w:val="center"/>
          </w:tcPr>
          <w:p>
            <w:pPr>
              <w:pStyle w:val="TableContents"/>
              <w:bidi w:val="0"/>
              <w:spacing w:before="0" w:after="0"/>
              <w:jc w:val="right"/>
              <w:rPr>
                <w:spacing w:val="0"/>
              </w:rPr>
            </w:pPr>
            <w:r>
              <w:rPr>
                <w:spacing w:val="0"/>
              </w:rPr>
              <w:t>12,428</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41" w:type="dxa"/>
            <w:tcBorders/>
            <w:vAlign w:val="center"/>
          </w:tcPr>
          <w:p>
            <w:pPr>
              <w:pStyle w:val="TableContents"/>
              <w:bidi w:val="0"/>
              <w:spacing w:before="0" w:after="0"/>
              <w:jc w:val="left"/>
              <w:rPr>
                <w:spacing w:val="0"/>
              </w:rPr>
            </w:pPr>
            <w:r>
              <w:rPr>
                <w:spacing w:val="0"/>
              </w:rPr>
              <w:t> </w:t>
            </w:r>
          </w:p>
        </w:tc>
        <w:tc>
          <w:tcPr>
            <w:tcW w:w="1178" w:type="dxa"/>
            <w:tcBorders/>
            <w:vAlign w:val="center"/>
          </w:tcPr>
          <w:p>
            <w:pPr>
              <w:pStyle w:val="TableContents"/>
              <w:bidi w:val="0"/>
              <w:spacing w:before="0" w:after="0"/>
              <w:jc w:val="right"/>
              <w:rPr>
                <w:spacing w:val="0"/>
              </w:rPr>
            </w:pPr>
            <w:r>
              <w:rPr>
                <w:spacing w:val="0"/>
              </w:rPr>
              <w:t>20,448</w:t>
            </w:r>
          </w:p>
        </w:tc>
        <w:tc>
          <w:tcPr>
            <w:tcW w:w="226" w:type="dxa"/>
            <w:tcBorders/>
            <w:vAlign w:val="center"/>
          </w:tcPr>
          <w:p>
            <w:pPr>
              <w:pStyle w:val="TableContents"/>
              <w:bidi w:val="0"/>
              <w:spacing w:before="0" w:after="0"/>
              <w:jc w:val="left"/>
              <w:rPr>
                <w:spacing w:val="0"/>
              </w:rPr>
            </w:pPr>
            <w:r>
              <w:rPr>
                <w:spacing w:val="0"/>
              </w:rPr>
              <w:t> </w:t>
            </w:r>
          </w:p>
        </w:tc>
        <w:tc>
          <w:tcPr>
            <w:tcW w:w="175" w:type="dxa"/>
            <w:tcBorders/>
            <w:vAlign w:val="center"/>
          </w:tcPr>
          <w:p>
            <w:pPr>
              <w:pStyle w:val="TableContents"/>
              <w:bidi w:val="0"/>
              <w:spacing w:before="0" w:after="0"/>
              <w:jc w:val="left"/>
              <w:rPr>
                <w:spacing w:val="0"/>
              </w:rPr>
            </w:pPr>
            <w:r>
              <w:rPr>
                <w:spacing w:val="0"/>
              </w:rPr>
              <w:t>  </w:t>
            </w:r>
          </w:p>
        </w:tc>
        <w:tc>
          <w:tcPr>
            <w:tcW w:w="241" w:type="dxa"/>
            <w:tcBorders/>
            <w:vAlign w:val="center"/>
          </w:tcPr>
          <w:p>
            <w:pPr>
              <w:pStyle w:val="TableContents"/>
              <w:bidi w:val="0"/>
              <w:spacing w:before="0" w:after="0"/>
              <w:jc w:val="left"/>
              <w:rPr>
                <w:spacing w:val="0"/>
              </w:rPr>
            </w:pPr>
            <w:r>
              <w:rPr>
                <w:spacing w:val="0"/>
              </w:rPr>
              <w:t> </w:t>
            </w:r>
          </w:p>
        </w:tc>
        <w:tc>
          <w:tcPr>
            <w:tcW w:w="1178" w:type="dxa"/>
            <w:tcBorders/>
            <w:vAlign w:val="center"/>
          </w:tcPr>
          <w:p>
            <w:pPr>
              <w:pStyle w:val="TableContents"/>
              <w:bidi w:val="0"/>
              <w:spacing w:before="0" w:after="0"/>
              <w:jc w:val="right"/>
              <w:rPr>
                <w:spacing w:val="0"/>
              </w:rPr>
            </w:pPr>
            <w:r>
              <w:rPr>
                <w:spacing w:val="0"/>
              </w:rPr>
              <w:t>24,447</w:t>
            </w:r>
          </w:p>
        </w:tc>
        <w:tc>
          <w:tcPr>
            <w:tcW w:w="178" w:type="dxa"/>
            <w:tcBorders/>
            <w:vAlign w:val="center"/>
          </w:tcPr>
          <w:p>
            <w:pPr>
              <w:pStyle w:val="TableContents"/>
              <w:bidi w:val="0"/>
              <w:spacing w:before="0" w:after="0"/>
              <w:jc w:val="left"/>
              <w:rPr>
                <w:spacing w:val="0"/>
              </w:rPr>
            </w:pPr>
            <w:r>
              <w:rPr>
                <w:spacing w:val="0"/>
              </w:rPr>
              <w:t> </w:t>
            </w:r>
          </w:p>
        </w:tc>
      </w:tr>
      <w:tr>
        <w:trPr/>
        <w:tc>
          <w:tcPr>
            <w:tcW w:w="3074"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Occupancy and all other costs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44" w:type="dxa"/>
            <w:tcBorders/>
            <w:shd w:fill="CCEEFF" w:val="clear"/>
            <w:vAlign w:val="center"/>
          </w:tcPr>
          <w:p>
            <w:pPr>
              <w:pStyle w:val="TableContents"/>
              <w:bidi w:val="0"/>
              <w:spacing w:before="0" w:after="0"/>
              <w:jc w:val="left"/>
              <w:rPr>
                <w:spacing w:val="0"/>
              </w:rPr>
            </w:pPr>
            <w:r>
              <w:rPr>
                <w:spacing w:val="0"/>
              </w:rPr>
              <w:t> </w:t>
            </w:r>
          </w:p>
        </w:tc>
        <w:tc>
          <w:tcPr>
            <w:tcW w:w="1193" w:type="dxa"/>
            <w:tcBorders/>
            <w:shd w:fill="CCEEFF" w:val="clear"/>
            <w:vAlign w:val="center"/>
          </w:tcPr>
          <w:p>
            <w:pPr>
              <w:pStyle w:val="TableContents"/>
              <w:bidi w:val="0"/>
              <w:spacing w:before="0" w:after="0"/>
              <w:jc w:val="right"/>
              <w:rPr>
                <w:spacing w:val="0"/>
              </w:rPr>
            </w:pPr>
            <w:r>
              <w:rPr>
                <w:spacing w:val="0"/>
              </w:rPr>
              <w:t>2,687</w:t>
            </w:r>
          </w:p>
        </w:tc>
        <w:tc>
          <w:tcPr>
            <w:tcW w:w="251" w:type="dxa"/>
            <w:tcBorders/>
            <w:shd w:fill="CCEEFF" w:val="clear"/>
            <w:vAlign w:val="center"/>
          </w:tcPr>
          <w:p>
            <w:pPr>
              <w:pStyle w:val="TableContents"/>
              <w:bidi w:val="0"/>
              <w:spacing w:before="0" w:after="0"/>
              <w:jc w:val="left"/>
              <w:rPr>
                <w:spacing w:val="0"/>
              </w:rPr>
            </w:pPr>
            <w:r>
              <w:rPr>
                <w:spacing w:val="0"/>
              </w:rPr>
              <w:t> </w:t>
            </w:r>
          </w:p>
        </w:tc>
        <w:tc>
          <w:tcPr>
            <w:tcW w:w="194" w:type="dxa"/>
            <w:tcBorders/>
            <w:shd w:fill="CCEEFF" w:val="clear"/>
            <w:vAlign w:val="center"/>
          </w:tcPr>
          <w:p>
            <w:pPr>
              <w:pStyle w:val="TableContents"/>
              <w:bidi w:val="0"/>
              <w:spacing w:before="0" w:after="0"/>
              <w:jc w:val="left"/>
              <w:rPr>
                <w:spacing w:val="0"/>
              </w:rPr>
            </w:pPr>
            <w:r>
              <w:rPr>
                <w:spacing w:val="0"/>
              </w:rPr>
              <w:t>  </w:t>
            </w:r>
          </w:p>
        </w:tc>
        <w:tc>
          <w:tcPr>
            <w:tcW w:w="244" w:type="dxa"/>
            <w:tcBorders/>
            <w:shd w:fill="CCEEFF" w:val="clear"/>
            <w:vAlign w:val="center"/>
          </w:tcPr>
          <w:p>
            <w:pPr>
              <w:pStyle w:val="TableContents"/>
              <w:bidi w:val="0"/>
              <w:spacing w:before="0" w:after="0"/>
              <w:jc w:val="left"/>
              <w:rPr>
                <w:spacing w:val="0"/>
              </w:rPr>
            </w:pPr>
            <w:r>
              <w:rPr>
                <w:spacing w:val="0"/>
              </w:rPr>
              <w:t> </w:t>
            </w:r>
          </w:p>
        </w:tc>
        <w:tc>
          <w:tcPr>
            <w:tcW w:w="1193" w:type="dxa"/>
            <w:tcBorders/>
            <w:shd w:fill="CCEEFF" w:val="clear"/>
            <w:vAlign w:val="center"/>
          </w:tcPr>
          <w:p>
            <w:pPr>
              <w:pStyle w:val="TableContents"/>
              <w:bidi w:val="0"/>
              <w:spacing w:before="0" w:after="0"/>
              <w:jc w:val="right"/>
              <w:rPr>
                <w:spacing w:val="0"/>
              </w:rPr>
            </w:pPr>
            <w:r>
              <w:rPr>
                <w:spacing w:val="0"/>
              </w:rPr>
              <w:t>1,872</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41" w:type="dxa"/>
            <w:tcBorders/>
            <w:shd w:fill="CCEEFF" w:val="clear"/>
            <w:vAlign w:val="center"/>
          </w:tcPr>
          <w:p>
            <w:pPr>
              <w:pStyle w:val="TableContents"/>
              <w:bidi w:val="0"/>
              <w:spacing w:before="0" w:after="0"/>
              <w:jc w:val="left"/>
              <w:rPr>
                <w:spacing w:val="0"/>
              </w:rPr>
            </w:pPr>
            <w:r>
              <w:rPr>
                <w:spacing w:val="0"/>
              </w:rPr>
              <w:t> </w:t>
            </w:r>
          </w:p>
        </w:tc>
        <w:tc>
          <w:tcPr>
            <w:tcW w:w="1178" w:type="dxa"/>
            <w:tcBorders/>
            <w:shd w:fill="CCEEFF" w:val="clear"/>
            <w:vAlign w:val="center"/>
          </w:tcPr>
          <w:p>
            <w:pPr>
              <w:pStyle w:val="TableContents"/>
              <w:bidi w:val="0"/>
              <w:spacing w:before="0" w:after="0"/>
              <w:jc w:val="right"/>
              <w:rPr>
                <w:spacing w:val="0"/>
              </w:rPr>
            </w:pPr>
            <w:r>
              <w:rPr>
                <w:spacing w:val="0"/>
              </w:rPr>
              <w:t>4,482</w:t>
            </w:r>
          </w:p>
        </w:tc>
        <w:tc>
          <w:tcPr>
            <w:tcW w:w="226" w:type="dxa"/>
            <w:tcBorders/>
            <w:shd w:fill="CCEEFF" w:val="clear"/>
            <w:vAlign w:val="center"/>
          </w:tcPr>
          <w:p>
            <w:pPr>
              <w:pStyle w:val="TableContents"/>
              <w:bidi w:val="0"/>
              <w:spacing w:before="0" w:after="0"/>
              <w:jc w:val="left"/>
              <w:rPr>
                <w:spacing w:val="0"/>
              </w:rPr>
            </w:pPr>
            <w:r>
              <w:rPr>
                <w:spacing w:val="0"/>
              </w:rPr>
              <w:t> </w:t>
            </w:r>
          </w:p>
        </w:tc>
        <w:tc>
          <w:tcPr>
            <w:tcW w:w="175" w:type="dxa"/>
            <w:tcBorders/>
            <w:shd w:fill="CCEEFF" w:val="clear"/>
            <w:vAlign w:val="center"/>
          </w:tcPr>
          <w:p>
            <w:pPr>
              <w:pStyle w:val="TableContents"/>
              <w:bidi w:val="0"/>
              <w:spacing w:before="0" w:after="0"/>
              <w:jc w:val="left"/>
              <w:rPr>
                <w:spacing w:val="0"/>
              </w:rPr>
            </w:pPr>
            <w:r>
              <w:rPr>
                <w:spacing w:val="0"/>
              </w:rPr>
              <w:t>  </w:t>
            </w:r>
          </w:p>
        </w:tc>
        <w:tc>
          <w:tcPr>
            <w:tcW w:w="241" w:type="dxa"/>
            <w:tcBorders/>
            <w:shd w:fill="CCEEFF" w:val="clear"/>
            <w:vAlign w:val="center"/>
          </w:tcPr>
          <w:p>
            <w:pPr>
              <w:pStyle w:val="TableContents"/>
              <w:bidi w:val="0"/>
              <w:spacing w:before="0" w:after="0"/>
              <w:jc w:val="left"/>
              <w:rPr>
                <w:spacing w:val="0"/>
              </w:rPr>
            </w:pPr>
            <w:r>
              <w:rPr>
                <w:spacing w:val="0"/>
              </w:rPr>
              <w:t> </w:t>
            </w:r>
          </w:p>
        </w:tc>
        <w:tc>
          <w:tcPr>
            <w:tcW w:w="1178" w:type="dxa"/>
            <w:tcBorders/>
            <w:shd w:fill="CCEEFF" w:val="clear"/>
            <w:vAlign w:val="center"/>
          </w:tcPr>
          <w:p>
            <w:pPr>
              <w:pStyle w:val="TableContents"/>
              <w:bidi w:val="0"/>
              <w:spacing w:before="0" w:after="0"/>
              <w:jc w:val="right"/>
              <w:rPr>
                <w:spacing w:val="0"/>
              </w:rPr>
            </w:pPr>
            <w:r>
              <w:rPr>
                <w:spacing w:val="0"/>
              </w:rPr>
              <w:t>3,915</w:t>
            </w:r>
          </w:p>
        </w:tc>
        <w:tc>
          <w:tcPr>
            <w:tcW w:w="178" w:type="dxa"/>
            <w:tcBorders/>
            <w:shd w:fill="CCEEFF" w:val="clear"/>
            <w:vAlign w:val="center"/>
          </w:tcPr>
          <w:p>
            <w:pPr>
              <w:pStyle w:val="TableContents"/>
              <w:bidi w:val="0"/>
              <w:spacing w:before="0" w:after="0"/>
              <w:jc w:val="left"/>
              <w:rPr>
                <w:spacing w:val="0"/>
              </w:rPr>
            </w:pPr>
            <w:r>
              <w:rPr>
                <w:spacing w:val="0"/>
              </w:rPr>
              <w:t> </w:t>
            </w:r>
          </w:p>
        </w:tc>
      </w:tr>
      <w:tr>
        <w:trPr/>
        <w:tc>
          <w:tcPr>
            <w:tcW w:w="307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2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9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51" w:type="dxa"/>
            <w:tcBorders/>
            <w:vAlign w:val="center"/>
          </w:tcPr>
          <w:p>
            <w:pPr>
              <w:pStyle w:val="TableContents"/>
              <w:bidi w:val="0"/>
              <w:spacing w:before="0" w:after="0"/>
              <w:jc w:val="left"/>
              <w:rPr>
                <w:spacing w:val="0"/>
              </w:rPr>
            </w:pPr>
            <w:r>
              <w:rPr>
                <w:spacing w:val="0"/>
              </w:rPr>
              <w:t> </w:t>
            </w:r>
          </w:p>
        </w:tc>
        <w:tc>
          <w:tcPr>
            <w:tcW w:w="194" w:type="dxa"/>
            <w:tcBorders/>
            <w:vAlign w:val="center"/>
          </w:tcPr>
          <w:p>
            <w:pPr>
              <w:pStyle w:val="TableContents"/>
              <w:bidi w:val="0"/>
              <w:spacing w:before="0" w:after="0"/>
              <w:jc w:val="left"/>
              <w:rPr>
                <w:spacing w:val="0"/>
              </w:rPr>
            </w:pPr>
            <w:r>
              <w:rPr>
                <w:spacing w:val="0"/>
              </w:rPr>
              <w:t>  </w:t>
            </w:r>
          </w:p>
        </w:tc>
        <w:tc>
          <w:tcPr>
            <w:tcW w:w="2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9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26" w:type="dxa"/>
            <w:tcBorders/>
            <w:vAlign w:val="center"/>
          </w:tcPr>
          <w:p>
            <w:pPr>
              <w:pStyle w:val="TableContents"/>
              <w:bidi w:val="0"/>
              <w:spacing w:before="0" w:after="0"/>
              <w:jc w:val="left"/>
              <w:rPr>
                <w:spacing w:val="0"/>
              </w:rPr>
            </w:pPr>
            <w:r>
              <w:rPr>
                <w:spacing w:val="0"/>
              </w:rPr>
              <w:t> </w:t>
            </w:r>
          </w:p>
        </w:tc>
        <w:tc>
          <w:tcPr>
            <w:tcW w:w="175" w:type="dxa"/>
            <w:tcBorders/>
            <w:vAlign w:val="center"/>
          </w:tcPr>
          <w:p>
            <w:pPr>
              <w:pStyle w:val="TableContents"/>
              <w:bidi w:val="0"/>
              <w:spacing w:before="0" w:after="0"/>
              <w:jc w:val="left"/>
              <w:rPr>
                <w:spacing w:val="0"/>
              </w:rPr>
            </w:pPr>
            <w:r>
              <w:rPr>
                <w:spacing w:val="0"/>
              </w:rPr>
              <w:t>  </w:t>
            </w:r>
          </w:p>
        </w:tc>
        <w:tc>
          <w:tcPr>
            <w:tcW w:w="2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8" w:type="dxa"/>
            <w:tcBorders/>
            <w:vAlign w:val="center"/>
          </w:tcPr>
          <w:p>
            <w:pPr>
              <w:pStyle w:val="TableContents"/>
              <w:bidi w:val="0"/>
              <w:spacing w:before="0" w:after="0"/>
              <w:jc w:val="left"/>
              <w:rPr>
                <w:spacing w:val="0"/>
              </w:rPr>
            </w:pPr>
            <w:r>
              <w:rPr>
                <w:spacing w:val="0"/>
              </w:rPr>
              <w:t> </w:t>
            </w:r>
          </w:p>
        </w:tc>
      </w:tr>
      <w:tr>
        <w:trPr/>
        <w:tc>
          <w:tcPr>
            <w:tcW w:w="3074"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research and development expense</w:t>
            </w:r>
          </w:p>
        </w:tc>
        <w:tc>
          <w:tcPr>
            <w:tcW w:w="120" w:type="dxa"/>
            <w:tcBorders/>
            <w:vAlign w:val="center"/>
          </w:tcPr>
          <w:p>
            <w:pPr>
              <w:pStyle w:val="TableContents"/>
              <w:bidi w:val="0"/>
              <w:spacing w:before="0" w:after="0"/>
              <w:jc w:val="left"/>
              <w:rPr>
                <w:spacing w:val="0"/>
              </w:rPr>
            </w:pPr>
            <w:r>
              <w:rPr>
                <w:spacing w:val="0"/>
              </w:rPr>
              <w:t>  </w:t>
            </w:r>
          </w:p>
        </w:tc>
        <w:tc>
          <w:tcPr>
            <w:tcW w:w="244" w:type="dxa"/>
            <w:tcBorders/>
            <w:vAlign w:val="center"/>
          </w:tcPr>
          <w:p>
            <w:pPr>
              <w:pStyle w:val="TableContents"/>
              <w:bidi w:val="0"/>
              <w:spacing w:before="0" w:after="0"/>
              <w:jc w:val="left"/>
              <w:rPr>
                <w:spacing w:val="0"/>
              </w:rPr>
            </w:pPr>
            <w:r>
              <w:rPr>
                <w:spacing w:val="0"/>
              </w:rPr>
              <w:t>$</w:t>
            </w:r>
          </w:p>
        </w:tc>
        <w:tc>
          <w:tcPr>
            <w:tcW w:w="1193" w:type="dxa"/>
            <w:tcBorders/>
            <w:vAlign w:val="center"/>
          </w:tcPr>
          <w:p>
            <w:pPr>
              <w:pStyle w:val="TableContents"/>
              <w:bidi w:val="0"/>
              <w:spacing w:before="0" w:after="0"/>
              <w:jc w:val="right"/>
              <w:rPr>
                <w:spacing w:val="0"/>
              </w:rPr>
            </w:pPr>
            <w:r>
              <w:rPr>
                <w:spacing w:val="0"/>
              </w:rPr>
              <w:t>20,861</w:t>
            </w:r>
          </w:p>
        </w:tc>
        <w:tc>
          <w:tcPr>
            <w:tcW w:w="251" w:type="dxa"/>
            <w:tcBorders/>
            <w:vAlign w:val="center"/>
          </w:tcPr>
          <w:p>
            <w:pPr>
              <w:pStyle w:val="TableContents"/>
              <w:bidi w:val="0"/>
              <w:spacing w:before="0" w:after="0"/>
              <w:jc w:val="left"/>
              <w:rPr>
                <w:spacing w:val="0"/>
              </w:rPr>
            </w:pPr>
            <w:r>
              <w:rPr>
                <w:spacing w:val="0"/>
              </w:rPr>
              <w:t> </w:t>
            </w:r>
          </w:p>
        </w:tc>
        <w:tc>
          <w:tcPr>
            <w:tcW w:w="194" w:type="dxa"/>
            <w:tcBorders/>
            <w:vAlign w:val="center"/>
          </w:tcPr>
          <w:p>
            <w:pPr>
              <w:pStyle w:val="TableContents"/>
              <w:bidi w:val="0"/>
              <w:spacing w:before="0" w:after="0"/>
              <w:jc w:val="left"/>
              <w:rPr>
                <w:spacing w:val="0"/>
              </w:rPr>
            </w:pPr>
            <w:r>
              <w:rPr>
                <w:spacing w:val="0"/>
              </w:rPr>
              <w:t>  </w:t>
            </w:r>
          </w:p>
        </w:tc>
        <w:tc>
          <w:tcPr>
            <w:tcW w:w="244" w:type="dxa"/>
            <w:tcBorders/>
            <w:vAlign w:val="center"/>
          </w:tcPr>
          <w:p>
            <w:pPr>
              <w:pStyle w:val="TableContents"/>
              <w:bidi w:val="0"/>
              <w:spacing w:before="0" w:after="0"/>
              <w:jc w:val="left"/>
              <w:rPr>
                <w:spacing w:val="0"/>
              </w:rPr>
            </w:pPr>
            <w:r>
              <w:rPr>
                <w:spacing w:val="0"/>
              </w:rPr>
              <w:t>$</w:t>
            </w:r>
          </w:p>
        </w:tc>
        <w:tc>
          <w:tcPr>
            <w:tcW w:w="1193" w:type="dxa"/>
            <w:tcBorders/>
            <w:vAlign w:val="center"/>
          </w:tcPr>
          <w:p>
            <w:pPr>
              <w:pStyle w:val="TableContents"/>
              <w:bidi w:val="0"/>
              <w:spacing w:before="0" w:after="0"/>
              <w:jc w:val="right"/>
              <w:rPr>
                <w:spacing w:val="0"/>
              </w:rPr>
            </w:pPr>
            <w:r>
              <w:rPr>
                <w:spacing w:val="0"/>
              </w:rPr>
              <w:t>21,784</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41" w:type="dxa"/>
            <w:tcBorders/>
            <w:vAlign w:val="center"/>
          </w:tcPr>
          <w:p>
            <w:pPr>
              <w:pStyle w:val="TableContents"/>
              <w:bidi w:val="0"/>
              <w:spacing w:before="0" w:after="0"/>
              <w:jc w:val="left"/>
              <w:rPr>
                <w:spacing w:val="0"/>
              </w:rPr>
            </w:pPr>
            <w:r>
              <w:rPr>
                <w:spacing w:val="0"/>
              </w:rPr>
              <w:t>$</w:t>
            </w:r>
          </w:p>
        </w:tc>
        <w:tc>
          <w:tcPr>
            <w:tcW w:w="1178" w:type="dxa"/>
            <w:tcBorders/>
            <w:vAlign w:val="center"/>
          </w:tcPr>
          <w:p>
            <w:pPr>
              <w:pStyle w:val="TableContents"/>
              <w:bidi w:val="0"/>
              <w:spacing w:before="0" w:after="0"/>
              <w:jc w:val="right"/>
              <w:rPr>
                <w:spacing w:val="0"/>
              </w:rPr>
            </w:pPr>
            <w:r>
              <w:rPr>
                <w:spacing w:val="0"/>
              </w:rPr>
              <w:t>35,913</w:t>
            </w:r>
          </w:p>
        </w:tc>
        <w:tc>
          <w:tcPr>
            <w:tcW w:w="226" w:type="dxa"/>
            <w:tcBorders/>
            <w:vAlign w:val="center"/>
          </w:tcPr>
          <w:p>
            <w:pPr>
              <w:pStyle w:val="TableContents"/>
              <w:bidi w:val="0"/>
              <w:spacing w:before="0" w:after="0"/>
              <w:jc w:val="left"/>
              <w:rPr>
                <w:spacing w:val="0"/>
              </w:rPr>
            </w:pPr>
            <w:r>
              <w:rPr>
                <w:spacing w:val="0"/>
              </w:rPr>
              <w:t> </w:t>
            </w:r>
          </w:p>
        </w:tc>
        <w:tc>
          <w:tcPr>
            <w:tcW w:w="175" w:type="dxa"/>
            <w:tcBorders/>
            <w:vAlign w:val="center"/>
          </w:tcPr>
          <w:p>
            <w:pPr>
              <w:pStyle w:val="TableContents"/>
              <w:bidi w:val="0"/>
              <w:spacing w:before="0" w:after="0"/>
              <w:jc w:val="left"/>
              <w:rPr>
                <w:spacing w:val="0"/>
              </w:rPr>
            </w:pPr>
            <w:r>
              <w:rPr>
                <w:spacing w:val="0"/>
              </w:rPr>
              <w:t>  </w:t>
            </w:r>
          </w:p>
        </w:tc>
        <w:tc>
          <w:tcPr>
            <w:tcW w:w="241" w:type="dxa"/>
            <w:tcBorders/>
            <w:vAlign w:val="center"/>
          </w:tcPr>
          <w:p>
            <w:pPr>
              <w:pStyle w:val="TableContents"/>
              <w:bidi w:val="0"/>
              <w:spacing w:before="0" w:after="0"/>
              <w:jc w:val="left"/>
              <w:rPr>
                <w:spacing w:val="0"/>
              </w:rPr>
            </w:pPr>
            <w:r>
              <w:rPr>
                <w:spacing w:val="0"/>
              </w:rPr>
              <w:t>$</w:t>
            </w:r>
          </w:p>
        </w:tc>
        <w:tc>
          <w:tcPr>
            <w:tcW w:w="1178" w:type="dxa"/>
            <w:tcBorders/>
            <w:vAlign w:val="center"/>
          </w:tcPr>
          <w:p>
            <w:pPr>
              <w:pStyle w:val="TableContents"/>
              <w:bidi w:val="0"/>
              <w:spacing w:before="0" w:after="0"/>
              <w:jc w:val="right"/>
              <w:rPr>
                <w:spacing w:val="0"/>
              </w:rPr>
            </w:pPr>
            <w:r>
              <w:rPr>
                <w:spacing w:val="0"/>
              </w:rPr>
              <w:t>42,085</w:t>
            </w:r>
          </w:p>
        </w:tc>
        <w:tc>
          <w:tcPr>
            <w:tcW w:w="178" w:type="dxa"/>
            <w:tcBorders/>
            <w:vAlign w:val="center"/>
          </w:tcPr>
          <w:p>
            <w:pPr>
              <w:pStyle w:val="TableContents"/>
              <w:bidi w:val="0"/>
              <w:spacing w:before="0" w:after="0"/>
              <w:jc w:val="left"/>
              <w:rPr>
                <w:spacing w:val="0"/>
              </w:rPr>
            </w:pPr>
            <w:r>
              <w:rPr>
                <w:spacing w:val="0"/>
              </w:rPr>
              <w:t> </w:t>
            </w:r>
          </w:p>
        </w:tc>
      </w:tr>
      <w:tr>
        <w:trPr/>
        <w:tc>
          <w:tcPr>
            <w:tcW w:w="3074"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General and administrative expenses(3):</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44"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0"/>
              <w:jc w:val="left"/>
              <w:rPr>
                <w:spacing w:val="0"/>
              </w:rPr>
            </w:pPr>
            <w:r>
              <w:rPr>
                <w:spacing w:val="0"/>
              </w:rPr>
              <w:t>  </w:t>
            </w:r>
          </w:p>
        </w:tc>
        <w:tc>
          <w:tcPr>
            <w:tcW w:w="244"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4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0"/>
              <w:jc w:val="left"/>
              <w:rPr>
                <w:spacing w:val="0"/>
              </w:rPr>
            </w:pPr>
            <w:r>
              <w:rPr>
                <w:spacing w:val="0"/>
              </w:rPr>
              <w:t>  </w:t>
            </w:r>
          </w:p>
        </w:tc>
        <w:tc>
          <w:tcPr>
            <w:tcW w:w="24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r>
      <w:tr>
        <w:trPr/>
        <w:tc>
          <w:tcPr>
            <w:tcW w:w="3074"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Compensation and related expenses</w:t>
            </w:r>
          </w:p>
        </w:tc>
        <w:tc>
          <w:tcPr>
            <w:tcW w:w="120" w:type="dxa"/>
            <w:tcBorders/>
            <w:vAlign w:val="center"/>
          </w:tcPr>
          <w:p>
            <w:pPr>
              <w:pStyle w:val="TableContents"/>
              <w:bidi w:val="0"/>
              <w:spacing w:before="0" w:after="0"/>
              <w:jc w:val="left"/>
              <w:rPr>
                <w:spacing w:val="0"/>
              </w:rPr>
            </w:pPr>
            <w:r>
              <w:rPr>
                <w:spacing w:val="0"/>
              </w:rPr>
              <w:t>  </w:t>
            </w:r>
          </w:p>
        </w:tc>
        <w:tc>
          <w:tcPr>
            <w:tcW w:w="244" w:type="dxa"/>
            <w:tcBorders/>
            <w:vAlign w:val="center"/>
          </w:tcPr>
          <w:p>
            <w:pPr>
              <w:pStyle w:val="TableContents"/>
              <w:bidi w:val="0"/>
              <w:spacing w:before="0" w:after="0"/>
              <w:jc w:val="left"/>
              <w:rPr>
                <w:spacing w:val="0"/>
              </w:rPr>
            </w:pPr>
            <w:r>
              <w:rPr>
                <w:spacing w:val="0"/>
              </w:rPr>
              <w:t> </w:t>
            </w:r>
          </w:p>
        </w:tc>
        <w:tc>
          <w:tcPr>
            <w:tcW w:w="1193" w:type="dxa"/>
            <w:tcBorders/>
            <w:vAlign w:val="center"/>
          </w:tcPr>
          <w:p>
            <w:pPr>
              <w:pStyle w:val="TableContents"/>
              <w:bidi w:val="0"/>
              <w:spacing w:before="0" w:after="0"/>
              <w:jc w:val="right"/>
              <w:rPr>
                <w:spacing w:val="0"/>
              </w:rPr>
            </w:pPr>
            <w:r>
              <w:rPr>
                <w:spacing w:val="0"/>
              </w:rPr>
              <w:t>2,096</w:t>
            </w:r>
          </w:p>
        </w:tc>
        <w:tc>
          <w:tcPr>
            <w:tcW w:w="251" w:type="dxa"/>
            <w:tcBorders/>
            <w:vAlign w:val="center"/>
          </w:tcPr>
          <w:p>
            <w:pPr>
              <w:pStyle w:val="TableContents"/>
              <w:bidi w:val="0"/>
              <w:spacing w:before="0" w:after="0"/>
              <w:jc w:val="left"/>
              <w:rPr>
                <w:spacing w:val="0"/>
              </w:rPr>
            </w:pPr>
            <w:r>
              <w:rPr>
                <w:spacing w:val="0"/>
              </w:rPr>
              <w:t> </w:t>
            </w:r>
          </w:p>
        </w:tc>
        <w:tc>
          <w:tcPr>
            <w:tcW w:w="194" w:type="dxa"/>
            <w:tcBorders/>
            <w:vAlign w:val="center"/>
          </w:tcPr>
          <w:p>
            <w:pPr>
              <w:pStyle w:val="TableContents"/>
              <w:bidi w:val="0"/>
              <w:spacing w:before="0" w:after="0"/>
              <w:jc w:val="left"/>
              <w:rPr>
                <w:spacing w:val="0"/>
              </w:rPr>
            </w:pPr>
            <w:r>
              <w:rPr>
                <w:spacing w:val="0"/>
              </w:rPr>
              <w:t>  </w:t>
            </w:r>
          </w:p>
        </w:tc>
        <w:tc>
          <w:tcPr>
            <w:tcW w:w="244" w:type="dxa"/>
            <w:tcBorders/>
            <w:vAlign w:val="center"/>
          </w:tcPr>
          <w:p>
            <w:pPr>
              <w:pStyle w:val="TableContents"/>
              <w:bidi w:val="0"/>
              <w:spacing w:before="0" w:after="0"/>
              <w:jc w:val="left"/>
              <w:rPr>
                <w:spacing w:val="0"/>
              </w:rPr>
            </w:pPr>
            <w:r>
              <w:rPr>
                <w:spacing w:val="0"/>
              </w:rPr>
              <w:t> </w:t>
            </w:r>
          </w:p>
        </w:tc>
        <w:tc>
          <w:tcPr>
            <w:tcW w:w="1193" w:type="dxa"/>
            <w:tcBorders/>
            <w:vAlign w:val="center"/>
          </w:tcPr>
          <w:p>
            <w:pPr>
              <w:pStyle w:val="TableContents"/>
              <w:bidi w:val="0"/>
              <w:spacing w:before="0" w:after="0"/>
              <w:jc w:val="right"/>
              <w:rPr>
                <w:spacing w:val="0"/>
              </w:rPr>
            </w:pPr>
            <w:r>
              <w:rPr>
                <w:spacing w:val="0"/>
              </w:rPr>
              <w:t>2,228</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41" w:type="dxa"/>
            <w:tcBorders/>
            <w:vAlign w:val="center"/>
          </w:tcPr>
          <w:p>
            <w:pPr>
              <w:pStyle w:val="TableContents"/>
              <w:bidi w:val="0"/>
              <w:spacing w:before="0" w:after="0"/>
              <w:jc w:val="left"/>
              <w:rPr>
                <w:spacing w:val="0"/>
              </w:rPr>
            </w:pPr>
            <w:r>
              <w:rPr>
                <w:spacing w:val="0"/>
              </w:rPr>
              <w:t> </w:t>
            </w:r>
          </w:p>
        </w:tc>
        <w:tc>
          <w:tcPr>
            <w:tcW w:w="1178" w:type="dxa"/>
            <w:tcBorders/>
            <w:vAlign w:val="center"/>
          </w:tcPr>
          <w:p>
            <w:pPr>
              <w:pStyle w:val="TableContents"/>
              <w:bidi w:val="0"/>
              <w:spacing w:before="0" w:after="0"/>
              <w:jc w:val="right"/>
              <w:rPr>
                <w:spacing w:val="0"/>
              </w:rPr>
            </w:pPr>
            <w:r>
              <w:rPr>
                <w:spacing w:val="0"/>
              </w:rPr>
              <w:t>4,359</w:t>
            </w:r>
          </w:p>
        </w:tc>
        <w:tc>
          <w:tcPr>
            <w:tcW w:w="226" w:type="dxa"/>
            <w:tcBorders/>
            <w:vAlign w:val="center"/>
          </w:tcPr>
          <w:p>
            <w:pPr>
              <w:pStyle w:val="TableContents"/>
              <w:bidi w:val="0"/>
              <w:spacing w:before="0" w:after="0"/>
              <w:jc w:val="left"/>
              <w:rPr>
                <w:spacing w:val="0"/>
              </w:rPr>
            </w:pPr>
            <w:r>
              <w:rPr>
                <w:spacing w:val="0"/>
              </w:rPr>
              <w:t> </w:t>
            </w:r>
          </w:p>
        </w:tc>
        <w:tc>
          <w:tcPr>
            <w:tcW w:w="175" w:type="dxa"/>
            <w:tcBorders/>
            <w:vAlign w:val="center"/>
          </w:tcPr>
          <w:p>
            <w:pPr>
              <w:pStyle w:val="TableContents"/>
              <w:bidi w:val="0"/>
              <w:spacing w:before="0" w:after="0"/>
              <w:jc w:val="left"/>
              <w:rPr>
                <w:spacing w:val="0"/>
              </w:rPr>
            </w:pPr>
            <w:r>
              <w:rPr>
                <w:spacing w:val="0"/>
              </w:rPr>
              <w:t>  </w:t>
            </w:r>
          </w:p>
        </w:tc>
        <w:tc>
          <w:tcPr>
            <w:tcW w:w="241" w:type="dxa"/>
            <w:tcBorders/>
            <w:vAlign w:val="center"/>
          </w:tcPr>
          <w:p>
            <w:pPr>
              <w:pStyle w:val="TableContents"/>
              <w:bidi w:val="0"/>
              <w:spacing w:before="0" w:after="0"/>
              <w:jc w:val="left"/>
              <w:rPr>
                <w:spacing w:val="0"/>
              </w:rPr>
            </w:pPr>
            <w:r>
              <w:rPr>
                <w:spacing w:val="0"/>
              </w:rPr>
              <w:t> </w:t>
            </w:r>
          </w:p>
        </w:tc>
        <w:tc>
          <w:tcPr>
            <w:tcW w:w="1178" w:type="dxa"/>
            <w:tcBorders/>
            <w:vAlign w:val="center"/>
          </w:tcPr>
          <w:p>
            <w:pPr>
              <w:pStyle w:val="TableContents"/>
              <w:bidi w:val="0"/>
              <w:spacing w:before="0" w:after="0"/>
              <w:jc w:val="right"/>
              <w:rPr>
                <w:spacing w:val="0"/>
              </w:rPr>
            </w:pPr>
            <w:r>
              <w:rPr>
                <w:spacing w:val="0"/>
              </w:rPr>
              <w:t>4,576</w:t>
            </w:r>
          </w:p>
        </w:tc>
        <w:tc>
          <w:tcPr>
            <w:tcW w:w="178" w:type="dxa"/>
            <w:tcBorders/>
            <w:vAlign w:val="center"/>
          </w:tcPr>
          <w:p>
            <w:pPr>
              <w:pStyle w:val="TableContents"/>
              <w:bidi w:val="0"/>
              <w:spacing w:before="0" w:after="0"/>
              <w:jc w:val="left"/>
              <w:rPr>
                <w:spacing w:val="0"/>
              </w:rPr>
            </w:pPr>
            <w:r>
              <w:rPr>
                <w:spacing w:val="0"/>
              </w:rPr>
              <w:t> </w:t>
            </w:r>
          </w:p>
        </w:tc>
      </w:tr>
      <w:tr>
        <w:trPr/>
        <w:tc>
          <w:tcPr>
            <w:tcW w:w="3074"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Consulting and professional services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44" w:type="dxa"/>
            <w:tcBorders/>
            <w:shd w:fill="CCEEFF" w:val="clear"/>
            <w:vAlign w:val="center"/>
          </w:tcPr>
          <w:p>
            <w:pPr>
              <w:pStyle w:val="TableContents"/>
              <w:bidi w:val="0"/>
              <w:spacing w:before="0" w:after="0"/>
              <w:jc w:val="left"/>
              <w:rPr>
                <w:spacing w:val="0"/>
              </w:rPr>
            </w:pPr>
            <w:r>
              <w:rPr>
                <w:spacing w:val="0"/>
              </w:rPr>
              <w:t> </w:t>
            </w:r>
          </w:p>
        </w:tc>
        <w:tc>
          <w:tcPr>
            <w:tcW w:w="1193" w:type="dxa"/>
            <w:tcBorders/>
            <w:shd w:fill="CCEEFF" w:val="clear"/>
            <w:vAlign w:val="center"/>
          </w:tcPr>
          <w:p>
            <w:pPr>
              <w:pStyle w:val="TableContents"/>
              <w:bidi w:val="0"/>
              <w:spacing w:before="0" w:after="0"/>
              <w:jc w:val="right"/>
              <w:rPr>
                <w:spacing w:val="0"/>
              </w:rPr>
            </w:pPr>
            <w:r>
              <w:rPr>
                <w:spacing w:val="0"/>
              </w:rPr>
              <w:t>1,244</w:t>
            </w:r>
          </w:p>
        </w:tc>
        <w:tc>
          <w:tcPr>
            <w:tcW w:w="251" w:type="dxa"/>
            <w:tcBorders/>
            <w:shd w:fill="CCEEFF" w:val="clear"/>
            <w:vAlign w:val="center"/>
          </w:tcPr>
          <w:p>
            <w:pPr>
              <w:pStyle w:val="TableContents"/>
              <w:bidi w:val="0"/>
              <w:spacing w:before="0" w:after="0"/>
              <w:jc w:val="left"/>
              <w:rPr>
                <w:spacing w:val="0"/>
              </w:rPr>
            </w:pPr>
            <w:r>
              <w:rPr>
                <w:spacing w:val="0"/>
              </w:rPr>
              <w:t> </w:t>
            </w:r>
          </w:p>
        </w:tc>
        <w:tc>
          <w:tcPr>
            <w:tcW w:w="194" w:type="dxa"/>
            <w:tcBorders/>
            <w:shd w:fill="CCEEFF" w:val="clear"/>
            <w:vAlign w:val="center"/>
          </w:tcPr>
          <w:p>
            <w:pPr>
              <w:pStyle w:val="TableContents"/>
              <w:bidi w:val="0"/>
              <w:spacing w:before="0" w:after="0"/>
              <w:jc w:val="left"/>
              <w:rPr>
                <w:spacing w:val="0"/>
              </w:rPr>
            </w:pPr>
            <w:r>
              <w:rPr>
                <w:spacing w:val="0"/>
              </w:rPr>
              <w:t>  </w:t>
            </w:r>
          </w:p>
        </w:tc>
        <w:tc>
          <w:tcPr>
            <w:tcW w:w="244" w:type="dxa"/>
            <w:tcBorders/>
            <w:shd w:fill="CCEEFF" w:val="clear"/>
            <w:vAlign w:val="center"/>
          </w:tcPr>
          <w:p>
            <w:pPr>
              <w:pStyle w:val="TableContents"/>
              <w:bidi w:val="0"/>
              <w:spacing w:before="0" w:after="0"/>
              <w:jc w:val="left"/>
              <w:rPr>
                <w:spacing w:val="0"/>
              </w:rPr>
            </w:pPr>
            <w:r>
              <w:rPr>
                <w:spacing w:val="0"/>
              </w:rPr>
              <w:t> </w:t>
            </w:r>
          </w:p>
        </w:tc>
        <w:tc>
          <w:tcPr>
            <w:tcW w:w="1193" w:type="dxa"/>
            <w:tcBorders/>
            <w:shd w:fill="CCEEFF" w:val="clear"/>
            <w:vAlign w:val="center"/>
          </w:tcPr>
          <w:p>
            <w:pPr>
              <w:pStyle w:val="TableContents"/>
              <w:bidi w:val="0"/>
              <w:spacing w:before="0" w:after="0"/>
              <w:jc w:val="right"/>
              <w:rPr>
                <w:spacing w:val="0"/>
              </w:rPr>
            </w:pPr>
            <w:r>
              <w:rPr>
                <w:spacing w:val="0"/>
              </w:rPr>
              <w:t>1,010</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41" w:type="dxa"/>
            <w:tcBorders/>
            <w:shd w:fill="CCEEFF" w:val="clear"/>
            <w:vAlign w:val="center"/>
          </w:tcPr>
          <w:p>
            <w:pPr>
              <w:pStyle w:val="TableContents"/>
              <w:bidi w:val="0"/>
              <w:spacing w:before="0" w:after="0"/>
              <w:jc w:val="left"/>
              <w:rPr>
                <w:spacing w:val="0"/>
              </w:rPr>
            </w:pPr>
            <w:r>
              <w:rPr>
                <w:spacing w:val="0"/>
              </w:rPr>
              <w:t> </w:t>
            </w:r>
          </w:p>
        </w:tc>
        <w:tc>
          <w:tcPr>
            <w:tcW w:w="1178" w:type="dxa"/>
            <w:tcBorders/>
            <w:shd w:fill="CCEEFF" w:val="clear"/>
            <w:vAlign w:val="center"/>
          </w:tcPr>
          <w:p>
            <w:pPr>
              <w:pStyle w:val="TableContents"/>
              <w:bidi w:val="0"/>
              <w:spacing w:before="0" w:after="0"/>
              <w:jc w:val="right"/>
              <w:rPr>
                <w:spacing w:val="0"/>
              </w:rPr>
            </w:pPr>
            <w:r>
              <w:rPr>
                <w:spacing w:val="0"/>
              </w:rPr>
              <w:t>2,441</w:t>
            </w:r>
          </w:p>
        </w:tc>
        <w:tc>
          <w:tcPr>
            <w:tcW w:w="226" w:type="dxa"/>
            <w:tcBorders/>
            <w:shd w:fill="CCEEFF" w:val="clear"/>
            <w:vAlign w:val="center"/>
          </w:tcPr>
          <w:p>
            <w:pPr>
              <w:pStyle w:val="TableContents"/>
              <w:bidi w:val="0"/>
              <w:spacing w:before="0" w:after="0"/>
              <w:jc w:val="left"/>
              <w:rPr>
                <w:spacing w:val="0"/>
              </w:rPr>
            </w:pPr>
            <w:r>
              <w:rPr>
                <w:spacing w:val="0"/>
              </w:rPr>
              <w:t> </w:t>
            </w:r>
          </w:p>
        </w:tc>
        <w:tc>
          <w:tcPr>
            <w:tcW w:w="175" w:type="dxa"/>
            <w:tcBorders/>
            <w:shd w:fill="CCEEFF" w:val="clear"/>
            <w:vAlign w:val="center"/>
          </w:tcPr>
          <w:p>
            <w:pPr>
              <w:pStyle w:val="TableContents"/>
              <w:bidi w:val="0"/>
              <w:spacing w:before="0" w:after="0"/>
              <w:jc w:val="left"/>
              <w:rPr>
                <w:spacing w:val="0"/>
              </w:rPr>
            </w:pPr>
            <w:r>
              <w:rPr>
                <w:spacing w:val="0"/>
              </w:rPr>
              <w:t>  </w:t>
            </w:r>
          </w:p>
        </w:tc>
        <w:tc>
          <w:tcPr>
            <w:tcW w:w="241" w:type="dxa"/>
            <w:tcBorders/>
            <w:shd w:fill="CCEEFF" w:val="clear"/>
            <w:vAlign w:val="center"/>
          </w:tcPr>
          <w:p>
            <w:pPr>
              <w:pStyle w:val="TableContents"/>
              <w:bidi w:val="0"/>
              <w:spacing w:before="0" w:after="0"/>
              <w:jc w:val="left"/>
              <w:rPr>
                <w:spacing w:val="0"/>
              </w:rPr>
            </w:pPr>
            <w:r>
              <w:rPr>
                <w:spacing w:val="0"/>
              </w:rPr>
              <w:t> </w:t>
            </w:r>
          </w:p>
        </w:tc>
        <w:tc>
          <w:tcPr>
            <w:tcW w:w="1178" w:type="dxa"/>
            <w:tcBorders/>
            <w:shd w:fill="CCEEFF" w:val="clear"/>
            <w:vAlign w:val="center"/>
          </w:tcPr>
          <w:p>
            <w:pPr>
              <w:pStyle w:val="TableContents"/>
              <w:bidi w:val="0"/>
              <w:spacing w:before="0" w:after="0"/>
              <w:jc w:val="right"/>
              <w:rPr>
                <w:spacing w:val="0"/>
              </w:rPr>
            </w:pPr>
            <w:r>
              <w:rPr>
                <w:spacing w:val="0"/>
              </w:rPr>
              <w:t>2,249</w:t>
            </w:r>
          </w:p>
        </w:tc>
        <w:tc>
          <w:tcPr>
            <w:tcW w:w="178" w:type="dxa"/>
            <w:tcBorders/>
            <w:shd w:fill="CCEEFF" w:val="clear"/>
            <w:vAlign w:val="center"/>
          </w:tcPr>
          <w:p>
            <w:pPr>
              <w:pStyle w:val="TableContents"/>
              <w:bidi w:val="0"/>
              <w:spacing w:before="0" w:after="0"/>
              <w:jc w:val="left"/>
              <w:rPr>
                <w:spacing w:val="0"/>
              </w:rPr>
            </w:pPr>
            <w:r>
              <w:rPr>
                <w:spacing w:val="0"/>
              </w:rPr>
              <w:t> </w:t>
            </w:r>
          </w:p>
        </w:tc>
      </w:tr>
      <w:tr>
        <w:trPr/>
        <w:tc>
          <w:tcPr>
            <w:tcW w:w="3074"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Occupancy and all other costs</w:t>
            </w:r>
          </w:p>
        </w:tc>
        <w:tc>
          <w:tcPr>
            <w:tcW w:w="120" w:type="dxa"/>
            <w:tcBorders/>
            <w:vAlign w:val="center"/>
          </w:tcPr>
          <w:p>
            <w:pPr>
              <w:pStyle w:val="TableContents"/>
              <w:bidi w:val="0"/>
              <w:spacing w:before="0" w:after="0"/>
              <w:jc w:val="left"/>
              <w:rPr>
                <w:spacing w:val="0"/>
              </w:rPr>
            </w:pPr>
            <w:r>
              <w:rPr>
                <w:spacing w:val="0"/>
              </w:rPr>
              <w:t>  </w:t>
            </w:r>
          </w:p>
        </w:tc>
        <w:tc>
          <w:tcPr>
            <w:tcW w:w="244" w:type="dxa"/>
            <w:tcBorders/>
            <w:vAlign w:val="center"/>
          </w:tcPr>
          <w:p>
            <w:pPr>
              <w:pStyle w:val="TableContents"/>
              <w:bidi w:val="0"/>
              <w:spacing w:before="0" w:after="0"/>
              <w:jc w:val="left"/>
              <w:rPr>
                <w:spacing w:val="0"/>
              </w:rPr>
            </w:pPr>
            <w:r>
              <w:rPr>
                <w:spacing w:val="0"/>
              </w:rPr>
              <w:t> </w:t>
            </w:r>
          </w:p>
        </w:tc>
        <w:tc>
          <w:tcPr>
            <w:tcW w:w="1193" w:type="dxa"/>
            <w:tcBorders/>
            <w:vAlign w:val="center"/>
          </w:tcPr>
          <w:p>
            <w:pPr>
              <w:pStyle w:val="TableContents"/>
              <w:bidi w:val="0"/>
              <w:spacing w:before="0" w:after="0"/>
              <w:jc w:val="right"/>
              <w:rPr>
                <w:spacing w:val="0"/>
              </w:rPr>
            </w:pPr>
            <w:r>
              <w:rPr>
                <w:spacing w:val="0"/>
              </w:rPr>
              <w:t>387</w:t>
            </w:r>
          </w:p>
        </w:tc>
        <w:tc>
          <w:tcPr>
            <w:tcW w:w="251" w:type="dxa"/>
            <w:tcBorders/>
            <w:vAlign w:val="center"/>
          </w:tcPr>
          <w:p>
            <w:pPr>
              <w:pStyle w:val="TableContents"/>
              <w:bidi w:val="0"/>
              <w:spacing w:before="0" w:after="0"/>
              <w:jc w:val="left"/>
              <w:rPr>
                <w:spacing w:val="0"/>
              </w:rPr>
            </w:pPr>
            <w:r>
              <w:rPr>
                <w:spacing w:val="0"/>
              </w:rPr>
              <w:t> </w:t>
            </w:r>
          </w:p>
        </w:tc>
        <w:tc>
          <w:tcPr>
            <w:tcW w:w="194" w:type="dxa"/>
            <w:tcBorders/>
            <w:vAlign w:val="center"/>
          </w:tcPr>
          <w:p>
            <w:pPr>
              <w:pStyle w:val="TableContents"/>
              <w:bidi w:val="0"/>
              <w:spacing w:before="0" w:after="0"/>
              <w:jc w:val="left"/>
              <w:rPr>
                <w:spacing w:val="0"/>
              </w:rPr>
            </w:pPr>
            <w:r>
              <w:rPr>
                <w:spacing w:val="0"/>
              </w:rPr>
              <w:t>  </w:t>
            </w:r>
          </w:p>
        </w:tc>
        <w:tc>
          <w:tcPr>
            <w:tcW w:w="244" w:type="dxa"/>
            <w:tcBorders/>
            <w:vAlign w:val="center"/>
          </w:tcPr>
          <w:p>
            <w:pPr>
              <w:pStyle w:val="TableContents"/>
              <w:bidi w:val="0"/>
              <w:spacing w:before="0" w:after="0"/>
              <w:jc w:val="left"/>
              <w:rPr>
                <w:spacing w:val="0"/>
              </w:rPr>
            </w:pPr>
            <w:r>
              <w:rPr>
                <w:spacing w:val="0"/>
              </w:rPr>
              <w:t> </w:t>
            </w:r>
          </w:p>
        </w:tc>
        <w:tc>
          <w:tcPr>
            <w:tcW w:w="1193" w:type="dxa"/>
            <w:tcBorders/>
            <w:vAlign w:val="center"/>
          </w:tcPr>
          <w:p>
            <w:pPr>
              <w:pStyle w:val="TableContents"/>
              <w:bidi w:val="0"/>
              <w:spacing w:before="0" w:after="0"/>
              <w:jc w:val="right"/>
              <w:rPr>
                <w:spacing w:val="0"/>
              </w:rPr>
            </w:pPr>
            <w:r>
              <w:rPr>
                <w:spacing w:val="0"/>
              </w:rPr>
              <w:t>475</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41" w:type="dxa"/>
            <w:tcBorders/>
            <w:vAlign w:val="center"/>
          </w:tcPr>
          <w:p>
            <w:pPr>
              <w:pStyle w:val="TableContents"/>
              <w:bidi w:val="0"/>
              <w:spacing w:before="0" w:after="0"/>
              <w:jc w:val="left"/>
              <w:rPr>
                <w:spacing w:val="0"/>
              </w:rPr>
            </w:pPr>
            <w:r>
              <w:rPr>
                <w:spacing w:val="0"/>
              </w:rPr>
              <w:t> </w:t>
            </w:r>
          </w:p>
        </w:tc>
        <w:tc>
          <w:tcPr>
            <w:tcW w:w="1178" w:type="dxa"/>
            <w:tcBorders/>
            <w:vAlign w:val="center"/>
          </w:tcPr>
          <w:p>
            <w:pPr>
              <w:pStyle w:val="TableContents"/>
              <w:bidi w:val="0"/>
              <w:spacing w:before="0" w:after="0"/>
              <w:jc w:val="right"/>
              <w:rPr>
                <w:spacing w:val="0"/>
              </w:rPr>
            </w:pPr>
            <w:r>
              <w:rPr>
                <w:spacing w:val="0"/>
              </w:rPr>
              <w:t>701</w:t>
            </w:r>
          </w:p>
        </w:tc>
        <w:tc>
          <w:tcPr>
            <w:tcW w:w="226" w:type="dxa"/>
            <w:tcBorders/>
            <w:vAlign w:val="center"/>
          </w:tcPr>
          <w:p>
            <w:pPr>
              <w:pStyle w:val="TableContents"/>
              <w:bidi w:val="0"/>
              <w:spacing w:before="0" w:after="0"/>
              <w:jc w:val="left"/>
              <w:rPr>
                <w:spacing w:val="0"/>
              </w:rPr>
            </w:pPr>
            <w:r>
              <w:rPr>
                <w:spacing w:val="0"/>
              </w:rPr>
              <w:t> </w:t>
            </w:r>
          </w:p>
        </w:tc>
        <w:tc>
          <w:tcPr>
            <w:tcW w:w="175" w:type="dxa"/>
            <w:tcBorders/>
            <w:vAlign w:val="center"/>
          </w:tcPr>
          <w:p>
            <w:pPr>
              <w:pStyle w:val="TableContents"/>
              <w:bidi w:val="0"/>
              <w:spacing w:before="0" w:after="0"/>
              <w:jc w:val="left"/>
              <w:rPr>
                <w:spacing w:val="0"/>
              </w:rPr>
            </w:pPr>
            <w:r>
              <w:rPr>
                <w:spacing w:val="0"/>
              </w:rPr>
              <w:t>  </w:t>
            </w:r>
          </w:p>
        </w:tc>
        <w:tc>
          <w:tcPr>
            <w:tcW w:w="241" w:type="dxa"/>
            <w:tcBorders/>
            <w:vAlign w:val="center"/>
          </w:tcPr>
          <w:p>
            <w:pPr>
              <w:pStyle w:val="TableContents"/>
              <w:bidi w:val="0"/>
              <w:spacing w:before="0" w:after="0"/>
              <w:jc w:val="left"/>
              <w:rPr>
                <w:spacing w:val="0"/>
              </w:rPr>
            </w:pPr>
            <w:r>
              <w:rPr>
                <w:spacing w:val="0"/>
              </w:rPr>
              <w:t> </w:t>
            </w:r>
          </w:p>
        </w:tc>
        <w:tc>
          <w:tcPr>
            <w:tcW w:w="1178" w:type="dxa"/>
            <w:tcBorders/>
            <w:vAlign w:val="center"/>
          </w:tcPr>
          <w:p>
            <w:pPr>
              <w:pStyle w:val="TableContents"/>
              <w:bidi w:val="0"/>
              <w:spacing w:before="0" w:after="0"/>
              <w:jc w:val="right"/>
              <w:rPr>
                <w:spacing w:val="0"/>
              </w:rPr>
            </w:pPr>
            <w:r>
              <w:rPr>
                <w:spacing w:val="0"/>
              </w:rPr>
              <w:t>1,081</w:t>
            </w:r>
          </w:p>
        </w:tc>
        <w:tc>
          <w:tcPr>
            <w:tcW w:w="178" w:type="dxa"/>
            <w:tcBorders/>
            <w:vAlign w:val="center"/>
          </w:tcPr>
          <w:p>
            <w:pPr>
              <w:pStyle w:val="TableContents"/>
              <w:bidi w:val="0"/>
              <w:spacing w:before="0" w:after="0"/>
              <w:jc w:val="left"/>
              <w:rPr>
                <w:spacing w:val="0"/>
              </w:rPr>
            </w:pPr>
            <w:r>
              <w:rPr>
                <w:spacing w:val="0"/>
              </w:rPr>
              <w:t> </w:t>
            </w:r>
          </w:p>
        </w:tc>
      </w:tr>
      <w:tr>
        <w:trPr/>
        <w:tc>
          <w:tcPr>
            <w:tcW w:w="307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2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9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51" w:type="dxa"/>
            <w:tcBorders/>
            <w:vAlign w:val="center"/>
          </w:tcPr>
          <w:p>
            <w:pPr>
              <w:pStyle w:val="TableContents"/>
              <w:bidi w:val="0"/>
              <w:spacing w:before="0" w:after="0"/>
              <w:jc w:val="left"/>
              <w:rPr>
                <w:spacing w:val="0"/>
              </w:rPr>
            </w:pPr>
            <w:r>
              <w:rPr>
                <w:spacing w:val="0"/>
              </w:rPr>
              <w:t> </w:t>
            </w:r>
          </w:p>
        </w:tc>
        <w:tc>
          <w:tcPr>
            <w:tcW w:w="194" w:type="dxa"/>
            <w:tcBorders/>
            <w:vAlign w:val="center"/>
          </w:tcPr>
          <w:p>
            <w:pPr>
              <w:pStyle w:val="TableContents"/>
              <w:bidi w:val="0"/>
              <w:spacing w:before="0" w:after="0"/>
              <w:jc w:val="left"/>
              <w:rPr>
                <w:spacing w:val="0"/>
              </w:rPr>
            </w:pPr>
            <w:r>
              <w:rPr>
                <w:spacing w:val="0"/>
              </w:rPr>
              <w:t>  </w:t>
            </w:r>
          </w:p>
        </w:tc>
        <w:tc>
          <w:tcPr>
            <w:tcW w:w="2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9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26" w:type="dxa"/>
            <w:tcBorders/>
            <w:vAlign w:val="center"/>
          </w:tcPr>
          <w:p>
            <w:pPr>
              <w:pStyle w:val="TableContents"/>
              <w:bidi w:val="0"/>
              <w:spacing w:before="0" w:after="0"/>
              <w:jc w:val="left"/>
              <w:rPr>
                <w:spacing w:val="0"/>
              </w:rPr>
            </w:pPr>
            <w:r>
              <w:rPr>
                <w:spacing w:val="0"/>
              </w:rPr>
              <w:t> </w:t>
            </w:r>
          </w:p>
        </w:tc>
        <w:tc>
          <w:tcPr>
            <w:tcW w:w="175" w:type="dxa"/>
            <w:tcBorders/>
            <w:vAlign w:val="center"/>
          </w:tcPr>
          <w:p>
            <w:pPr>
              <w:pStyle w:val="TableContents"/>
              <w:bidi w:val="0"/>
              <w:spacing w:before="0" w:after="0"/>
              <w:jc w:val="left"/>
              <w:rPr>
                <w:spacing w:val="0"/>
              </w:rPr>
            </w:pPr>
            <w:r>
              <w:rPr>
                <w:spacing w:val="0"/>
              </w:rPr>
              <w:t>  </w:t>
            </w:r>
          </w:p>
        </w:tc>
        <w:tc>
          <w:tcPr>
            <w:tcW w:w="2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8" w:type="dxa"/>
            <w:tcBorders/>
            <w:vAlign w:val="center"/>
          </w:tcPr>
          <w:p>
            <w:pPr>
              <w:pStyle w:val="TableContents"/>
              <w:bidi w:val="0"/>
              <w:spacing w:before="0" w:after="0"/>
              <w:jc w:val="left"/>
              <w:rPr>
                <w:spacing w:val="0"/>
              </w:rPr>
            </w:pPr>
            <w:r>
              <w:rPr>
                <w:spacing w:val="0"/>
              </w:rPr>
              <w:t> </w:t>
            </w:r>
          </w:p>
        </w:tc>
      </w:tr>
      <w:tr>
        <w:trPr/>
        <w:tc>
          <w:tcPr>
            <w:tcW w:w="3074"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general and administrative expense</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44" w:type="dxa"/>
            <w:tcBorders/>
            <w:shd w:fill="CCEEFF" w:val="clear"/>
            <w:vAlign w:val="center"/>
          </w:tcPr>
          <w:p>
            <w:pPr>
              <w:pStyle w:val="TableContents"/>
              <w:bidi w:val="0"/>
              <w:spacing w:before="0" w:after="0"/>
              <w:jc w:val="left"/>
              <w:rPr>
                <w:spacing w:val="0"/>
              </w:rPr>
            </w:pPr>
            <w:r>
              <w:rPr>
                <w:spacing w:val="0"/>
              </w:rPr>
              <w:t>$</w:t>
            </w:r>
          </w:p>
        </w:tc>
        <w:tc>
          <w:tcPr>
            <w:tcW w:w="1193" w:type="dxa"/>
            <w:tcBorders/>
            <w:shd w:fill="CCEEFF" w:val="clear"/>
            <w:vAlign w:val="center"/>
          </w:tcPr>
          <w:p>
            <w:pPr>
              <w:pStyle w:val="TableContents"/>
              <w:bidi w:val="0"/>
              <w:spacing w:before="0" w:after="0"/>
              <w:jc w:val="right"/>
              <w:rPr>
                <w:spacing w:val="0"/>
              </w:rPr>
            </w:pPr>
            <w:r>
              <w:rPr>
                <w:spacing w:val="0"/>
              </w:rPr>
              <w:t>3,727</w:t>
            </w:r>
          </w:p>
        </w:tc>
        <w:tc>
          <w:tcPr>
            <w:tcW w:w="251" w:type="dxa"/>
            <w:tcBorders/>
            <w:shd w:fill="CCEEFF" w:val="clear"/>
            <w:vAlign w:val="center"/>
          </w:tcPr>
          <w:p>
            <w:pPr>
              <w:pStyle w:val="TableContents"/>
              <w:bidi w:val="0"/>
              <w:spacing w:before="0" w:after="0"/>
              <w:jc w:val="left"/>
              <w:rPr>
                <w:spacing w:val="0"/>
              </w:rPr>
            </w:pPr>
            <w:r>
              <w:rPr>
                <w:spacing w:val="0"/>
              </w:rPr>
              <w:t> </w:t>
            </w:r>
          </w:p>
        </w:tc>
        <w:tc>
          <w:tcPr>
            <w:tcW w:w="194" w:type="dxa"/>
            <w:tcBorders/>
            <w:shd w:fill="CCEEFF" w:val="clear"/>
            <w:vAlign w:val="center"/>
          </w:tcPr>
          <w:p>
            <w:pPr>
              <w:pStyle w:val="TableContents"/>
              <w:bidi w:val="0"/>
              <w:spacing w:before="0" w:after="0"/>
              <w:jc w:val="left"/>
              <w:rPr>
                <w:spacing w:val="0"/>
              </w:rPr>
            </w:pPr>
            <w:r>
              <w:rPr>
                <w:spacing w:val="0"/>
              </w:rPr>
              <w:t>  </w:t>
            </w:r>
          </w:p>
        </w:tc>
        <w:tc>
          <w:tcPr>
            <w:tcW w:w="244" w:type="dxa"/>
            <w:tcBorders/>
            <w:shd w:fill="CCEEFF" w:val="clear"/>
            <w:vAlign w:val="center"/>
          </w:tcPr>
          <w:p>
            <w:pPr>
              <w:pStyle w:val="TableContents"/>
              <w:bidi w:val="0"/>
              <w:spacing w:before="0" w:after="0"/>
              <w:jc w:val="left"/>
              <w:rPr>
                <w:spacing w:val="0"/>
              </w:rPr>
            </w:pPr>
            <w:r>
              <w:rPr>
                <w:spacing w:val="0"/>
              </w:rPr>
              <w:t>$</w:t>
            </w:r>
          </w:p>
        </w:tc>
        <w:tc>
          <w:tcPr>
            <w:tcW w:w="1193" w:type="dxa"/>
            <w:tcBorders/>
            <w:shd w:fill="CCEEFF" w:val="clear"/>
            <w:vAlign w:val="center"/>
          </w:tcPr>
          <w:p>
            <w:pPr>
              <w:pStyle w:val="TableContents"/>
              <w:bidi w:val="0"/>
              <w:spacing w:before="0" w:after="0"/>
              <w:jc w:val="right"/>
              <w:rPr>
                <w:spacing w:val="0"/>
              </w:rPr>
            </w:pPr>
            <w:r>
              <w:rPr>
                <w:spacing w:val="0"/>
              </w:rPr>
              <w:t>3,713</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41" w:type="dxa"/>
            <w:tcBorders/>
            <w:shd w:fill="CCEEFF" w:val="clear"/>
            <w:vAlign w:val="center"/>
          </w:tcPr>
          <w:p>
            <w:pPr>
              <w:pStyle w:val="TableContents"/>
              <w:bidi w:val="0"/>
              <w:spacing w:before="0" w:after="0"/>
              <w:jc w:val="left"/>
              <w:rPr>
                <w:spacing w:val="0"/>
              </w:rPr>
            </w:pPr>
            <w:r>
              <w:rPr>
                <w:spacing w:val="0"/>
              </w:rPr>
              <w:t>$</w:t>
            </w:r>
          </w:p>
        </w:tc>
        <w:tc>
          <w:tcPr>
            <w:tcW w:w="1178" w:type="dxa"/>
            <w:tcBorders/>
            <w:shd w:fill="CCEEFF" w:val="clear"/>
            <w:vAlign w:val="center"/>
          </w:tcPr>
          <w:p>
            <w:pPr>
              <w:pStyle w:val="TableContents"/>
              <w:bidi w:val="0"/>
              <w:spacing w:before="0" w:after="0"/>
              <w:jc w:val="right"/>
              <w:rPr>
                <w:spacing w:val="0"/>
              </w:rPr>
            </w:pPr>
            <w:r>
              <w:rPr>
                <w:spacing w:val="0"/>
              </w:rPr>
              <w:t>7,501</w:t>
            </w:r>
          </w:p>
        </w:tc>
        <w:tc>
          <w:tcPr>
            <w:tcW w:w="226" w:type="dxa"/>
            <w:tcBorders/>
            <w:shd w:fill="CCEEFF" w:val="clear"/>
            <w:vAlign w:val="center"/>
          </w:tcPr>
          <w:p>
            <w:pPr>
              <w:pStyle w:val="TableContents"/>
              <w:bidi w:val="0"/>
              <w:spacing w:before="0" w:after="0"/>
              <w:jc w:val="left"/>
              <w:rPr>
                <w:spacing w:val="0"/>
              </w:rPr>
            </w:pPr>
            <w:r>
              <w:rPr>
                <w:spacing w:val="0"/>
              </w:rPr>
              <w:t> </w:t>
            </w:r>
          </w:p>
        </w:tc>
        <w:tc>
          <w:tcPr>
            <w:tcW w:w="175" w:type="dxa"/>
            <w:tcBorders/>
            <w:shd w:fill="CCEEFF" w:val="clear"/>
            <w:vAlign w:val="center"/>
          </w:tcPr>
          <w:p>
            <w:pPr>
              <w:pStyle w:val="TableContents"/>
              <w:bidi w:val="0"/>
              <w:spacing w:before="0" w:after="0"/>
              <w:jc w:val="left"/>
              <w:rPr>
                <w:spacing w:val="0"/>
              </w:rPr>
            </w:pPr>
            <w:r>
              <w:rPr>
                <w:spacing w:val="0"/>
              </w:rPr>
              <w:t>  </w:t>
            </w:r>
          </w:p>
        </w:tc>
        <w:tc>
          <w:tcPr>
            <w:tcW w:w="241" w:type="dxa"/>
            <w:tcBorders/>
            <w:shd w:fill="CCEEFF" w:val="clear"/>
            <w:vAlign w:val="center"/>
          </w:tcPr>
          <w:p>
            <w:pPr>
              <w:pStyle w:val="TableContents"/>
              <w:bidi w:val="0"/>
              <w:spacing w:before="0" w:after="0"/>
              <w:jc w:val="left"/>
              <w:rPr>
                <w:spacing w:val="0"/>
              </w:rPr>
            </w:pPr>
            <w:r>
              <w:rPr>
                <w:spacing w:val="0"/>
              </w:rPr>
              <w:t>$</w:t>
            </w:r>
          </w:p>
        </w:tc>
        <w:tc>
          <w:tcPr>
            <w:tcW w:w="1178" w:type="dxa"/>
            <w:tcBorders/>
            <w:shd w:fill="CCEEFF" w:val="clear"/>
            <w:vAlign w:val="center"/>
          </w:tcPr>
          <w:p>
            <w:pPr>
              <w:pStyle w:val="TableContents"/>
              <w:bidi w:val="0"/>
              <w:spacing w:before="0" w:after="0"/>
              <w:jc w:val="right"/>
              <w:rPr>
                <w:spacing w:val="0"/>
              </w:rPr>
            </w:pPr>
            <w:r>
              <w:rPr>
                <w:spacing w:val="0"/>
              </w:rPr>
              <w:t>7,906</w:t>
            </w:r>
          </w:p>
        </w:tc>
        <w:tc>
          <w:tcPr>
            <w:tcW w:w="178" w:type="dxa"/>
            <w:tcBorders/>
            <w:shd w:fill="CCEEFF" w:val="clear"/>
            <w:vAlign w:val="center"/>
          </w:tcPr>
          <w:p>
            <w:pPr>
              <w:pStyle w:val="TableContents"/>
              <w:bidi w:val="0"/>
              <w:spacing w:before="0" w:after="0"/>
              <w:jc w:val="left"/>
              <w:rPr>
                <w:spacing w:val="0"/>
              </w:rPr>
            </w:pPr>
            <w:r>
              <w:rPr>
                <w:spacing w:val="0"/>
              </w:rPr>
              <w:t> </w:t>
            </w:r>
          </w:p>
        </w:tc>
      </w:tr>
      <w:tr>
        <w:trPr/>
        <w:tc>
          <w:tcPr>
            <w:tcW w:w="3074"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Stock-based compensation</w:t>
            </w:r>
          </w:p>
        </w:tc>
        <w:tc>
          <w:tcPr>
            <w:tcW w:w="120" w:type="dxa"/>
            <w:tcBorders/>
            <w:vAlign w:val="center"/>
          </w:tcPr>
          <w:p>
            <w:pPr>
              <w:pStyle w:val="TableContents"/>
              <w:bidi w:val="0"/>
              <w:spacing w:before="0" w:after="0"/>
              <w:jc w:val="left"/>
              <w:rPr>
                <w:spacing w:val="0"/>
              </w:rPr>
            </w:pPr>
            <w:r>
              <w:rPr>
                <w:spacing w:val="0"/>
              </w:rPr>
              <w:t>  </w:t>
            </w:r>
          </w:p>
        </w:tc>
        <w:tc>
          <w:tcPr>
            <w:tcW w:w="244" w:type="dxa"/>
            <w:tcBorders/>
            <w:vAlign w:val="center"/>
          </w:tcPr>
          <w:p>
            <w:pPr>
              <w:pStyle w:val="TableContents"/>
              <w:bidi w:val="0"/>
              <w:spacing w:before="0" w:after="0"/>
              <w:jc w:val="left"/>
              <w:rPr>
                <w:spacing w:val="0"/>
              </w:rPr>
            </w:pPr>
            <w:r>
              <w:rPr>
                <w:spacing w:val="0"/>
              </w:rPr>
              <w:t> </w:t>
            </w:r>
          </w:p>
        </w:tc>
        <w:tc>
          <w:tcPr>
            <w:tcW w:w="1193" w:type="dxa"/>
            <w:tcBorders/>
            <w:vAlign w:val="center"/>
          </w:tcPr>
          <w:p>
            <w:pPr>
              <w:pStyle w:val="TableContents"/>
              <w:bidi w:val="0"/>
              <w:spacing w:before="0" w:after="0"/>
              <w:jc w:val="right"/>
              <w:rPr>
                <w:spacing w:val="0"/>
              </w:rPr>
            </w:pPr>
            <w:r>
              <w:rPr>
                <w:spacing w:val="0"/>
              </w:rPr>
              <w:t>1,552</w:t>
            </w:r>
          </w:p>
        </w:tc>
        <w:tc>
          <w:tcPr>
            <w:tcW w:w="251" w:type="dxa"/>
            <w:tcBorders/>
            <w:vAlign w:val="center"/>
          </w:tcPr>
          <w:p>
            <w:pPr>
              <w:pStyle w:val="TableContents"/>
              <w:bidi w:val="0"/>
              <w:spacing w:before="0" w:after="0"/>
              <w:jc w:val="left"/>
              <w:rPr>
                <w:spacing w:val="0"/>
              </w:rPr>
            </w:pPr>
            <w:r>
              <w:rPr>
                <w:spacing w:val="0"/>
              </w:rPr>
              <w:t> </w:t>
            </w:r>
          </w:p>
        </w:tc>
        <w:tc>
          <w:tcPr>
            <w:tcW w:w="194" w:type="dxa"/>
            <w:tcBorders/>
            <w:vAlign w:val="center"/>
          </w:tcPr>
          <w:p>
            <w:pPr>
              <w:pStyle w:val="TableContents"/>
              <w:bidi w:val="0"/>
              <w:spacing w:before="0" w:after="0"/>
              <w:jc w:val="left"/>
              <w:rPr>
                <w:spacing w:val="0"/>
              </w:rPr>
            </w:pPr>
            <w:r>
              <w:rPr>
                <w:spacing w:val="0"/>
              </w:rPr>
              <w:t>  </w:t>
            </w:r>
          </w:p>
        </w:tc>
        <w:tc>
          <w:tcPr>
            <w:tcW w:w="244" w:type="dxa"/>
            <w:tcBorders/>
            <w:vAlign w:val="center"/>
          </w:tcPr>
          <w:p>
            <w:pPr>
              <w:pStyle w:val="TableContents"/>
              <w:bidi w:val="0"/>
              <w:spacing w:before="0" w:after="0"/>
              <w:jc w:val="left"/>
              <w:rPr>
                <w:spacing w:val="0"/>
              </w:rPr>
            </w:pPr>
            <w:r>
              <w:rPr>
                <w:spacing w:val="0"/>
              </w:rPr>
              <w:t> </w:t>
            </w:r>
          </w:p>
        </w:tc>
        <w:tc>
          <w:tcPr>
            <w:tcW w:w="1193" w:type="dxa"/>
            <w:tcBorders/>
            <w:vAlign w:val="center"/>
          </w:tcPr>
          <w:p>
            <w:pPr>
              <w:pStyle w:val="TableContents"/>
              <w:bidi w:val="0"/>
              <w:spacing w:before="0" w:after="0"/>
              <w:jc w:val="right"/>
              <w:rPr>
                <w:spacing w:val="0"/>
              </w:rPr>
            </w:pPr>
            <w:r>
              <w:rPr>
                <w:spacing w:val="0"/>
              </w:rPr>
              <w:t>2,762</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41" w:type="dxa"/>
            <w:tcBorders/>
            <w:vAlign w:val="center"/>
          </w:tcPr>
          <w:p>
            <w:pPr>
              <w:pStyle w:val="TableContents"/>
              <w:bidi w:val="0"/>
              <w:spacing w:before="0" w:after="0"/>
              <w:jc w:val="left"/>
              <w:rPr>
                <w:spacing w:val="0"/>
              </w:rPr>
            </w:pPr>
            <w:r>
              <w:rPr>
                <w:spacing w:val="0"/>
              </w:rPr>
              <w:t> </w:t>
            </w:r>
          </w:p>
        </w:tc>
        <w:tc>
          <w:tcPr>
            <w:tcW w:w="1178" w:type="dxa"/>
            <w:tcBorders/>
            <w:vAlign w:val="center"/>
          </w:tcPr>
          <w:p>
            <w:pPr>
              <w:pStyle w:val="TableContents"/>
              <w:bidi w:val="0"/>
              <w:spacing w:before="0" w:after="0"/>
              <w:jc w:val="right"/>
              <w:rPr>
                <w:spacing w:val="0"/>
              </w:rPr>
            </w:pPr>
            <w:r>
              <w:rPr>
                <w:spacing w:val="0"/>
              </w:rPr>
              <w:t>3,006</w:t>
            </w:r>
          </w:p>
        </w:tc>
        <w:tc>
          <w:tcPr>
            <w:tcW w:w="226" w:type="dxa"/>
            <w:tcBorders/>
            <w:vAlign w:val="center"/>
          </w:tcPr>
          <w:p>
            <w:pPr>
              <w:pStyle w:val="TableContents"/>
              <w:bidi w:val="0"/>
              <w:spacing w:before="0" w:after="0"/>
              <w:jc w:val="left"/>
              <w:rPr>
                <w:spacing w:val="0"/>
              </w:rPr>
            </w:pPr>
            <w:r>
              <w:rPr>
                <w:spacing w:val="0"/>
              </w:rPr>
              <w:t> </w:t>
            </w:r>
          </w:p>
        </w:tc>
        <w:tc>
          <w:tcPr>
            <w:tcW w:w="175" w:type="dxa"/>
            <w:tcBorders/>
            <w:vAlign w:val="center"/>
          </w:tcPr>
          <w:p>
            <w:pPr>
              <w:pStyle w:val="TableContents"/>
              <w:bidi w:val="0"/>
              <w:spacing w:before="0" w:after="0"/>
              <w:jc w:val="left"/>
              <w:rPr>
                <w:spacing w:val="0"/>
              </w:rPr>
            </w:pPr>
            <w:r>
              <w:rPr>
                <w:spacing w:val="0"/>
              </w:rPr>
              <w:t>  </w:t>
            </w:r>
          </w:p>
        </w:tc>
        <w:tc>
          <w:tcPr>
            <w:tcW w:w="241" w:type="dxa"/>
            <w:tcBorders/>
            <w:vAlign w:val="center"/>
          </w:tcPr>
          <w:p>
            <w:pPr>
              <w:pStyle w:val="TableContents"/>
              <w:bidi w:val="0"/>
              <w:spacing w:before="0" w:after="0"/>
              <w:jc w:val="left"/>
              <w:rPr>
                <w:spacing w:val="0"/>
              </w:rPr>
            </w:pPr>
            <w:r>
              <w:rPr>
                <w:spacing w:val="0"/>
              </w:rPr>
              <w:t> </w:t>
            </w:r>
          </w:p>
        </w:tc>
        <w:tc>
          <w:tcPr>
            <w:tcW w:w="1178" w:type="dxa"/>
            <w:tcBorders/>
            <w:vAlign w:val="center"/>
          </w:tcPr>
          <w:p>
            <w:pPr>
              <w:pStyle w:val="TableContents"/>
              <w:bidi w:val="0"/>
              <w:spacing w:before="0" w:after="0"/>
              <w:jc w:val="right"/>
              <w:rPr>
                <w:spacing w:val="0"/>
              </w:rPr>
            </w:pPr>
            <w:r>
              <w:rPr>
                <w:spacing w:val="0"/>
              </w:rPr>
              <w:t>4,871</w:t>
            </w:r>
          </w:p>
        </w:tc>
        <w:tc>
          <w:tcPr>
            <w:tcW w:w="178" w:type="dxa"/>
            <w:tcBorders/>
            <w:vAlign w:val="center"/>
          </w:tcPr>
          <w:p>
            <w:pPr>
              <w:pStyle w:val="TableContents"/>
              <w:bidi w:val="0"/>
              <w:spacing w:before="0" w:after="0"/>
              <w:jc w:val="left"/>
              <w:rPr>
                <w:spacing w:val="0"/>
              </w:rPr>
            </w:pPr>
            <w:r>
              <w:rPr>
                <w:spacing w:val="0"/>
              </w:rPr>
              <w:t> </w:t>
            </w:r>
          </w:p>
        </w:tc>
      </w:tr>
      <w:tr>
        <w:trPr/>
        <w:tc>
          <w:tcPr>
            <w:tcW w:w="3074"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segment items(4)</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44" w:type="dxa"/>
            <w:tcBorders/>
            <w:shd w:fill="CCEEFF" w:val="clear"/>
            <w:vAlign w:val="center"/>
          </w:tcPr>
          <w:p>
            <w:pPr>
              <w:pStyle w:val="TableContents"/>
              <w:bidi w:val="0"/>
              <w:spacing w:before="0" w:after="0"/>
              <w:jc w:val="left"/>
              <w:rPr>
                <w:spacing w:val="0"/>
              </w:rPr>
            </w:pPr>
            <w:r>
              <w:rPr>
                <w:spacing w:val="0"/>
              </w:rPr>
              <w:t> </w:t>
            </w:r>
          </w:p>
        </w:tc>
        <w:tc>
          <w:tcPr>
            <w:tcW w:w="1193" w:type="dxa"/>
            <w:tcBorders/>
            <w:shd w:fill="CCEEFF" w:val="clear"/>
            <w:vAlign w:val="center"/>
          </w:tcPr>
          <w:p>
            <w:pPr>
              <w:pStyle w:val="TableContents"/>
              <w:bidi w:val="0"/>
              <w:spacing w:before="0" w:after="0"/>
              <w:jc w:val="right"/>
              <w:rPr>
                <w:spacing w:val="0"/>
              </w:rPr>
            </w:pPr>
            <w:r>
              <w:rPr>
                <w:spacing w:val="0"/>
              </w:rPr>
              <w:t>(276</w:t>
            </w:r>
          </w:p>
        </w:tc>
        <w:tc>
          <w:tcPr>
            <w:tcW w:w="251" w:type="dxa"/>
            <w:tcBorders/>
            <w:shd w:fill="CCEEFF" w:val="clear"/>
            <w:vAlign w:val="center"/>
          </w:tcPr>
          <w:p>
            <w:pPr>
              <w:pStyle w:val="TableContents"/>
              <w:bidi w:val="0"/>
              <w:spacing w:before="0" w:after="0"/>
              <w:jc w:val="left"/>
              <w:rPr>
                <w:spacing w:val="0"/>
              </w:rPr>
            </w:pPr>
            <w:r>
              <w:rPr>
                <w:spacing w:val="0"/>
              </w:rPr>
              <w:t>) </w:t>
            </w:r>
          </w:p>
        </w:tc>
        <w:tc>
          <w:tcPr>
            <w:tcW w:w="194" w:type="dxa"/>
            <w:tcBorders/>
            <w:shd w:fill="CCEEFF" w:val="clear"/>
            <w:vAlign w:val="center"/>
          </w:tcPr>
          <w:p>
            <w:pPr>
              <w:pStyle w:val="TableContents"/>
              <w:bidi w:val="0"/>
              <w:spacing w:before="0" w:after="0"/>
              <w:jc w:val="left"/>
              <w:rPr>
                <w:spacing w:val="0"/>
              </w:rPr>
            </w:pPr>
            <w:r>
              <w:rPr>
                <w:spacing w:val="0"/>
              </w:rPr>
              <w:t>  </w:t>
            </w:r>
          </w:p>
        </w:tc>
        <w:tc>
          <w:tcPr>
            <w:tcW w:w="244" w:type="dxa"/>
            <w:tcBorders/>
            <w:shd w:fill="CCEEFF" w:val="clear"/>
            <w:vAlign w:val="center"/>
          </w:tcPr>
          <w:p>
            <w:pPr>
              <w:pStyle w:val="TableContents"/>
              <w:bidi w:val="0"/>
              <w:spacing w:before="0" w:after="0"/>
              <w:jc w:val="left"/>
              <w:rPr>
                <w:spacing w:val="0"/>
              </w:rPr>
            </w:pPr>
            <w:r>
              <w:rPr>
                <w:spacing w:val="0"/>
              </w:rPr>
              <w:t> </w:t>
            </w:r>
          </w:p>
        </w:tc>
        <w:tc>
          <w:tcPr>
            <w:tcW w:w="1193" w:type="dxa"/>
            <w:tcBorders/>
            <w:shd w:fill="CCEEFF" w:val="clear"/>
            <w:vAlign w:val="center"/>
          </w:tcPr>
          <w:p>
            <w:pPr>
              <w:pStyle w:val="TableContents"/>
              <w:bidi w:val="0"/>
              <w:spacing w:before="0" w:after="0"/>
              <w:jc w:val="right"/>
              <w:rPr>
                <w:spacing w:val="0"/>
              </w:rPr>
            </w:pPr>
            <w:r>
              <w:rPr>
                <w:spacing w:val="0"/>
              </w:rPr>
              <w:t>(1,363</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41" w:type="dxa"/>
            <w:tcBorders/>
            <w:shd w:fill="CCEEFF" w:val="clear"/>
            <w:vAlign w:val="center"/>
          </w:tcPr>
          <w:p>
            <w:pPr>
              <w:pStyle w:val="TableContents"/>
              <w:bidi w:val="0"/>
              <w:spacing w:before="0" w:after="0"/>
              <w:jc w:val="left"/>
              <w:rPr>
                <w:spacing w:val="0"/>
              </w:rPr>
            </w:pPr>
            <w:r>
              <w:rPr>
                <w:spacing w:val="0"/>
              </w:rPr>
              <w:t> </w:t>
            </w:r>
          </w:p>
        </w:tc>
        <w:tc>
          <w:tcPr>
            <w:tcW w:w="1178" w:type="dxa"/>
            <w:tcBorders/>
            <w:shd w:fill="CCEEFF" w:val="clear"/>
            <w:vAlign w:val="center"/>
          </w:tcPr>
          <w:p>
            <w:pPr>
              <w:pStyle w:val="TableContents"/>
              <w:bidi w:val="0"/>
              <w:spacing w:before="0" w:after="0"/>
              <w:jc w:val="right"/>
              <w:rPr>
                <w:spacing w:val="0"/>
              </w:rPr>
            </w:pPr>
            <w:r>
              <w:rPr>
                <w:spacing w:val="0"/>
              </w:rPr>
              <w:t>(923</w:t>
            </w:r>
          </w:p>
        </w:tc>
        <w:tc>
          <w:tcPr>
            <w:tcW w:w="226" w:type="dxa"/>
            <w:tcBorders/>
            <w:shd w:fill="CCEEFF" w:val="clear"/>
            <w:vAlign w:val="center"/>
          </w:tcPr>
          <w:p>
            <w:pPr>
              <w:pStyle w:val="TableContents"/>
              <w:bidi w:val="0"/>
              <w:spacing w:before="0" w:after="0"/>
              <w:jc w:val="left"/>
              <w:rPr>
                <w:spacing w:val="0"/>
              </w:rPr>
            </w:pPr>
            <w:r>
              <w:rPr>
                <w:spacing w:val="0"/>
              </w:rPr>
              <w:t>) </w:t>
            </w:r>
          </w:p>
        </w:tc>
        <w:tc>
          <w:tcPr>
            <w:tcW w:w="175" w:type="dxa"/>
            <w:tcBorders/>
            <w:shd w:fill="CCEEFF" w:val="clear"/>
            <w:vAlign w:val="center"/>
          </w:tcPr>
          <w:p>
            <w:pPr>
              <w:pStyle w:val="TableContents"/>
              <w:bidi w:val="0"/>
              <w:spacing w:before="0" w:after="0"/>
              <w:jc w:val="left"/>
              <w:rPr>
                <w:spacing w:val="0"/>
              </w:rPr>
            </w:pPr>
            <w:r>
              <w:rPr>
                <w:spacing w:val="0"/>
              </w:rPr>
              <w:t>  </w:t>
            </w:r>
          </w:p>
        </w:tc>
        <w:tc>
          <w:tcPr>
            <w:tcW w:w="241" w:type="dxa"/>
            <w:tcBorders/>
            <w:shd w:fill="CCEEFF" w:val="clear"/>
            <w:vAlign w:val="center"/>
          </w:tcPr>
          <w:p>
            <w:pPr>
              <w:pStyle w:val="TableContents"/>
              <w:bidi w:val="0"/>
              <w:spacing w:before="0" w:after="0"/>
              <w:jc w:val="left"/>
              <w:rPr>
                <w:spacing w:val="0"/>
              </w:rPr>
            </w:pPr>
            <w:r>
              <w:rPr>
                <w:spacing w:val="0"/>
              </w:rPr>
              <w:t> </w:t>
            </w:r>
          </w:p>
        </w:tc>
        <w:tc>
          <w:tcPr>
            <w:tcW w:w="1178" w:type="dxa"/>
            <w:tcBorders/>
            <w:shd w:fill="CCEEFF" w:val="clear"/>
            <w:vAlign w:val="center"/>
          </w:tcPr>
          <w:p>
            <w:pPr>
              <w:pStyle w:val="TableContents"/>
              <w:bidi w:val="0"/>
              <w:spacing w:before="0" w:after="0"/>
              <w:jc w:val="right"/>
              <w:rPr>
                <w:spacing w:val="0"/>
              </w:rPr>
            </w:pPr>
            <w:r>
              <w:rPr>
                <w:spacing w:val="0"/>
              </w:rPr>
              <w:t>(2,980</w:t>
            </w:r>
          </w:p>
        </w:tc>
        <w:tc>
          <w:tcPr>
            <w:tcW w:w="178" w:type="dxa"/>
            <w:tcBorders/>
            <w:shd w:fill="CCEEFF" w:val="clear"/>
            <w:vAlign w:val="center"/>
          </w:tcPr>
          <w:p>
            <w:pPr>
              <w:pStyle w:val="TableContents"/>
              <w:bidi w:val="0"/>
              <w:spacing w:before="0" w:after="0"/>
              <w:jc w:val="left"/>
              <w:rPr>
                <w:spacing w:val="0"/>
              </w:rPr>
            </w:pPr>
            <w:r>
              <w:rPr>
                <w:spacing w:val="0"/>
              </w:rPr>
              <w:t>) </w:t>
            </w:r>
          </w:p>
        </w:tc>
      </w:tr>
      <w:tr>
        <w:trPr/>
        <w:tc>
          <w:tcPr>
            <w:tcW w:w="307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2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9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51" w:type="dxa"/>
            <w:tcBorders/>
            <w:vAlign w:val="center"/>
          </w:tcPr>
          <w:p>
            <w:pPr>
              <w:pStyle w:val="TableContents"/>
              <w:bidi w:val="0"/>
              <w:spacing w:before="0" w:after="0"/>
              <w:jc w:val="left"/>
              <w:rPr>
                <w:spacing w:val="0"/>
              </w:rPr>
            </w:pPr>
            <w:r>
              <w:rPr>
                <w:spacing w:val="0"/>
              </w:rPr>
              <w:t> </w:t>
            </w:r>
          </w:p>
        </w:tc>
        <w:tc>
          <w:tcPr>
            <w:tcW w:w="194" w:type="dxa"/>
            <w:tcBorders/>
            <w:vAlign w:val="center"/>
          </w:tcPr>
          <w:p>
            <w:pPr>
              <w:pStyle w:val="TableContents"/>
              <w:bidi w:val="0"/>
              <w:spacing w:before="0" w:after="0"/>
              <w:jc w:val="left"/>
              <w:rPr>
                <w:spacing w:val="0"/>
              </w:rPr>
            </w:pPr>
            <w:r>
              <w:rPr>
                <w:spacing w:val="0"/>
              </w:rPr>
              <w:t>  </w:t>
            </w:r>
          </w:p>
        </w:tc>
        <w:tc>
          <w:tcPr>
            <w:tcW w:w="2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9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26" w:type="dxa"/>
            <w:tcBorders/>
            <w:vAlign w:val="center"/>
          </w:tcPr>
          <w:p>
            <w:pPr>
              <w:pStyle w:val="TableContents"/>
              <w:bidi w:val="0"/>
              <w:spacing w:before="0" w:after="0"/>
              <w:jc w:val="left"/>
              <w:rPr>
                <w:spacing w:val="0"/>
              </w:rPr>
            </w:pPr>
            <w:r>
              <w:rPr>
                <w:spacing w:val="0"/>
              </w:rPr>
              <w:t> </w:t>
            </w:r>
          </w:p>
        </w:tc>
        <w:tc>
          <w:tcPr>
            <w:tcW w:w="175" w:type="dxa"/>
            <w:tcBorders/>
            <w:vAlign w:val="center"/>
          </w:tcPr>
          <w:p>
            <w:pPr>
              <w:pStyle w:val="TableContents"/>
              <w:bidi w:val="0"/>
              <w:spacing w:before="0" w:after="0"/>
              <w:jc w:val="left"/>
              <w:rPr>
                <w:spacing w:val="0"/>
              </w:rPr>
            </w:pPr>
            <w:r>
              <w:rPr>
                <w:spacing w:val="0"/>
              </w:rPr>
              <w:t>  </w:t>
            </w:r>
          </w:p>
        </w:tc>
        <w:tc>
          <w:tcPr>
            <w:tcW w:w="2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8" w:type="dxa"/>
            <w:tcBorders/>
            <w:vAlign w:val="center"/>
          </w:tcPr>
          <w:p>
            <w:pPr>
              <w:pStyle w:val="TableContents"/>
              <w:bidi w:val="0"/>
              <w:spacing w:before="0" w:after="0"/>
              <w:jc w:val="left"/>
              <w:rPr>
                <w:spacing w:val="0"/>
              </w:rPr>
            </w:pPr>
            <w:r>
              <w:rPr>
                <w:spacing w:val="0"/>
              </w:rPr>
              <w:t> </w:t>
            </w:r>
          </w:p>
        </w:tc>
      </w:tr>
      <w:tr>
        <w:trPr/>
        <w:tc>
          <w:tcPr>
            <w:tcW w:w="3074"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vAlign w:val="center"/>
          </w:tcPr>
          <w:p>
            <w:pPr>
              <w:pStyle w:val="TableContents"/>
              <w:bidi w:val="0"/>
              <w:spacing w:before="0" w:after="0"/>
              <w:jc w:val="left"/>
              <w:rPr>
                <w:spacing w:val="0"/>
              </w:rPr>
            </w:pPr>
            <w:r>
              <w:rPr>
                <w:spacing w:val="0"/>
              </w:rPr>
              <w:t>  </w:t>
            </w:r>
          </w:p>
        </w:tc>
        <w:tc>
          <w:tcPr>
            <w:tcW w:w="244" w:type="dxa"/>
            <w:tcBorders/>
            <w:vAlign w:val="center"/>
          </w:tcPr>
          <w:p>
            <w:pPr>
              <w:pStyle w:val="TableContents"/>
              <w:bidi w:val="0"/>
              <w:spacing w:before="0" w:after="0"/>
              <w:jc w:val="left"/>
              <w:rPr>
                <w:spacing w:val="0"/>
              </w:rPr>
            </w:pPr>
            <w:r>
              <w:rPr>
                <w:spacing w:val="0"/>
              </w:rPr>
              <w:t>$</w:t>
            </w:r>
          </w:p>
        </w:tc>
        <w:tc>
          <w:tcPr>
            <w:tcW w:w="1193" w:type="dxa"/>
            <w:tcBorders/>
            <w:vAlign w:val="center"/>
          </w:tcPr>
          <w:p>
            <w:pPr>
              <w:pStyle w:val="TableContents"/>
              <w:bidi w:val="0"/>
              <w:spacing w:before="0" w:after="0"/>
              <w:jc w:val="right"/>
              <w:rPr>
                <w:spacing w:val="0"/>
              </w:rPr>
            </w:pPr>
            <w:r>
              <w:rPr>
                <w:spacing w:val="0"/>
              </w:rPr>
              <w:t>25,864</w:t>
            </w:r>
          </w:p>
        </w:tc>
        <w:tc>
          <w:tcPr>
            <w:tcW w:w="251" w:type="dxa"/>
            <w:tcBorders/>
            <w:vAlign w:val="center"/>
          </w:tcPr>
          <w:p>
            <w:pPr>
              <w:pStyle w:val="TableContents"/>
              <w:bidi w:val="0"/>
              <w:spacing w:before="0" w:after="0"/>
              <w:jc w:val="left"/>
              <w:rPr>
                <w:spacing w:val="0"/>
              </w:rPr>
            </w:pPr>
            <w:r>
              <w:rPr>
                <w:spacing w:val="0"/>
              </w:rPr>
              <w:t> </w:t>
            </w:r>
          </w:p>
        </w:tc>
        <w:tc>
          <w:tcPr>
            <w:tcW w:w="194" w:type="dxa"/>
            <w:tcBorders/>
            <w:vAlign w:val="center"/>
          </w:tcPr>
          <w:p>
            <w:pPr>
              <w:pStyle w:val="TableContents"/>
              <w:bidi w:val="0"/>
              <w:spacing w:before="0" w:after="0"/>
              <w:jc w:val="left"/>
              <w:rPr>
                <w:spacing w:val="0"/>
              </w:rPr>
            </w:pPr>
            <w:r>
              <w:rPr>
                <w:spacing w:val="0"/>
              </w:rPr>
              <w:t>  </w:t>
            </w:r>
          </w:p>
        </w:tc>
        <w:tc>
          <w:tcPr>
            <w:tcW w:w="244" w:type="dxa"/>
            <w:tcBorders/>
            <w:vAlign w:val="center"/>
          </w:tcPr>
          <w:p>
            <w:pPr>
              <w:pStyle w:val="TableContents"/>
              <w:bidi w:val="0"/>
              <w:spacing w:before="0" w:after="0"/>
              <w:jc w:val="left"/>
              <w:rPr>
                <w:spacing w:val="0"/>
              </w:rPr>
            </w:pPr>
            <w:r>
              <w:rPr>
                <w:spacing w:val="0"/>
              </w:rPr>
              <w:t>$</w:t>
            </w:r>
          </w:p>
        </w:tc>
        <w:tc>
          <w:tcPr>
            <w:tcW w:w="1193" w:type="dxa"/>
            <w:tcBorders/>
            <w:vAlign w:val="center"/>
          </w:tcPr>
          <w:p>
            <w:pPr>
              <w:pStyle w:val="TableContents"/>
              <w:bidi w:val="0"/>
              <w:spacing w:before="0" w:after="0"/>
              <w:jc w:val="right"/>
              <w:rPr>
                <w:spacing w:val="0"/>
              </w:rPr>
            </w:pPr>
            <w:r>
              <w:rPr>
                <w:spacing w:val="0"/>
              </w:rPr>
              <w:t>26,896</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41" w:type="dxa"/>
            <w:tcBorders/>
            <w:vAlign w:val="center"/>
          </w:tcPr>
          <w:p>
            <w:pPr>
              <w:pStyle w:val="TableContents"/>
              <w:bidi w:val="0"/>
              <w:spacing w:before="0" w:after="0"/>
              <w:jc w:val="left"/>
              <w:rPr>
                <w:spacing w:val="0"/>
              </w:rPr>
            </w:pPr>
            <w:r>
              <w:rPr>
                <w:spacing w:val="0"/>
              </w:rPr>
              <w:t>$</w:t>
            </w:r>
          </w:p>
        </w:tc>
        <w:tc>
          <w:tcPr>
            <w:tcW w:w="1178" w:type="dxa"/>
            <w:tcBorders/>
            <w:vAlign w:val="center"/>
          </w:tcPr>
          <w:p>
            <w:pPr>
              <w:pStyle w:val="TableContents"/>
              <w:bidi w:val="0"/>
              <w:spacing w:before="0" w:after="0"/>
              <w:jc w:val="right"/>
              <w:rPr>
                <w:spacing w:val="0"/>
              </w:rPr>
            </w:pPr>
            <w:r>
              <w:rPr>
                <w:spacing w:val="0"/>
              </w:rPr>
              <w:t>45,497</w:t>
            </w:r>
          </w:p>
        </w:tc>
        <w:tc>
          <w:tcPr>
            <w:tcW w:w="226" w:type="dxa"/>
            <w:tcBorders/>
            <w:vAlign w:val="center"/>
          </w:tcPr>
          <w:p>
            <w:pPr>
              <w:pStyle w:val="TableContents"/>
              <w:bidi w:val="0"/>
              <w:spacing w:before="0" w:after="0"/>
              <w:jc w:val="left"/>
              <w:rPr>
                <w:spacing w:val="0"/>
              </w:rPr>
            </w:pPr>
            <w:r>
              <w:rPr>
                <w:spacing w:val="0"/>
              </w:rPr>
              <w:t> </w:t>
            </w:r>
          </w:p>
        </w:tc>
        <w:tc>
          <w:tcPr>
            <w:tcW w:w="175" w:type="dxa"/>
            <w:tcBorders/>
            <w:vAlign w:val="center"/>
          </w:tcPr>
          <w:p>
            <w:pPr>
              <w:pStyle w:val="TableContents"/>
              <w:bidi w:val="0"/>
              <w:spacing w:before="0" w:after="0"/>
              <w:jc w:val="left"/>
              <w:rPr>
                <w:spacing w:val="0"/>
              </w:rPr>
            </w:pPr>
            <w:r>
              <w:rPr>
                <w:spacing w:val="0"/>
              </w:rPr>
              <w:t>  </w:t>
            </w:r>
          </w:p>
        </w:tc>
        <w:tc>
          <w:tcPr>
            <w:tcW w:w="241" w:type="dxa"/>
            <w:tcBorders/>
            <w:vAlign w:val="center"/>
          </w:tcPr>
          <w:p>
            <w:pPr>
              <w:pStyle w:val="TableContents"/>
              <w:bidi w:val="0"/>
              <w:spacing w:before="0" w:after="0"/>
              <w:jc w:val="left"/>
              <w:rPr>
                <w:spacing w:val="0"/>
              </w:rPr>
            </w:pPr>
            <w:r>
              <w:rPr>
                <w:spacing w:val="0"/>
              </w:rPr>
              <w:t>$</w:t>
            </w:r>
          </w:p>
        </w:tc>
        <w:tc>
          <w:tcPr>
            <w:tcW w:w="1178" w:type="dxa"/>
            <w:tcBorders/>
            <w:vAlign w:val="center"/>
          </w:tcPr>
          <w:p>
            <w:pPr>
              <w:pStyle w:val="TableContents"/>
              <w:bidi w:val="0"/>
              <w:spacing w:before="0" w:after="0"/>
              <w:jc w:val="right"/>
              <w:rPr>
                <w:spacing w:val="0"/>
              </w:rPr>
            </w:pPr>
            <w:r>
              <w:rPr>
                <w:spacing w:val="0"/>
              </w:rPr>
              <w:t>51,882</w:t>
            </w:r>
          </w:p>
        </w:tc>
        <w:tc>
          <w:tcPr>
            <w:tcW w:w="178" w:type="dxa"/>
            <w:tcBorders/>
            <w:vAlign w:val="center"/>
          </w:tcPr>
          <w:p>
            <w:pPr>
              <w:pStyle w:val="TableContents"/>
              <w:bidi w:val="0"/>
              <w:spacing w:before="0" w:after="0"/>
              <w:jc w:val="left"/>
              <w:rPr>
                <w:spacing w:val="0"/>
              </w:rPr>
            </w:pPr>
            <w:r>
              <w:rPr>
                <w:spacing w:val="0"/>
              </w:rPr>
              <w:t> </w:t>
            </w:r>
          </w:p>
        </w:tc>
      </w:tr>
      <w:tr>
        <w:trPr/>
        <w:tc>
          <w:tcPr>
            <w:tcW w:w="307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24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9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51" w:type="dxa"/>
            <w:tcBorders/>
            <w:vAlign w:val="center"/>
          </w:tcPr>
          <w:p>
            <w:pPr>
              <w:pStyle w:val="TableContents"/>
              <w:bidi w:val="0"/>
              <w:spacing w:before="0" w:after="0"/>
              <w:jc w:val="left"/>
              <w:rPr>
                <w:spacing w:val="0"/>
              </w:rPr>
            </w:pPr>
            <w:r>
              <w:rPr>
                <w:spacing w:val="0"/>
              </w:rPr>
              <w:t> </w:t>
            </w:r>
          </w:p>
        </w:tc>
        <w:tc>
          <w:tcPr>
            <w:tcW w:w="194" w:type="dxa"/>
            <w:tcBorders/>
            <w:vAlign w:val="center"/>
          </w:tcPr>
          <w:p>
            <w:pPr>
              <w:pStyle w:val="TableContents"/>
              <w:bidi w:val="0"/>
              <w:spacing w:before="0" w:after="0"/>
              <w:jc w:val="left"/>
              <w:rPr>
                <w:spacing w:val="0"/>
              </w:rPr>
            </w:pPr>
            <w:r>
              <w:rPr>
                <w:spacing w:val="0"/>
              </w:rPr>
              <w:t>  </w:t>
            </w:r>
          </w:p>
        </w:tc>
        <w:tc>
          <w:tcPr>
            <w:tcW w:w="24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9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4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26" w:type="dxa"/>
            <w:tcBorders/>
            <w:vAlign w:val="center"/>
          </w:tcPr>
          <w:p>
            <w:pPr>
              <w:pStyle w:val="TableContents"/>
              <w:bidi w:val="0"/>
              <w:spacing w:before="0" w:after="0"/>
              <w:jc w:val="left"/>
              <w:rPr>
                <w:spacing w:val="0"/>
              </w:rPr>
            </w:pPr>
            <w:r>
              <w:rPr>
                <w:spacing w:val="0"/>
              </w:rPr>
              <w:t> </w:t>
            </w:r>
          </w:p>
        </w:tc>
        <w:tc>
          <w:tcPr>
            <w:tcW w:w="175" w:type="dxa"/>
            <w:tcBorders/>
            <w:vAlign w:val="center"/>
          </w:tcPr>
          <w:p>
            <w:pPr>
              <w:pStyle w:val="TableContents"/>
              <w:bidi w:val="0"/>
              <w:spacing w:before="0" w:after="0"/>
              <w:jc w:val="left"/>
              <w:rPr>
                <w:spacing w:val="0"/>
              </w:rPr>
            </w:pPr>
            <w:r>
              <w:rPr>
                <w:spacing w:val="0"/>
              </w:rPr>
              <w:t>  </w:t>
            </w:r>
          </w:p>
        </w:tc>
        <w:tc>
          <w:tcPr>
            <w:tcW w:w="24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8" w:type="dxa"/>
            <w:tcBorders/>
            <w:vAlign w:val="center"/>
          </w:tcPr>
          <w:p>
            <w:pPr>
              <w:pStyle w:val="TableContents"/>
              <w:bidi w:val="0"/>
              <w:spacing w:before="0" w:after="0"/>
              <w:jc w:val="left"/>
              <w:rPr>
                <w:spacing w:val="0"/>
              </w:rPr>
            </w:pPr>
            <w:r>
              <w:rPr>
                <w:spacing w:val="0"/>
              </w:rPr>
              <w:t>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0"/>
              <w:jc w:val="left"/>
              <w:rPr>
                <w:spacing w:val="0"/>
              </w:rPr>
            </w:pPr>
            <w:r>
              <w:rPr>
                <w:spacing w:val="0"/>
              </w:rPr>
              <w:t>(1)</w:t>
            </w:r>
          </w:p>
        </w:tc>
        <w:tc>
          <w:tcPr>
            <w:tcW w:w="9918"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 significant expense categories and amounts align with the segment-level information that is regularly provided to the chief operating decision maker.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0"/>
              <w:jc w:val="left"/>
              <w:rPr>
                <w:spacing w:val="0"/>
              </w:rPr>
            </w:pPr>
            <w:r>
              <w:rPr>
                <w:spacing w:val="0"/>
              </w:rPr>
              <w:t>(2)</w:t>
            </w:r>
          </w:p>
        </w:tc>
        <w:tc>
          <w:tcPr>
            <w:tcW w:w="99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Research and development expense excludes stock-based compensation expense, which is presented separately below. Stock-based compensation expense excluded from research and development expense was $0.7 million and $1.2 million for the three months ended June 30, 2026 and 2025, respectively, and $1.4 million and $2.0 million for the six months ended June 30, 2026 and 2025, respectively.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0"/>
              <w:jc w:val="left"/>
              <w:rPr>
                <w:spacing w:val="0"/>
              </w:rPr>
            </w:pPr>
            <w:r>
              <w:rPr>
                <w:spacing w:val="0"/>
              </w:rPr>
              <w:t>(3)</w:t>
            </w:r>
          </w:p>
        </w:tc>
        <w:tc>
          <w:tcPr>
            <w:tcW w:w="99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General and administrative expense excludes stock-based compensation expense, which is presented separately below. Stock-based compensation expense excluded from general and administrative expense was $0.8 million and $1.6 million for the three months ended June 30, 2026 and 2025, respectively, and $1.6 million and $2.9 million for the six months ended June 30, 2026 and 2025, respectively. </w:t>
            </w:r>
          </w:p>
        </w:tc>
      </w:tr>
    </w:tbl>
    <w:tbl>
      <w:tblPr>
        <w:tblW w:w="5185" w:type="dxa"/>
        <w:jc w:val="left"/>
        <w:tblInd w:w="0" w:type="dxa"/>
        <w:tblLayout w:type="fixed"/>
        <w:tblCellMar>
          <w:top w:w="0" w:type="dxa"/>
          <w:left w:w="0" w:type="dxa"/>
          <w:bottom w:w="0" w:type="dxa"/>
          <w:right w:w="0" w:type="dxa"/>
        </w:tblCellMar>
      </w:tblPr>
      <w:tblGrid>
        <w:gridCol w:w="305"/>
        <w:gridCol w:w="4880"/>
      </w:tblGrid>
      <w:tr>
        <w:trPr/>
        <w:tc>
          <w:tcPr>
            <w:tcW w:w="305" w:type="dxa"/>
            <w:tcBorders/>
            <w:vAlign w:val="center"/>
          </w:tcPr>
          <w:p>
            <w:pPr>
              <w:pStyle w:val="TableContents"/>
              <w:bidi w:val="0"/>
              <w:spacing w:before="0" w:after="0"/>
              <w:jc w:val="left"/>
              <w:rPr>
                <w:spacing w:val="0"/>
              </w:rPr>
            </w:pPr>
            <w:r>
              <w:rPr>
                <w:spacing w:val="0"/>
              </w:rPr>
              <w:t>(4)</w:t>
            </w:r>
          </w:p>
        </w:tc>
        <w:tc>
          <w:tcPr>
            <w:tcW w:w="48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Other segment items include interest and other income, net. </w:t>
            </w:r>
          </w:p>
        </w:tc>
      </w:tr>
    </w:tbl>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14. Subsequent Events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The Company has evaluated subsequent events through August 14, 2026, the date these condensed consolidated financial statements were issued, and determined that there have been no events that have occurred that would require adjustments to the Company’s disclosures in the condensed consolidated financial statements, except for the following:</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Galera Transaction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August 3, 2026, Gazelle Parent, Inc. (“Parent”) completed the previously announced mergers pursuant to the Agreement and Plan of the Merger (the “Merger Agreement”) dated April 14, 2026, by and among Parent, the Company, Onyx MergerSub, Inc., Gazelle Merger Subsidiary, Inc. and Galera, such that Parent, who subsequently changed its name to Obsidian Therapeutics, Inc., became the parent of two wholly owned subsidiaries, Obsidian Therapeutics Sub, Inc. (formerly Obsidian Therapeutics, Inc. (“Legacy Obsidian”)) and Galera Therapeutics, Inc. (“Legacy Galera”).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In connection with the closing of the transaction, all outstanding shares of the Legacy Obsidian preferred stock and outstanding warrants were converted into shares of Legacy Obsidian common stock, which were subsequently converted into shares of Parent common stock calculated as defined in the Merger Agreement. Additionally, each outstanding and unexercised option to purchase Legacy Obsidian shares was converted into an option to purchase shares of Parent common stock, with necessary adjustments to the number of shares and exercise price pursuant to the terms of the Merger Agreement.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Concurrently with entering into the Merger Agreement, on April 14, 2026, Parent, Legacy Obsidian and Legacy Galera entered into a securities purchase agreement (the “Securities Purchase Agreement”), with certain qualified institutional buyers and/or accredited investors (the “Investors”). Pursuant to the Securities Purchase Agreement, and subject to the terms and conditions therein, the Investors agreed to purchase, and Legacy Galera agreed to issue and sell, immediately prior to the effective time of the Obsidian Merger (the “Obsidian Effective Time”), shares of Legacy Galera’s Series C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Non-Voting</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Convertible Preferred Stock, par value $0.001 per share (“Series C Preferred Stock”), for an aggregate purchase price of $350.0 million (the “Concurrent PIPE Financing”). The Concurrent PIPE Financing closed on July 31, 2026.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In connection with the Concurrent PIPE Financing, Parent and Legacy Galera and the investors in the Concurrent PIPE Financing entered into a registration rights agreement (the “Registration Rights Agreement”), pursuant to which, among other things, the Company agreed to register for resale certain shares of common stock of Parent, par value $</w:t>
      </w:r>
    </w:p>
    <w:p>
      <w:pPr>
        <w:pStyle w:val="TextBody"/>
        <w:bidi w:val="0"/>
        <w:spacing w:before="240" w:after="0"/>
        <w:jc w:val="left"/>
        <w:rPr>
          <w:rFonts w:ascii="Times New Roman" w:hAnsi="Times New Roman"/>
          <w:spacing w:val="0"/>
          <w:sz w:val="20"/>
        </w:rPr>
      </w:pPr>
      <w:r>
        <w:rPr>
          <w:rFonts w:ascii="Times New Roman" w:hAnsi="Times New Roman"/>
          <w:spacing w:val="0"/>
          <w:sz w:val="20"/>
        </w:rPr>
        <w:t>0.0001</w:t>
      </w:r>
    </w:p>
    <w:p>
      <w:pPr>
        <w:pStyle w:val="TextBody"/>
        <w:bidi w:val="0"/>
        <w:spacing w:before="240" w:after="0"/>
        <w:jc w:val="left"/>
        <w:rPr>
          <w:spacing w:val="0"/>
        </w:rPr>
      </w:pPr>
      <w:r>
        <w:rPr>
          <w:spacing w:val="0"/>
        </w:rPr>
        <w:t> </w:t>
      </w:r>
      <w:r>
        <w:rPr>
          <w:rFonts w:ascii="Times New Roman" w:hAnsi="Times New Roman"/>
          <w:spacing w:val="0"/>
          <w:sz w:val="20"/>
        </w:rPr>
        <w:t xml:space="preserve">per share (“Parent Common Stock”) held by such Investors from time to time, including shares of Parent Common Stock issued in the Mergers in exchange for the shares of common stock, par value $0.001 per share, of Legacy Galera (“Legacy Galera Common Stock”) issued in the Concurrent PIPE Financing.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On August 3, 2026, Parent and Legacy Obsidian entered into a Contingent Value Rights Agreement (the “CVR Agreement”) with Equiniti Trust Company, LLC (the “Rights Agent”), pursuant to which stockholders of Legacy Galera of record as of July 31, 2026 received (1) one contingent value right, each a CVR, for each outstanding share of Legacy Galera Common Stock held by such stockholder on such date, representing the right to receive a pro rata portion of 80% of any potential future net proceeds received by Parent or its affiliates from the development, commercialization, licensing, sale or other disposition of the Legacy Product (as defined in the CVR Agreement), or related intellectual property during the five years following the closing and (2) the CVR for each outstanding share of Legacy Galera Common Stock held by such stockholder on such date, representing the right to receive a pro rata portion of 95% of any potential future net proceeds received by Parent or its affiliates from the Supportive-Care Product Divestiture (as defined in the CVR Agreement) during the ten years following the closing.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Parent began trading on the Nasdaq Capital Market under the ticker symbol “OBX” on August 4, 2026. </w:t>
      </w:r>
    </w:p>
    <w:p>
      <w:pPr>
        <w:pStyle w:val="TextBody"/>
        <w:bidi w:val="0"/>
        <w:spacing w:before="0" w:after="0"/>
        <w:ind w:left="0" w:right="0" w:hanging="0"/>
        <w:jc w:val="left"/>
        <w:rPr>
          <w:spacing w:val="0"/>
        </w:rPr>
      </w:pPr>
      <w:r>
        <w:rPr>
          <w:spacing w:val="0"/>
        </w:rPr>
        <w:t> </w:t>
      </w:r>
    </w:p>
    <w:p>
      <w:pPr>
        <w:pStyle w:val="TextBody"/>
        <w:bidi w:val="0"/>
        <w:ind w:left="0" w:right="0" w:hanging="0"/>
        <w:jc w:val="center"/>
        <w:rPr>
          <w:rFonts w:ascii="Times New Roman" w:hAnsi="Times New Roman"/>
          <w:spacing w:val="0"/>
          <w:sz w:val="20"/>
        </w:rPr>
      </w:pPr>
      <w:r>
        <w:rPr>
          <w:rFonts w:ascii="Times New Roman" w:hAnsi="Times New Roman"/>
          <w:spacing w:val="0"/>
          <w:sz w:val="20"/>
        </w:rPr>
        <w:t xml:space="preserve">F-45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960" w:after="0"/>
        <w:jc w:val="center"/>
        <w:rPr>
          <w:rFonts w:ascii="Times New Roman" w:hAnsi="Times New Roman"/>
          <w:b/>
          <w:sz w:val="32"/>
        </w:rPr>
      </w:pPr>
      <w:r>
        <w:rPr>
          <w:rFonts w:ascii="Times New Roman" w:hAnsi="Times New Roman"/>
          <w:b/>
          <w:sz w:val="32"/>
        </w:rPr>
        <w:t xml:space="preserve">29,164,045 Shares of Common Stock </w:t>
      </w:r>
    </w:p>
    <w:p>
      <w:pPr>
        <w:pStyle w:val="TextBody"/>
        <w:bidi w:val="0"/>
        <w:spacing w:before="0" w:after="0"/>
        <w:jc w:val="left"/>
        <w:rPr/>
      </w:pPr>
      <w:r>
        <w:rPr/>
        <w:t> </w:t>
      </w:r>
    </w:p>
    <w:p>
      <w:pPr>
        <w:pStyle w:val="TextBody"/>
        <w:bidi w:val="0"/>
        <w:spacing w:before="0" w:after="0"/>
        <w:jc w:val="center"/>
        <w:rPr/>
      </w:pPr>
      <w:r>
        <w:rPr/>
        <w:drawing>
          <wp:inline distT="0" distB="0" distL="0" distR="0">
            <wp:extent cx="3237230" cy="76263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3237230" cy="76263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PRELIMINARY 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1920" w:after="0"/>
        <w:jc w:val="center"/>
        <w:rPr/>
      </w:pPr>
      <w:r>
        <w:rPr/>
        <w:t>   </w:t>
      </w:r>
      <w:r>
        <w:rPr>
          <w:rFonts w:ascii="Times New Roman" w:hAnsi="Times New Roman"/>
          <w:b/>
          <w:sz w:val="20"/>
        </w:rPr>
        <w:t xml:space="preserve">,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16" w:space="1" w:color="000000"/>
        </w:rPr>
      </w:pPr>
      <w:r>
        <w:rPr>
          <w:bdr w:val="single" w:sz="16" w:space="1" w:color="00000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13.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fees and expenses, other than underwriting discounts and commissions, payable in connection with the registration of the common stock hereunder. All amounts are estimates except for the Securities and Exchange Commission, or SEC, registration fee, the Financial Industry Regulatory Authority, Inc., or FINRA, filing fee and The Nasdaq Capital Market, or Nasdaq, listing fee. </w:t>
      </w:r>
    </w:p>
    <w:p>
      <w:pPr>
        <w:pStyle w:val="TextBody"/>
        <w:bidi w:val="0"/>
        <w:spacing w:before="0" w:after="0"/>
        <w:jc w:val="left"/>
        <w:rPr/>
      </w:pPr>
      <w:r>
        <w:rPr/>
        <w:t> </w:t>
      </w:r>
    </w:p>
    <w:tbl>
      <w:tblPr>
        <w:tblW w:w="5040" w:type="dxa"/>
        <w:jc w:val="left"/>
        <w:tblInd w:w="0" w:type="dxa"/>
        <w:tblLayout w:type="fixed"/>
        <w:tblCellMar>
          <w:top w:w="0" w:type="dxa"/>
          <w:left w:w="0" w:type="dxa"/>
          <w:bottom w:w="0" w:type="dxa"/>
          <w:right w:w="0" w:type="dxa"/>
        </w:tblCellMar>
      </w:tblPr>
      <w:tblGrid>
        <w:gridCol w:w="3725"/>
        <w:gridCol w:w="120"/>
        <w:gridCol w:w="140"/>
        <w:gridCol w:w="980"/>
        <w:gridCol w:w="75"/>
      </w:tblGrid>
      <w:tr>
        <w:trPr/>
        <w:tc>
          <w:tcPr>
            <w:tcW w:w="3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br/>
              <w:t>to be Paid </w:t>
            </w:r>
          </w:p>
        </w:tc>
        <w:tc>
          <w:tcPr>
            <w:tcW w:w="75"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74,490</w:t>
            </w:r>
          </w:p>
        </w:tc>
        <w:tc>
          <w:tcPr>
            <w:tcW w:w="75" w:type="dxa"/>
            <w:tcBorders/>
            <w:shd w:fill="CCEEFF" w:val="clear"/>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Printing and mailing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474,193</w:t>
            </w:r>
          </w:p>
        </w:tc>
        <w:tc>
          <w:tcPr>
            <w:tcW w:w="75"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250,000</w:t>
            </w:r>
          </w:p>
        </w:tc>
        <w:tc>
          <w:tcPr>
            <w:tcW w:w="75" w:type="dxa"/>
            <w:tcBorders/>
            <w:shd w:fill="CCEEFF" w:val="clear"/>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60,000</w:t>
            </w:r>
          </w:p>
        </w:tc>
        <w:tc>
          <w:tcPr>
            <w:tcW w:w="75"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Transfer agent and registrar fees and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115,161</w:t>
            </w:r>
          </w:p>
        </w:tc>
        <w:tc>
          <w:tcPr>
            <w:tcW w:w="75" w:type="dxa"/>
            <w:tcBorders/>
            <w:shd w:fill="CCEEFF" w:val="clear"/>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Miscellaneous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76,156</w:t>
            </w:r>
          </w:p>
        </w:tc>
        <w:tc>
          <w:tcPr>
            <w:tcW w:w="75"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1,050,000</w:t>
            </w:r>
          </w:p>
        </w:tc>
        <w:tc>
          <w:tcPr>
            <w:tcW w:w="75" w:type="dxa"/>
            <w:tcBorders/>
            <w:shd w:fill="CCEEFF" w:val="clear"/>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14.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Section 145 of the Delaware General Corporation Law, or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 </w:t>
      </w:r>
    </w:p>
    <w:p>
      <w:pPr>
        <w:pStyle w:val="TextBody"/>
        <w:bidi w:val="0"/>
        <w:spacing w:before="240" w:after="0"/>
        <w:jc w:val="left"/>
        <w:rPr>
          <w:rFonts w:ascii="Times New Roman" w:hAnsi="Times New Roman"/>
          <w:sz w:val="20"/>
        </w:rPr>
      </w:pPr>
      <w:r>
        <w:rPr>
          <w:rFonts w:ascii="Times New Roman" w:hAnsi="Times New Roman"/>
          <w:sz w:val="20"/>
        </w:rPr>
        <w:t xml:space="preserve">We have adopted provisions in our certificate of incorporation and bylaws that limit or eliminate the personal liability of our directors and officers to the fullest extent permitted by the DGCL, as it now exists or may in the future be amended. Consequently, our directors and officers will not be personally liable to us or our stockholders for monetary damages or breach of fiduciary duty as a director or officer, except for liability for: </w:t>
      </w:r>
    </w:p>
    <w:p>
      <w:pPr>
        <w:pStyle w:val="TextBody"/>
        <w:bidi w:val="0"/>
        <w:spacing w:before="0" w:after="0"/>
        <w:jc w:val="left"/>
        <w:rPr/>
      </w:pPr>
      <w:r>
        <w:rPr/>
        <w:t> </w:t>
      </w:r>
    </w:p>
    <w:tbl>
      <w:tblPr>
        <w:tblW w:w="5200" w:type="dxa"/>
        <w:jc w:val="left"/>
        <w:tblInd w:w="0" w:type="dxa"/>
        <w:tblLayout w:type="fixed"/>
        <w:tblCellMar>
          <w:top w:w="0" w:type="dxa"/>
          <w:left w:w="0" w:type="dxa"/>
          <w:bottom w:w="0" w:type="dxa"/>
          <w:right w:w="0" w:type="dxa"/>
        </w:tblCellMar>
      </w:tblPr>
      <w:tblGrid>
        <w:gridCol w:w="75"/>
        <w:gridCol w:w="110"/>
        <w:gridCol w:w="60"/>
        <w:gridCol w:w="49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breach of their duty of loyalty to us or our stockholders; </w:t>
            </w:r>
          </w:p>
        </w:tc>
      </w:tr>
    </w:tbl>
    <w:p>
      <w:pPr>
        <w:pStyle w:val="TextBody"/>
        <w:bidi w:val="0"/>
        <w:spacing w:before="0" w:after="0"/>
        <w:jc w:val="left"/>
        <w:rPr/>
      </w:pPr>
      <w:r>
        <w:rPr/>
        <w:t> </w:t>
      </w:r>
    </w:p>
    <w:tbl>
      <w:tblPr>
        <w:tblW w:w="9070" w:type="dxa"/>
        <w:jc w:val="left"/>
        <w:tblInd w:w="0" w:type="dxa"/>
        <w:tblLayout w:type="fixed"/>
        <w:tblCellMar>
          <w:top w:w="0" w:type="dxa"/>
          <w:left w:w="0" w:type="dxa"/>
          <w:bottom w:w="0" w:type="dxa"/>
          <w:right w:w="0" w:type="dxa"/>
        </w:tblCellMar>
      </w:tblPr>
      <w:tblGrid>
        <w:gridCol w:w="75"/>
        <w:gridCol w:w="110"/>
        <w:gridCol w:w="60"/>
        <w:gridCol w:w="88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act or omission not in good faith or that involves intentional misconduct or a knowing violation of law;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our directors, any unlawful payments related to dividends or unlawful stock purchases, redemptions or other distributions as provided in Section 174 of the DGCL; </w:t>
            </w:r>
          </w:p>
        </w:tc>
      </w:tr>
    </w:tbl>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75"/>
        <w:gridCol w:w="110"/>
        <w:gridCol w:w="60"/>
        <w:gridCol w:w="73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from which the director or officer derived an improper personal benefit; or </w:t>
            </w:r>
          </w:p>
        </w:tc>
      </w:tr>
    </w:tbl>
    <w:p>
      <w:pPr>
        <w:pStyle w:val="TextBody"/>
        <w:bidi w:val="0"/>
        <w:spacing w:before="0" w:after="0"/>
        <w:jc w:val="left"/>
        <w:rPr/>
      </w:pPr>
      <w:r>
        <w:rPr/>
        <w:t> </w:t>
      </w:r>
    </w:p>
    <w:tbl>
      <w:tblPr>
        <w:tblW w:w="6280" w:type="dxa"/>
        <w:jc w:val="left"/>
        <w:tblInd w:w="0" w:type="dxa"/>
        <w:tblLayout w:type="fixed"/>
        <w:tblCellMar>
          <w:top w:w="0" w:type="dxa"/>
          <w:left w:w="0" w:type="dxa"/>
          <w:bottom w:w="0" w:type="dxa"/>
          <w:right w:w="0" w:type="dxa"/>
        </w:tblCellMar>
      </w:tblPr>
      <w:tblGrid>
        <w:gridCol w:w="75"/>
        <w:gridCol w:w="110"/>
        <w:gridCol w:w="60"/>
        <w:gridCol w:w="60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our officers, any derivative action by or in the right of the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of liability do not alter director and officer liability under the federal securities laws and do not affect the availability of equitable remedies such as an injunction or rescission.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our bylaws provide that: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will indemnify our directors, officers and, in the discretion of our board of directors, certain employees to the fullest extent permitted by the DGCL, as it now exists or may in the future be amended;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will advance reasonable expenses, including attorneys’ fees, to our directors and, in the discretion of our board of directors, to our officers and certain employees, in connection with legal proceedings relating to their service for or on behalf of us, subject to limited exceptions.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entered into indemnification agreements with each of our directors and intend to enter into such agreements with our executive officers. These agreements provide that we will indemnify each of our directors, our executive officers and, at times, their affiliates to the fullest extent permitted by Delaware law. We will advance expenses, including attorneys’ fees (but excluding judgments, fines and settlement amounts), to each indemnified director, executive officer or affiliate in connection with any proceeding in which indemnification is available and we will indemnify our directors and officers for any action or proceeding arising out of that person’s services as a director or officer brought on behalf of us or in furtherance of our rights. Additionally, certain of our directors or officers may have certain rights to indemnification, advancement of expenses or insurance provided by their affiliates or other third parties, which indemnification relates to and might apply to the same proceedings arising out of such director’s or officer’s services as a director referenced herein. Nonetheless, we have agreed in the indemnification agreements that our obligations to those same directors or officers are primary and any obligation of such affiliates or other third parties to advance expenses or to provide indemnification for the expenses or liabilities incurred by those directors are secondary. </w:t>
      </w:r>
    </w:p>
    <w:p>
      <w:pPr>
        <w:pStyle w:val="TextBody"/>
        <w:bidi w:val="0"/>
        <w:spacing w:before="240" w:after="0"/>
        <w:jc w:val="left"/>
        <w:rPr>
          <w:rFonts w:ascii="Times New Roman" w:hAnsi="Times New Roman"/>
          <w:sz w:val="20"/>
        </w:rPr>
      </w:pPr>
      <w:r>
        <w:rPr>
          <w:rFonts w:ascii="Times New Roman" w:hAnsi="Times New Roman"/>
          <w:sz w:val="20"/>
        </w:rPr>
        <w:t xml:space="preserve">We also maintain general liability insurance which covers certain liabilities of our directors and officers arising out of claims based on acts or omissions in their capacities as directors or officers, including liabilities under the Securities Act of 1933, as amended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Item 15. Recent Sales of Unregistered Securities. </w:t>
      </w:r>
    </w:p>
    <w:p>
      <w:pPr>
        <w:pStyle w:val="TextBody"/>
        <w:bidi w:val="0"/>
        <w:spacing w:before="120" w:after="0"/>
        <w:jc w:val="left"/>
        <w:rPr>
          <w:rFonts w:ascii="Times New Roman" w:hAnsi="Times New Roman"/>
          <w:sz w:val="20"/>
        </w:rPr>
      </w:pPr>
      <w:r>
        <w:rPr>
          <w:rFonts w:ascii="Times New Roman" w:hAnsi="Times New Roman"/>
          <w:sz w:val="20"/>
        </w:rPr>
        <w:t xml:space="preserve">In the three years preceding the filing of this registration statement, we have issued the following securities that were not registered under the Securities Act: </w:t>
      </w:r>
    </w:p>
    <w:p>
      <w:pPr>
        <w:pStyle w:val="TextBody"/>
        <w:bidi w:val="0"/>
        <w:spacing w:before="0" w:after="0"/>
        <w:jc w:val="left"/>
        <w:rPr/>
      </w:pPr>
      <w:r>
        <w:rPr/>
        <w:t> </w:t>
      </w:r>
    </w:p>
    <w:tbl>
      <w:tblPr>
        <w:tblW w:w="2635" w:type="dxa"/>
        <w:jc w:val="left"/>
        <w:tblInd w:w="0" w:type="dxa"/>
        <w:tblLayout w:type="fixed"/>
        <w:tblCellMar>
          <w:top w:w="0" w:type="dxa"/>
          <w:left w:w="0" w:type="dxa"/>
          <w:bottom w:w="0" w:type="dxa"/>
          <w:right w:w="0" w:type="dxa"/>
        </w:tblCellMar>
      </w:tblPr>
      <w:tblGrid>
        <w:gridCol w:w="75"/>
        <w:gridCol w:w="290"/>
        <w:gridCol w:w="227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b/>
              </w:rPr>
            </w:pPr>
            <w:r>
              <w:rPr>
                <w:b/>
              </w:rPr>
              <w:t>(a)</w:t>
            </w:r>
          </w:p>
        </w:tc>
        <w:tc>
          <w:tcPr>
            <w:tcW w:w="22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Issuances of Capital 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February 2026, we issued 7,085,290 shares of common stock to an investor upon conversion of its Series A-1 convertible preferred stock. We did not receive any proceeds upon the conversion. The shares were issued without registration under the Securities Act, in reliance on the exemption provided by Section 3(a)(9)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In March 2024, we issued and sold an aggregate of 84,567,145 shares of Series C convertible preferred stock at a purchase price of $1.8979 per share for an aggregate purchase price of approximately $160.5 million.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Mergers, Legacy Galera entered into a Securities Purchase Agreement in April 2026 with certain investors to consummate the PIPE Financing. Pursuant to the Securities Purchase Agreement, the investors agreed to purchase an aggregate of 29,166,166 shares of Legacy Galera Series C Non-Voting Convertible Preferred Stock, at a price of $12.00 per share, for aggregate gross proceeds of approximately $350.0 million. </w:t>
      </w:r>
    </w:p>
    <w:p>
      <w:pPr>
        <w:pStyle w:val="TextBody"/>
        <w:bidi w:val="0"/>
        <w:spacing w:before="240" w:after="0"/>
        <w:jc w:val="left"/>
        <w:rPr>
          <w:rFonts w:ascii="Times New Roman" w:hAnsi="Times New Roman"/>
          <w:sz w:val="20"/>
        </w:rPr>
      </w:pPr>
      <w:r>
        <w:rPr>
          <w:rFonts w:ascii="Times New Roman" w:hAnsi="Times New Roman"/>
          <w:sz w:val="20"/>
        </w:rPr>
        <w:t xml:space="preserve">No underwriters were involved in the foregoing sales of securities. Unless otherwise stated, the sales of securities described above were deemed to be exempt from registration pursuant to Section 4(a)(2) of the Securities Act, including Regulation D and Rule 506 promulgated thereunder, as transactions by an issuer not involving a public offering. All of the purchasers in these transactions represented to us in connection with their purchase that they were acquiring the securities for investment and not distribution, that they could bear the risks of the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could hold the securities for an indefinite period of time. Such purchasers received written disclosures that the securities had not been registered under the Securities Act and that any resale must be made pursuant to a registration or an available exemption from such registration. All of the foregoing securities are deemed restricted securities for the purposes of the Securities Act. </w:t>
      </w:r>
    </w:p>
    <w:p>
      <w:pPr>
        <w:pStyle w:val="TextBody"/>
        <w:bidi w:val="0"/>
        <w:spacing w:before="0" w:after="0"/>
        <w:jc w:val="left"/>
        <w:rPr/>
      </w:pPr>
      <w:r>
        <w:rPr/>
        <w:t> </w:t>
      </w:r>
    </w:p>
    <w:tbl>
      <w:tblPr>
        <w:tblW w:w="3685" w:type="dxa"/>
        <w:jc w:val="left"/>
        <w:tblInd w:w="0" w:type="dxa"/>
        <w:tblLayout w:type="fixed"/>
        <w:tblCellMar>
          <w:top w:w="0" w:type="dxa"/>
          <w:left w:w="0" w:type="dxa"/>
          <w:bottom w:w="0" w:type="dxa"/>
          <w:right w:w="0" w:type="dxa"/>
        </w:tblCellMar>
      </w:tblPr>
      <w:tblGrid>
        <w:gridCol w:w="75"/>
        <w:gridCol w:w="305"/>
        <w:gridCol w:w="3305"/>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b/>
              </w:rPr>
            </w:pPr>
            <w:r>
              <w:rPr>
                <w:b/>
              </w:rPr>
              <w:t>(b)</w:t>
            </w:r>
          </w:p>
        </w:tc>
        <w:tc>
          <w:tcPr>
            <w:tcW w:w="33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Grants and Exercises of Stock Options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Since January 1, 2023, we have granted stock options to purchase an aggregate of 43,329,428 shares of our common stock, with a weighted average exercise price of $0.78 per share, to employees, directors and consultants pursuant to the 2016 Plan. Since January 1, 2023, 4,381,127 shares of common stock have been issued upon the exercise of stock options pursuant to the 2016 Plan. Since January 1, 2023, 10,195,602 stock options previously issued pursuant to the 2016 Plan have been forfeited. </w:t>
      </w:r>
    </w:p>
    <w:p>
      <w:pPr>
        <w:pStyle w:val="TextBody"/>
        <w:bidi w:val="0"/>
        <w:spacing w:before="240" w:after="0"/>
        <w:jc w:val="left"/>
        <w:rPr>
          <w:rFonts w:ascii="Times New Roman" w:hAnsi="Times New Roman"/>
          <w:sz w:val="20"/>
        </w:rPr>
      </w:pPr>
      <w:r>
        <w:rPr>
          <w:rFonts w:ascii="Times New Roman" w:hAnsi="Times New Roman"/>
          <w:sz w:val="20"/>
        </w:rPr>
        <w:t xml:space="preserve">The issuances of the securities described above were deemed to be exempt from registration pursuant to Section 4(a)(2) of the Securities Act or Rule 701 promulgated under the Securities Act as transactions pursuant to compensatory benefit plans. The shares of common stock issued upon the exercise of options are deemed to be restricted securities for purposes of the Securities Act. The recipients of such securities were our directors, employees or bona fide consultants and received the securities under our equity incentive plans. Appropriate legends were affixed to the securities issued in these transactions. Each of the recipients of securities in these transactions had adequate access, through employment, business or other relationships, to information about us. </w:t>
      </w:r>
    </w:p>
    <w:p>
      <w:pPr>
        <w:pStyle w:val="TextBody"/>
        <w:bidi w:val="0"/>
        <w:spacing w:before="360" w:after="0"/>
        <w:jc w:val="left"/>
        <w:rPr>
          <w:rFonts w:ascii="Times New Roman" w:hAnsi="Times New Roman"/>
          <w:b/>
          <w:sz w:val="20"/>
        </w:rPr>
      </w:pPr>
      <w:r>
        <w:rPr>
          <w:rFonts w:ascii="Times New Roman" w:hAnsi="Times New Roman"/>
          <w:b/>
          <w:sz w:val="20"/>
        </w:rPr>
        <w:t xml:space="preserve">Item 16. Exhibits and Financial Statement Schedules. </w:t>
      </w:r>
    </w:p>
    <w:p>
      <w:pPr>
        <w:pStyle w:val="TextBody"/>
        <w:bidi w:val="0"/>
        <w:spacing w:before="0" w:after="0"/>
        <w:jc w:val="left"/>
        <w:rPr/>
      </w:pPr>
      <w:r>
        <w:rPr/>
        <w:t> </w:t>
      </w:r>
    </w:p>
    <w:tbl>
      <w:tblPr>
        <w:tblW w:w="1150" w:type="dxa"/>
        <w:jc w:val="left"/>
        <w:tblInd w:w="0" w:type="dxa"/>
        <w:tblLayout w:type="fixed"/>
        <w:tblCellMar>
          <w:top w:w="0" w:type="dxa"/>
          <w:left w:w="0" w:type="dxa"/>
          <w:bottom w:w="0" w:type="dxa"/>
          <w:right w:w="0" w:type="dxa"/>
        </w:tblCellMar>
      </w:tblPr>
      <w:tblGrid>
        <w:gridCol w:w="75"/>
        <w:gridCol w:w="290"/>
        <w:gridCol w:w="78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b/>
              </w:rPr>
            </w:pPr>
            <w:r>
              <w:rPr>
                <w:b/>
              </w:rPr>
              <w:t>(a)</w:t>
            </w:r>
          </w:p>
        </w:tc>
        <w:tc>
          <w:tcPr>
            <w:tcW w:w="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90"/>
        <w:gridCol w:w="60"/>
        <w:gridCol w:w="9255"/>
      </w:tblGrid>
      <w:tr>
        <w:trPr/>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55" w:type="dxa"/>
            <w:tcBorders/>
            <w:vAlign w:val="center"/>
          </w:tcPr>
          <w:p>
            <w:pPr>
              <w:pStyle w:val="TableContents"/>
              <w:bidi w:val="0"/>
              <w:spacing w:before="0" w:after="283"/>
              <w:jc w:val="left"/>
              <w:rPr>
                <w:sz w:val="4"/>
                <w:szCs w:val="4"/>
              </w:rPr>
            </w:pPr>
            <w:r>
              <w:rPr>
                <w:sz w:val="4"/>
                <w:szCs w:val="4"/>
              </w:rPr>
            </w:r>
          </w:p>
        </w:tc>
      </w:tr>
      <w:tr>
        <w:trPr/>
        <w:tc>
          <w:tcPr>
            <w:tcW w:w="890" w:type="dxa"/>
            <w:tcBorders>
              <w:bottom w:val="single" w:sz="8" w:space="0" w:color="000000"/>
            </w:tcBorders>
            <w:tcMar>
              <w:bottom w:w="28" w:type="dxa"/>
            </w:tcMar>
            <w:vAlign w:val="center"/>
          </w:tcPr>
          <w:p>
            <w:pPr>
              <w:pStyle w:val="TableContents"/>
              <w:bidi w:val="0"/>
              <w:spacing w:before="0" w:after="283"/>
              <w:jc w:val="center"/>
              <w:rPr/>
            </w:pPr>
            <w:r>
              <w:rPr>
                <w:b/>
              </w:rPr>
              <w:t>Exhibit</w:t>
            </w:r>
            <w:r>
              <w:rPr/>
              <w:br/>
            </w:r>
            <w:r>
              <w:rPr>
                <w:b/>
              </w:rPr>
              <w:t>Number</w:t>
            </w:r>
          </w:p>
        </w:tc>
        <w:tc>
          <w:tcPr>
            <w:tcW w:w="60" w:type="dxa"/>
            <w:tcBorders/>
            <w:vAlign w:val="center"/>
          </w:tcPr>
          <w:p>
            <w:pPr>
              <w:pStyle w:val="TableContents"/>
              <w:bidi w:val="0"/>
              <w:spacing w:before="0" w:after="283"/>
              <w:jc w:val="left"/>
              <w:rPr/>
            </w:pPr>
            <w:r>
              <w:rPr/>
              <w:t> </w:t>
            </w:r>
          </w:p>
        </w:tc>
        <w:tc>
          <w:tcPr>
            <w:tcW w:w="92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2.1*+</w:t>
            </w:r>
          </w:p>
        </w:tc>
        <w:tc>
          <w:tcPr>
            <w:tcW w:w="60" w:type="dxa"/>
            <w:tcBorders/>
            <w:vAlign w:val="center"/>
          </w:tcPr>
          <w:p>
            <w:pPr>
              <w:pStyle w:val="TableContents"/>
              <w:bidi w:val="0"/>
              <w:spacing w:before="0" w:after="283"/>
              <w:jc w:val="left"/>
              <w:rPr/>
            </w:pPr>
            <w:r>
              <w:rPr/>
              <w:t> </w:t>
            </w:r>
          </w:p>
        </w:tc>
        <w:tc>
          <w:tcPr>
            <w:tcW w:w="9255" w:type="dxa"/>
            <w:tcBorders/>
            <w:vAlign w:val="center"/>
          </w:tcPr>
          <w:p>
            <w:pPr>
              <w:pStyle w:val="TableContents"/>
              <w:bidi w:val="0"/>
              <w:spacing w:before="0" w:after="283"/>
              <w:jc w:val="left"/>
              <w:rPr/>
            </w:pPr>
            <w:hyperlink r:id="rId19">
              <w:r>
                <w:rPr>
                  <w:rStyle w:val="InternetLink"/>
                </w:rPr>
                <w:t xml:space="preserve">Agreement and Plan of Merger, dated as of April 14, 2026, by and among Galera Therapeutics, Inc., Obsidian Therapeutics, Inc., Gazelle Parent, Inc., Onyx MergerSub, Inc. and Gazelle Merger Subsidiary, Inc. (incorporated by reference from Exhibit 2.1 to Obsidian Therapeutics, Inc.’s Current Report on Form 8-K (File No. 001-43430) filed with the Securities and Exchange Commission on August 3, 2026).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3.1*</w:t>
            </w:r>
          </w:p>
        </w:tc>
        <w:tc>
          <w:tcPr>
            <w:tcW w:w="60" w:type="dxa"/>
            <w:tcBorders/>
            <w:vAlign w:val="center"/>
          </w:tcPr>
          <w:p>
            <w:pPr>
              <w:pStyle w:val="TableContents"/>
              <w:bidi w:val="0"/>
              <w:spacing w:before="0" w:after="283"/>
              <w:jc w:val="left"/>
              <w:rPr/>
            </w:pPr>
            <w:r>
              <w:rPr/>
              <w:t> </w:t>
            </w:r>
          </w:p>
        </w:tc>
        <w:tc>
          <w:tcPr>
            <w:tcW w:w="9255" w:type="dxa"/>
            <w:tcBorders/>
            <w:vAlign w:val="center"/>
          </w:tcPr>
          <w:p>
            <w:pPr>
              <w:pStyle w:val="TableContents"/>
              <w:bidi w:val="0"/>
              <w:spacing w:before="0" w:after="283"/>
              <w:jc w:val="left"/>
              <w:rPr/>
            </w:pPr>
            <w:hyperlink r:id="rId20">
              <w:r>
                <w:rPr>
                  <w:rStyle w:val="InternetLink"/>
                </w:rPr>
                <w:t xml:space="preserve">Amended and Restated Certificate of Incorporation of Obsidian Therapeutics, Inc. (incorporated by reference from Exhibit 3.1 to Obsidian Therapeutics, Inc.’s Current Report on Form 8-K (File No. 001-43430) filed with the Securities and Exchange Commission on August 3, 2026).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3.2*</w:t>
            </w:r>
          </w:p>
        </w:tc>
        <w:tc>
          <w:tcPr>
            <w:tcW w:w="60" w:type="dxa"/>
            <w:tcBorders/>
            <w:vAlign w:val="center"/>
          </w:tcPr>
          <w:p>
            <w:pPr>
              <w:pStyle w:val="TableContents"/>
              <w:bidi w:val="0"/>
              <w:spacing w:before="0" w:after="283"/>
              <w:jc w:val="left"/>
              <w:rPr/>
            </w:pPr>
            <w:r>
              <w:rPr/>
              <w:t> </w:t>
            </w:r>
          </w:p>
        </w:tc>
        <w:tc>
          <w:tcPr>
            <w:tcW w:w="9255" w:type="dxa"/>
            <w:tcBorders/>
            <w:vAlign w:val="center"/>
          </w:tcPr>
          <w:p>
            <w:pPr>
              <w:pStyle w:val="TableContents"/>
              <w:bidi w:val="0"/>
              <w:spacing w:before="0" w:after="283"/>
              <w:jc w:val="left"/>
              <w:rPr/>
            </w:pPr>
            <w:hyperlink r:id="rId21">
              <w:r>
                <w:rPr>
                  <w:rStyle w:val="InternetLink"/>
                </w:rPr>
                <w:t xml:space="preserve">Amended and Restated Bylaws of Obsidian Therapeutics, Inc. (incorporated by reference from Exhibit 3.2 to Obsidian Therapeutics, Inc.’s Current Report on Form 8-K (File No. 001-43430) filed with the Securities and Exchange Commission on August 3, 2026).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4.1*</w:t>
            </w:r>
          </w:p>
        </w:tc>
        <w:tc>
          <w:tcPr>
            <w:tcW w:w="60" w:type="dxa"/>
            <w:tcBorders/>
            <w:vAlign w:val="center"/>
          </w:tcPr>
          <w:p>
            <w:pPr>
              <w:pStyle w:val="TableContents"/>
              <w:bidi w:val="0"/>
              <w:spacing w:before="0" w:after="283"/>
              <w:jc w:val="left"/>
              <w:rPr/>
            </w:pPr>
            <w:r>
              <w:rPr/>
              <w:t> </w:t>
            </w:r>
          </w:p>
        </w:tc>
        <w:tc>
          <w:tcPr>
            <w:tcW w:w="9255" w:type="dxa"/>
            <w:tcBorders/>
            <w:vAlign w:val="center"/>
          </w:tcPr>
          <w:p>
            <w:pPr>
              <w:pStyle w:val="TableContents"/>
              <w:bidi w:val="0"/>
              <w:spacing w:before="0" w:after="283"/>
              <w:jc w:val="left"/>
              <w:rPr/>
            </w:pPr>
            <w:hyperlink r:id="rId22">
              <w:r>
                <w:rPr>
                  <w:rStyle w:val="InternetLink"/>
                </w:rPr>
                <w:t xml:space="preserve">Galera Therapeutics, Inc. Warrant to Purchase Common Stock dated February 17, 2023 (incorporated by reference from Exhibit 4.1 to Obsidian Therapeutics, Inc.’s Current Report on Form 8-K (File No. 001-43430) filed with the Securities and Exchange Commission on August 3, 2026).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5.1</w:t>
            </w:r>
          </w:p>
        </w:tc>
        <w:tc>
          <w:tcPr>
            <w:tcW w:w="60" w:type="dxa"/>
            <w:tcBorders/>
            <w:vAlign w:val="center"/>
          </w:tcPr>
          <w:p>
            <w:pPr>
              <w:pStyle w:val="TableContents"/>
              <w:bidi w:val="0"/>
              <w:spacing w:before="0" w:after="283"/>
              <w:jc w:val="left"/>
              <w:rPr/>
            </w:pPr>
            <w:r>
              <w:rPr/>
              <w:t> </w:t>
            </w:r>
          </w:p>
        </w:tc>
        <w:tc>
          <w:tcPr>
            <w:tcW w:w="9255" w:type="dxa"/>
            <w:tcBorders/>
            <w:vAlign w:val="center"/>
          </w:tcPr>
          <w:p>
            <w:pPr>
              <w:pStyle w:val="TableContents"/>
              <w:bidi w:val="0"/>
              <w:spacing w:before="0" w:after="283"/>
              <w:jc w:val="left"/>
              <w:rPr/>
            </w:pPr>
            <w:hyperlink w:anchor="d127696dex51.htm">
              <w:r>
                <w:rPr>
                  <w:rStyle w:val="InternetLink"/>
                </w:rPr>
                <w:t xml:space="preserve">Opinion of Goodwin Procter LLP.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10.1*+</w:t>
            </w:r>
          </w:p>
        </w:tc>
        <w:tc>
          <w:tcPr>
            <w:tcW w:w="60" w:type="dxa"/>
            <w:tcBorders/>
            <w:vAlign w:val="center"/>
          </w:tcPr>
          <w:p>
            <w:pPr>
              <w:pStyle w:val="TableContents"/>
              <w:bidi w:val="0"/>
              <w:spacing w:before="0" w:after="283"/>
              <w:jc w:val="left"/>
              <w:rPr/>
            </w:pPr>
            <w:r>
              <w:rPr/>
              <w:t> </w:t>
            </w:r>
          </w:p>
        </w:tc>
        <w:tc>
          <w:tcPr>
            <w:tcW w:w="9255" w:type="dxa"/>
            <w:tcBorders/>
            <w:vAlign w:val="center"/>
          </w:tcPr>
          <w:p>
            <w:pPr>
              <w:pStyle w:val="TableContents"/>
              <w:bidi w:val="0"/>
              <w:spacing w:before="0" w:after="283"/>
              <w:jc w:val="left"/>
              <w:rPr/>
            </w:pPr>
            <w:hyperlink r:id="rId23">
              <w:r>
                <w:rPr>
                  <w:rStyle w:val="InternetLink"/>
                </w:rPr>
                <w:t xml:space="preserve">Securities Purchase Agreement, dated as of April 14, 2026, by and among Gazelle Parent, Inc., Galera Therapeutics, Inc., Obsidian Therapeutics, Inc. and each of the Investors listed on Exhibit A thereto (incorporated by reference from Exhibit 10.1 to Obsidian Therapeutics, Inc.’s Current Report on Form 8-K (File No. 001-43430) filed with the Securities and Exchange Commission on August 3, 2026).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904"/>
        <w:gridCol w:w="60"/>
        <w:gridCol w:w="9241"/>
      </w:tblGrid>
      <w:tr>
        <w:trPr/>
        <w:tc>
          <w:tcPr>
            <w:tcW w:w="9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41" w:type="dxa"/>
            <w:tcBorders/>
            <w:vAlign w:val="center"/>
          </w:tcPr>
          <w:p>
            <w:pPr>
              <w:pStyle w:val="TableContents"/>
              <w:bidi w:val="0"/>
              <w:spacing w:before="0" w:after="283"/>
              <w:jc w:val="left"/>
              <w:rPr>
                <w:sz w:val="4"/>
                <w:szCs w:val="4"/>
              </w:rPr>
            </w:pPr>
            <w:r>
              <w:rPr>
                <w:sz w:val="4"/>
                <w:szCs w:val="4"/>
              </w:rPr>
            </w:r>
          </w:p>
        </w:tc>
      </w:tr>
      <w:tr>
        <w:trPr/>
        <w:tc>
          <w:tcPr>
            <w:tcW w:w="904" w:type="dxa"/>
            <w:tcBorders>
              <w:bottom w:val="single" w:sz="8" w:space="0" w:color="000000"/>
            </w:tcBorders>
            <w:tcMar>
              <w:bottom w:w="28" w:type="dxa"/>
            </w:tcMar>
            <w:vAlign w:val="center"/>
          </w:tcPr>
          <w:p>
            <w:pPr>
              <w:pStyle w:val="TableContents"/>
              <w:bidi w:val="0"/>
              <w:spacing w:before="0" w:after="283"/>
              <w:jc w:val="center"/>
              <w:rPr/>
            </w:pPr>
            <w:r>
              <w:rPr>
                <w:b/>
              </w:rPr>
              <w:t>Exhibit</w:t>
            </w:r>
            <w:r>
              <w:rPr/>
              <w:br/>
            </w:r>
            <w:r>
              <w:rPr>
                <w:b/>
              </w:rPr>
              <w:t>Number</w:t>
            </w:r>
          </w:p>
        </w:tc>
        <w:tc>
          <w:tcPr>
            <w:tcW w:w="60" w:type="dxa"/>
            <w:tcBorders/>
            <w:vAlign w:val="center"/>
          </w:tcPr>
          <w:p>
            <w:pPr>
              <w:pStyle w:val="TableContents"/>
              <w:bidi w:val="0"/>
              <w:spacing w:before="0" w:after="283"/>
              <w:jc w:val="left"/>
              <w:rPr/>
            </w:pPr>
            <w:r>
              <w:rPr/>
              <w:t> </w:t>
            </w:r>
          </w:p>
        </w:tc>
        <w:tc>
          <w:tcPr>
            <w:tcW w:w="9241"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904" w:type="dxa"/>
            <w:tcBorders/>
            <w:vAlign w:val="center"/>
          </w:tcPr>
          <w:p>
            <w:pPr>
              <w:pStyle w:val="TableContents"/>
              <w:bidi w:val="0"/>
              <w:spacing w:before="0" w:after="283"/>
              <w:jc w:val="left"/>
              <w:rPr>
                <w:sz w:val="4"/>
                <w:szCs w:val="4"/>
              </w:rPr>
            </w:pPr>
            <w:r>
              <w:rPr>
                <w:sz w:val="4"/>
                <w:szCs w:val="4"/>
              </w:rPr>
            </w:r>
          </w:p>
        </w:tc>
        <w:tc>
          <w:tcPr>
            <w:tcW w:w="9301" w:type="dxa"/>
            <w:gridSpan w:val="2"/>
            <w:tcBorders/>
            <w:vAlign w:val="center"/>
          </w:tcPr>
          <w:p>
            <w:pPr>
              <w:pStyle w:val="TableContents"/>
              <w:bidi w:val="0"/>
              <w:spacing w:before="0" w:after="283"/>
              <w:jc w:val="left"/>
              <w:rPr>
                <w:sz w:val="4"/>
                <w:szCs w:val="4"/>
              </w:rPr>
            </w:pPr>
            <w:r>
              <w:rPr>
                <w:sz w:val="4"/>
                <w:szCs w:val="4"/>
              </w:rPr>
            </w:r>
          </w:p>
        </w:tc>
      </w:tr>
      <w:tr>
        <w:trPr/>
        <w:tc>
          <w:tcPr>
            <w:tcW w:w="904" w:type="dxa"/>
            <w:tcBorders/>
            <w:vAlign w:val="center"/>
          </w:tcPr>
          <w:p>
            <w:pPr>
              <w:pStyle w:val="TableContents"/>
              <w:bidi w:val="0"/>
              <w:spacing w:before="0" w:after="283"/>
              <w:jc w:val="left"/>
              <w:rPr/>
            </w:pPr>
            <w:r>
              <w:rPr/>
              <w:t> </w:t>
            </w:r>
            <w:r>
              <w:rPr/>
              <w:t>10.2*+</w:t>
            </w:r>
          </w:p>
        </w:tc>
        <w:tc>
          <w:tcPr>
            <w:tcW w:w="60" w:type="dxa"/>
            <w:tcBorders/>
            <w:vAlign w:val="center"/>
          </w:tcPr>
          <w:p>
            <w:pPr>
              <w:pStyle w:val="TableContents"/>
              <w:bidi w:val="0"/>
              <w:spacing w:before="0" w:after="283"/>
              <w:jc w:val="left"/>
              <w:rPr/>
            </w:pPr>
            <w:r>
              <w:rPr/>
              <w:t> </w:t>
            </w:r>
          </w:p>
        </w:tc>
        <w:tc>
          <w:tcPr>
            <w:tcW w:w="9241" w:type="dxa"/>
            <w:tcBorders/>
            <w:vAlign w:val="center"/>
          </w:tcPr>
          <w:p>
            <w:pPr>
              <w:pStyle w:val="TableContents"/>
              <w:bidi w:val="0"/>
              <w:spacing w:before="0" w:after="283"/>
              <w:jc w:val="left"/>
              <w:rPr/>
            </w:pPr>
            <w:hyperlink r:id="rId24">
              <w:r>
                <w:rPr>
                  <w:rStyle w:val="InternetLink"/>
                </w:rPr>
                <w:t xml:space="preserve">Registration Rights Agreement, dated as of April 14, 2026, by and among Parent, Galera Therapeutics, Inc. and each of the Investors signatory thereto (incorporated by reference from Exhibit 10.2 to Obsidian Therapeutics, Inc.’s Current Report on Form 8-K (File No. 001-43430) filed with the Securities and Exchange Commission on August 3, 2026). </w:t>
              </w:r>
            </w:hyperlink>
          </w:p>
        </w:tc>
      </w:tr>
      <w:tr>
        <w:trPr/>
        <w:tc>
          <w:tcPr>
            <w:tcW w:w="904" w:type="dxa"/>
            <w:tcBorders/>
            <w:vAlign w:val="center"/>
          </w:tcPr>
          <w:p>
            <w:pPr>
              <w:pStyle w:val="TableContents"/>
              <w:bidi w:val="0"/>
              <w:spacing w:before="0" w:after="283"/>
              <w:jc w:val="left"/>
              <w:rPr>
                <w:sz w:val="4"/>
                <w:szCs w:val="4"/>
              </w:rPr>
            </w:pPr>
            <w:r>
              <w:rPr>
                <w:sz w:val="4"/>
                <w:szCs w:val="4"/>
              </w:rPr>
            </w:r>
          </w:p>
        </w:tc>
        <w:tc>
          <w:tcPr>
            <w:tcW w:w="9301" w:type="dxa"/>
            <w:gridSpan w:val="2"/>
            <w:tcBorders/>
            <w:vAlign w:val="center"/>
          </w:tcPr>
          <w:p>
            <w:pPr>
              <w:pStyle w:val="TableContents"/>
              <w:bidi w:val="0"/>
              <w:spacing w:before="0" w:after="283"/>
              <w:jc w:val="left"/>
              <w:rPr>
                <w:sz w:val="4"/>
                <w:szCs w:val="4"/>
              </w:rPr>
            </w:pPr>
            <w:r>
              <w:rPr>
                <w:sz w:val="4"/>
                <w:szCs w:val="4"/>
              </w:rPr>
            </w:r>
          </w:p>
        </w:tc>
      </w:tr>
      <w:tr>
        <w:trPr/>
        <w:tc>
          <w:tcPr>
            <w:tcW w:w="904" w:type="dxa"/>
            <w:tcBorders/>
            <w:vAlign w:val="center"/>
          </w:tcPr>
          <w:p>
            <w:pPr>
              <w:pStyle w:val="TableContents"/>
              <w:bidi w:val="0"/>
              <w:spacing w:before="0" w:after="283"/>
              <w:jc w:val="left"/>
              <w:rPr/>
            </w:pPr>
            <w:r>
              <w:rPr/>
              <w:t> </w:t>
            </w:r>
            <w:r>
              <w:rPr/>
              <w:t>10.3*+</w:t>
            </w:r>
          </w:p>
        </w:tc>
        <w:tc>
          <w:tcPr>
            <w:tcW w:w="60" w:type="dxa"/>
            <w:tcBorders/>
            <w:vAlign w:val="center"/>
          </w:tcPr>
          <w:p>
            <w:pPr>
              <w:pStyle w:val="TableContents"/>
              <w:bidi w:val="0"/>
              <w:spacing w:before="0" w:after="283"/>
              <w:jc w:val="left"/>
              <w:rPr/>
            </w:pPr>
            <w:r>
              <w:rPr/>
              <w:t> </w:t>
            </w:r>
          </w:p>
        </w:tc>
        <w:tc>
          <w:tcPr>
            <w:tcW w:w="9241" w:type="dxa"/>
            <w:tcBorders/>
            <w:vAlign w:val="center"/>
          </w:tcPr>
          <w:p>
            <w:pPr>
              <w:pStyle w:val="TableContents"/>
              <w:bidi w:val="0"/>
              <w:spacing w:before="0" w:after="283"/>
              <w:jc w:val="left"/>
              <w:rPr/>
            </w:pPr>
            <w:hyperlink r:id="rId25">
              <w:r>
                <w:rPr>
                  <w:rStyle w:val="InternetLink"/>
                </w:rPr>
                <w:t xml:space="preserve">Form of Lock-Up Agreement (incorporated by reference from Exhibit 10.3 to Obsidian Therapeutics, Inc.’s Current Report on Form 8-K (File No. 001-43430) filed with the Securities and Exchange Commission on August 3, 2026). </w:t>
              </w:r>
            </w:hyperlink>
          </w:p>
        </w:tc>
      </w:tr>
      <w:tr>
        <w:trPr/>
        <w:tc>
          <w:tcPr>
            <w:tcW w:w="904" w:type="dxa"/>
            <w:tcBorders/>
            <w:vAlign w:val="center"/>
          </w:tcPr>
          <w:p>
            <w:pPr>
              <w:pStyle w:val="TableContents"/>
              <w:bidi w:val="0"/>
              <w:spacing w:before="0" w:after="283"/>
              <w:jc w:val="left"/>
              <w:rPr>
                <w:sz w:val="4"/>
                <w:szCs w:val="4"/>
              </w:rPr>
            </w:pPr>
            <w:r>
              <w:rPr>
                <w:sz w:val="4"/>
                <w:szCs w:val="4"/>
              </w:rPr>
            </w:r>
          </w:p>
        </w:tc>
        <w:tc>
          <w:tcPr>
            <w:tcW w:w="9301" w:type="dxa"/>
            <w:gridSpan w:val="2"/>
            <w:tcBorders/>
            <w:vAlign w:val="center"/>
          </w:tcPr>
          <w:p>
            <w:pPr>
              <w:pStyle w:val="TableContents"/>
              <w:bidi w:val="0"/>
              <w:spacing w:before="0" w:after="283"/>
              <w:jc w:val="left"/>
              <w:rPr>
                <w:sz w:val="4"/>
                <w:szCs w:val="4"/>
              </w:rPr>
            </w:pPr>
            <w:r>
              <w:rPr>
                <w:sz w:val="4"/>
                <w:szCs w:val="4"/>
              </w:rPr>
            </w:r>
          </w:p>
        </w:tc>
      </w:tr>
      <w:tr>
        <w:trPr/>
        <w:tc>
          <w:tcPr>
            <w:tcW w:w="904" w:type="dxa"/>
            <w:tcBorders/>
            <w:vAlign w:val="center"/>
          </w:tcPr>
          <w:p>
            <w:pPr>
              <w:pStyle w:val="TableContents"/>
              <w:bidi w:val="0"/>
              <w:spacing w:before="0" w:after="283"/>
              <w:jc w:val="left"/>
              <w:rPr/>
            </w:pPr>
            <w:r>
              <w:rPr/>
              <w:t> </w:t>
            </w:r>
            <w:r>
              <w:rPr/>
              <w:t>10.4*+</w:t>
            </w:r>
          </w:p>
        </w:tc>
        <w:tc>
          <w:tcPr>
            <w:tcW w:w="60" w:type="dxa"/>
            <w:tcBorders/>
            <w:vAlign w:val="center"/>
          </w:tcPr>
          <w:p>
            <w:pPr>
              <w:pStyle w:val="TableContents"/>
              <w:bidi w:val="0"/>
              <w:spacing w:before="0" w:after="283"/>
              <w:jc w:val="left"/>
              <w:rPr/>
            </w:pPr>
            <w:r>
              <w:rPr/>
              <w:t> </w:t>
            </w:r>
          </w:p>
        </w:tc>
        <w:tc>
          <w:tcPr>
            <w:tcW w:w="9241" w:type="dxa"/>
            <w:tcBorders/>
            <w:vAlign w:val="center"/>
          </w:tcPr>
          <w:p>
            <w:pPr>
              <w:pStyle w:val="TableContents"/>
              <w:bidi w:val="0"/>
              <w:spacing w:before="0" w:after="283"/>
              <w:jc w:val="left"/>
              <w:rPr/>
            </w:pPr>
            <w:hyperlink r:id="rId26">
              <w:r>
                <w:rPr>
                  <w:rStyle w:val="InternetLink"/>
                </w:rPr>
                <w:t xml:space="preserve">Contingent Value Rights Agreement dated August 3, 2026, by and among Obsidian Therapeutics, Inc., Gazelle Parent, Inc. and Equiniti Trust Company, LLC (incorporated by reference from Exhibit 10.4 to Obsidian Therapeutics, Inc.’s Current Report on Form 8-K (File No. 001-43430) filed with the Securities and Exchange Commission on August 3, 2026). </w:t>
              </w:r>
            </w:hyperlink>
          </w:p>
        </w:tc>
      </w:tr>
      <w:tr>
        <w:trPr/>
        <w:tc>
          <w:tcPr>
            <w:tcW w:w="904" w:type="dxa"/>
            <w:tcBorders/>
            <w:vAlign w:val="center"/>
          </w:tcPr>
          <w:p>
            <w:pPr>
              <w:pStyle w:val="TableContents"/>
              <w:bidi w:val="0"/>
              <w:spacing w:before="0" w:after="283"/>
              <w:jc w:val="left"/>
              <w:rPr>
                <w:sz w:val="4"/>
                <w:szCs w:val="4"/>
              </w:rPr>
            </w:pPr>
            <w:r>
              <w:rPr>
                <w:sz w:val="4"/>
                <w:szCs w:val="4"/>
              </w:rPr>
            </w:r>
          </w:p>
        </w:tc>
        <w:tc>
          <w:tcPr>
            <w:tcW w:w="9301" w:type="dxa"/>
            <w:gridSpan w:val="2"/>
            <w:tcBorders/>
            <w:vAlign w:val="center"/>
          </w:tcPr>
          <w:p>
            <w:pPr>
              <w:pStyle w:val="TableContents"/>
              <w:bidi w:val="0"/>
              <w:spacing w:before="0" w:after="283"/>
              <w:jc w:val="left"/>
              <w:rPr>
                <w:sz w:val="4"/>
                <w:szCs w:val="4"/>
              </w:rPr>
            </w:pPr>
            <w:r>
              <w:rPr>
                <w:sz w:val="4"/>
                <w:szCs w:val="4"/>
              </w:rPr>
            </w:r>
          </w:p>
        </w:tc>
      </w:tr>
      <w:tr>
        <w:trPr/>
        <w:tc>
          <w:tcPr>
            <w:tcW w:w="904" w:type="dxa"/>
            <w:tcBorders/>
            <w:vAlign w:val="center"/>
          </w:tcPr>
          <w:p>
            <w:pPr>
              <w:pStyle w:val="TableContents"/>
              <w:bidi w:val="0"/>
              <w:spacing w:before="0" w:after="283"/>
              <w:jc w:val="left"/>
              <w:rPr/>
            </w:pPr>
            <w:r>
              <w:rPr/>
              <w:t> </w:t>
            </w:r>
            <w:r>
              <w:rPr/>
              <w:t>10.5*#</w:t>
            </w:r>
          </w:p>
        </w:tc>
        <w:tc>
          <w:tcPr>
            <w:tcW w:w="60" w:type="dxa"/>
            <w:tcBorders/>
            <w:vAlign w:val="center"/>
          </w:tcPr>
          <w:p>
            <w:pPr>
              <w:pStyle w:val="TableContents"/>
              <w:bidi w:val="0"/>
              <w:spacing w:before="0" w:after="283"/>
              <w:jc w:val="left"/>
              <w:rPr/>
            </w:pPr>
            <w:r>
              <w:rPr/>
              <w:t> </w:t>
            </w:r>
          </w:p>
        </w:tc>
        <w:tc>
          <w:tcPr>
            <w:tcW w:w="9241" w:type="dxa"/>
            <w:tcBorders/>
            <w:vAlign w:val="center"/>
          </w:tcPr>
          <w:p>
            <w:pPr>
              <w:pStyle w:val="TableContents"/>
              <w:bidi w:val="0"/>
              <w:spacing w:before="0" w:after="283"/>
              <w:jc w:val="left"/>
              <w:rPr/>
            </w:pPr>
            <w:hyperlink r:id="rId27">
              <w:r>
                <w:rPr>
                  <w:rStyle w:val="InternetLink"/>
                </w:rPr>
                <w:t xml:space="preserve">Form of Indemnification Agreement for Officers of Obsidian Therapeutics, Inc. (incorporated by reference from Exhibit 10.5 to Obsidian Therapeutics, Inc.’s Current Report on Form 8-K (File No. 001-43430) filed with the Securities and Exchange Commission on August 3, 2026). </w:t>
              </w:r>
            </w:hyperlink>
          </w:p>
        </w:tc>
      </w:tr>
      <w:tr>
        <w:trPr/>
        <w:tc>
          <w:tcPr>
            <w:tcW w:w="904" w:type="dxa"/>
            <w:tcBorders/>
            <w:vAlign w:val="center"/>
          </w:tcPr>
          <w:p>
            <w:pPr>
              <w:pStyle w:val="TableContents"/>
              <w:bidi w:val="0"/>
              <w:spacing w:before="0" w:after="283"/>
              <w:jc w:val="left"/>
              <w:rPr>
                <w:sz w:val="4"/>
                <w:szCs w:val="4"/>
              </w:rPr>
            </w:pPr>
            <w:r>
              <w:rPr>
                <w:sz w:val="4"/>
                <w:szCs w:val="4"/>
              </w:rPr>
            </w:r>
          </w:p>
        </w:tc>
        <w:tc>
          <w:tcPr>
            <w:tcW w:w="9301" w:type="dxa"/>
            <w:gridSpan w:val="2"/>
            <w:tcBorders/>
            <w:vAlign w:val="center"/>
          </w:tcPr>
          <w:p>
            <w:pPr>
              <w:pStyle w:val="TableContents"/>
              <w:bidi w:val="0"/>
              <w:spacing w:before="0" w:after="283"/>
              <w:jc w:val="left"/>
              <w:rPr>
                <w:sz w:val="4"/>
                <w:szCs w:val="4"/>
              </w:rPr>
            </w:pPr>
            <w:r>
              <w:rPr>
                <w:sz w:val="4"/>
                <w:szCs w:val="4"/>
              </w:rPr>
            </w:r>
          </w:p>
        </w:tc>
      </w:tr>
      <w:tr>
        <w:trPr/>
        <w:tc>
          <w:tcPr>
            <w:tcW w:w="904" w:type="dxa"/>
            <w:tcBorders/>
            <w:vAlign w:val="center"/>
          </w:tcPr>
          <w:p>
            <w:pPr>
              <w:pStyle w:val="TableContents"/>
              <w:bidi w:val="0"/>
              <w:spacing w:before="0" w:after="283"/>
              <w:jc w:val="left"/>
              <w:rPr/>
            </w:pPr>
            <w:r>
              <w:rPr/>
              <w:t> </w:t>
            </w:r>
            <w:r>
              <w:rPr/>
              <w:t>10.6*#</w:t>
            </w:r>
          </w:p>
        </w:tc>
        <w:tc>
          <w:tcPr>
            <w:tcW w:w="60" w:type="dxa"/>
            <w:tcBorders/>
            <w:vAlign w:val="center"/>
          </w:tcPr>
          <w:p>
            <w:pPr>
              <w:pStyle w:val="TableContents"/>
              <w:bidi w:val="0"/>
              <w:spacing w:before="0" w:after="283"/>
              <w:jc w:val="left"/>
              <w:rPr/>
            </w:pPr>
            <w:r>
              <w:rPr/>
              <w:t> </w:t>
            </w:r>
          </w:p>
        </w:tc>
        <w:tc>
          <w:tcPr>
            <w:tcW w:w="9241" w:type="dxa"/>
            <w:tcBorders/>
            <w:vAlign w:val="center"/>
          </w:tcPr>
          <w:p>
            <w:pPr>
              <w:pStyle w:val="TableContents"/>
              <w:bidi w:val="0"/>
              <w:spacing w:before="0" w:after="283"/>
              <w:jc w:val="left"/>
              <w:rPr/>
            </w:pPr>
            <w:hyperlink r:id="rId28">
              <w:r>
                <w:rPr>
                  <w:rStyle w:val="InternetLink"/>
                </w:rPr>
                <w:t xml:space="preserve">Form of Indemnification Agreement for Directors of Obsidian Therapeutics, Inc. (incorporated by reference from Exhibit 10.6 to Obsidian Therapeutics, Inc.’s Current Report on Form 8-K (File No. 001-43430) filed with the Securities and Exchange Commission on August 3, 2026). </w:t>
              </w:r>
            </w:hyperlink>
          </w:p>
        </w:tc>
      </w:tr>
      <w:tr>
        <w:trPr/>
        <w:tc>
          <w:tcPr>
            <w:tcW w:w="904" w:type="dxa"/>
            <w:tcBorders/>
            <w:vAlign w:val="center"/>
          </w:tcPr>
          <w:p>
            <w:pPr>
              <w:pStyle w:val="TableContents"/>
              <w:bidi w:val="0"/>
              <w:spacing w:before="0" w:after="283"/>
              <w:jc w:val="left"/>
              <w:rPr>
                <w:sz w:val="4"/>
                <w:szCs w:val="4"/>
              </w:rPr>
            </w:pPr>
            <w:r>
              <w:rPr>
                <w:sz w:val="4"/>
                <w:szCs w:val="4"/>
              </w:rPr>
            </w:r>
          </w:p>
        </w:tc>
        <w:tc>
          <w:tcPr>
            <w:tcW w:w="9301" w:type="dxa"/>
            <w:gridSpan w:val="2"/>
            <w:tcBorders/>
            <w:vAlign w:val="center"/>
          </w:tcPr>
          <w:p>
            <w:pPr>
              <w:pStyle w:val="TableContents"/>
              <w:bidi w:val="0"/>
              <w:spacing w:before="0" w:after="283"/>
              <w:jc w:val="left"/>
              <w:rPr>
                <w:sz w:val="4"/>
                <w:szCs w:val="4"/>
              </w:rPr>
            </w:pPr>
            <w:r>
              <w:rPr>
                <w:sz w:val="4"/>
                <w:szCs w:val="4"/>
              </w:rPr>
            </w:r>
          </w:p>
        </w:tc>
      </w:tr>
      <w:tr>
        <w:trPr/>
        <w:tc>
          <w:tcPr>
            <w:tcW w:w="904" w:type="dxa"/>
            <w:tcBorders/>
            <w:vAlign w:val="center"/>
          </w:tcPr>
          <w:p>
            <w:pPr>
              <w:pStyle w:val="TableContents"/>
              <w:bidi w:val="0"/>
              <w:spacing w:before="0" w:after="283"/>
              <w:jc w:val="left"/>
              <w:rPr/>
            </w:pPr>
            <w:r>
              <w:rPr/>
              <w:t> </w:t>
            </w:r>
            <w:r>
              <w:rPr/>
              <w:t>10.7*#</w:t>
            </w:r>
          </w:p>
        </w:tc>
        <w:tc>
          <w:tcPr>
            <w:tcW w:w="60" w:type="dxa"/>
            <w:tcBorders/>
            <w:vAlign w:val="center"/>
          </w:tcPr>
          <w:p>
            <w:pPr>
              <w:pStyle w:val="TableContents"/>
              <w:bidi w:val="0"/>
              <w:spacing w:before="0" w:after="283"/>
              <w:jc w:val="left"/>
              <w:rPr/>
            </w:pPr>
            <w:r>
              <w:rPr/>
              <w:t> </w:t>
            </w:r>
          </w:p>
        </w:tc>
        <w:tc>
          <w:tcPr>
            <w:tcW w:w="9241" w:type="dxa"/>
            <w:tcBorders/>
            <w:vAlign w:val="center"/>
          </w:tcPr>
          <w:p>
            <w:pPr>
              <w:pStyle w:val="TableContents"/>
              <w:bidi w:val="0"/>
              <w:spacing w:before="0" w:after="283"/>
              <w:jc w:val="left"/>
              <w:rPr/>
            </w:pPr>
            <w:hyperlink r:id="rId29">
              <w:r>
                <w:rPr>
                  <w:rStyle w:val="InternetLink"/>
                </w:rPr>
                <w:t xml:space="preserve">Obsidian Therapeutics, Inc. 2026 Equity Incentive Plan and form of award agreements thereunder (incorporated by reference from Exhibit 10.7 to Obsidian Therapeutics, Inc.’s Current Report on Form 8-K (File No. 001-43430) filed with the Securities and Exchange Commission on August 3, 2026). </w:t>
              </w:r>
            </w:hyperlink>
          </w:p>
        </w:tc>
      </w:tr>
      <w:tr>
        <w:trPr/>
        <w:tc>
          <w:tcPr>
            <w:tcW w:w="904" w:type="dxa"/>
            <w:tcBorders/>
            <w:vAlign w:val="center"/>
          </w:tcPr>
          <w:p>
            <w:pPr>
              <w:pStyle w:val="TableContents"/>
              <w:bidi w:val="0"/>
              <w:spacing w:before="0" w:after="283"/>
              <w:jc w:val="left"/>
              <w:rPr>
                <w:sz w:val="4"/>
                <w:szCs w:val="4"/>
              </w:rPr>
            </w:pPr>
            <w:r>
              <w:rPr>
                <w:sz w:val="4"/>
                <w:szCs w:val="4"/>
              </w:rPr>
            </w:r>
          </w:p>
        </w:tc>
        <w:tc>
          <w:tcPr>
            <w:tcW w:w="9301" w:type="dxa"/>
            <w:gridSpan w:val="2"/>
            <w:tcBorders/>
            <w:vAlign w:val="center"/>
          </w:tcPr>
          <w:p>
            <w:pPr>
              <w:pStyle w:val="TableContents"/>
              <w:bidi w:val="0"/>
              <w:spacing w:before="0" w:after="283"/>
              <w:jc w:val="left"/>
              <w:rPr>
                <w:sz w:val="4"/>
                <w:szCs w:val="4"/>
              </w:rPr>
            </w:pPr>
            <w:r>
              <w:rPr>
                <w:sz w:val="4"/>
                <w:szCs w:val="4"/>
              </w:rPr>
            </w:r>
          </w:p>
        </w:tc>
      </w:tr>
      <w:tr>
        <w:trPr/>
        <w:tc>
          <w:tcPr>
            <w:tcW w:w="904" w:type="dxa"/>
            <w:tcBorders/>
            <w:vAlign w:val="center"/>
          </w:tcPr>
          <w:p>
            <w:pPr>
              <w:pStyle w:val="TableContents"/>
              <w:bidi w:val="0"/>
              <w:spacing w:before="0" w:after="283"/>
              <w:jc w:val="left"/>
              <w:rPr/>
            </w:pPr>
            <w:r>
              <w:rPr/>
              <w:t> </w:t>
            </w:r>
            <w:r>
              <w:rPr/>
              <w:t>10.8*#</w:t>
            </w:r>
          </w:p>
        </w:tc>
        <w:tc>
          <w:tcPr>
            <w:tcW w:w="60" w:type="dxa"/>
            <w:tcBorders/>
            <w:vAlign w:val="center"/>
          </w:tcPr>
          <w:p>
            <w:pPr>
              <w:pStyle w:val="TableContents"/>
              <w:bidi w:val="0"/>
              <w:spacing w:before="0" w:after="283"/>
              <w:jc w:val="left"/>
              <w:rPr/>
            </w:pPr>
            <w:r>
              <w:rPr/>
              <w:t> </w:t>
            </w:r>
          </w:p>
        </w:tc>
        <w:tc>
          <w:tcPr>
            <w:tcW w:w="9241" w:type="dxa"/>
            <w:tcBorders/>
            <w:vAlign w:val="center"/>
          </w:tcPr>
          <w:p>
            <w:pPr>
              <w:pStyle w:val="TableContents"/>
              <w:bidi w:val="0"/>
              <w:spacing w:before="0" w:after="283"/>
              <w:jc w:val="left"/>
              <w:rPr/>
            </w:pPr>
            <w:hyperlink r:id="rId30">
              <w:r>
                <w:rPr>
                  <w:rStyle w:val="InternetLink"/>
                </w:rPr>
                <w:t xml:space="preserve">Obsidian Therapeutics, Inc. 2026 Employee Stock Purchase Plan (incorporated by reference from Exhibit 10.8 to Obsidian Therapeutics, Inc.’s Current Report on Form 8-K (File No. 001-43430) filed with the Securities and Exchange Commission on August 3, 2026). </w:t>
              </w:r>
            </w:hyperlink>
          </w:p>
        </w:tc>
      </w:tr>
      <w:tr>
        <w:trPr/>
        <w:tc>
          <w:tcPr>
            <w:tcW w:w="904" w:type="dxa"/>
            <w:tcBorders/>
            <w:vAlign w:val="center"/>
          </w:tcPr>
          <w:p>
            <w:pPr>
              <w:pStyle w:val="TableContents"/>
              <w:bidi w:val="0"/>
              <w:spacing w:before="0" w:after="283"/>
              <w:jc w:val="left"/>
              <w:rPr>
                <w:sz w:val="4"/>
                <w:szCs w:val="4"/>
              </w:rPr>
            </w:pPr>
            <w:r>
              <w:rPr>
                <w:sz w:val="4"/>
                <w:szCs w:val="4"/>
              </w:rPr>
            </w:r>
          </w:p>
        </w:tc>
        <w:tc>
          <w:tcPr>
            <w:tcW w:w="9301" w:type="dxa"/>
            <w:gridSpan w:val="2"/>
            <w:tcBorders/>
            <w:vAlign w:val="center"/>
          </w:tcPr>
          <w:p>
            <w:pPr>
              <w:pStyle w:val="TableContents"/>
              <w:bidi w:val="0"/>
              <w:spacing w:before="0" w:after="283"/>
              <w:jc w:val="left"/>
              <w:rPr>
                <w:sz w:val="4"/>
                <w:szCs w:val="4"/>
              </w:rPr>
            </w:pPr>
            <w:r>
              <w:rPr>
                <w:sz w:val="4"/>
                <w:szCs w:val="4"/>
              </w:rPr>
            </w:r>
          </w:p>
        </w:tc>
      </w:tr>
      <w:tr>
        <w:trPr/>
        <w:tc>
          <w:tcPr>
            <w:tcW w:w="904" w:type="dxa"/>
            <w:tcBorders/>
            <w:vAlign w:val="center"/>
          </w:tcPr>
          <w:p>
            <w:pPr>
              <w:pStyle w:val="TableContents"/>
              <w:bidi w:val="0"/>
              <w:spacing w:before="0" w:after="283"/>
              <w:jc w:val="left"/>
              <w:rPr/>
            </w:pPr>
            <w:r>
              <w:rPr/>
              <w:t> </w:t>
            </w:r>
            <w:r>
              <w:rPr/>
              <w:t>10.9*#</w:t>
            </w:r>
          </w:p>
        </w:tc>
        <w:tc>
          <w:tcPr>
            <w:tcW w:w="60" w:type="dxa"/>
            <w:tcBorders/>
            <w:vAlign w:val="center"/>
          </w:tcPr>
          <w:p>
            <w:pPr>
              <w:pStyle w:val="TableContents"/>
              <w:bidi w:val="0"/>
              <w:spacing w:before="0" w:after="283"/>
              <w:jc w:val="left"/>
              <w:rPr/>
            </w:pPr>
            <w:r>
              <w:rPr/>
              <w:t> </w:t>
            </w:r>
          </w:p>
        </w:tc>
        <w:tc>
          <w:tcPr>
            <w:tcW w:w="9241" w:type="dxa"/>
            <w:tcBorders/>
            <w:vAlign w:val="center"/>
          </w:tcPr>
          <w:p>
            <w:pPr>
              <w:pStyle w:val="TableContents"/>
              <w:bidi w:val="0"/>
              <w:spacing w:before="0" w:after="283"/>
              <w:jc w:val="left"/>
              <w:rPr/>
            </w:pPr>
            <w:hyperlink r:id="rId31">
              <w:r>
                <w:rPr>
                  <w:rStyle w:val="InternetLink"/>
                </w:rPr>
                <w:t xml:space="preserve">Non-Employee Director Compensation Policy (incorporated by reference from Exhibit 10.9 to Obsidian Therapeutics, Inc.’s Current Report on Form 8-K (File No. 001-43430) filed with the Securities and Exchange Commission on August 3, 2026). </w:t>
              </w:r>
            </w:hyperlink>
          </w:p>
        </w:tc>
      </w:tr>
      <w:tr>
        <w:trPr/>
        <w:tc>
          <w:tcPr>
            <w:tcW w:w="904" w:type="dxa"/>
            <w:tcBorders/>
            <w:vAlign w:val="center"/>
          </w:tcPr>
          <w:p>
            <w:pPr>
              <w:pStyle w:val="TableContents"/>
              <w:bidi w:val="0"/>
              <w:spacing w:before="0" w:after="283"/>
              <w:jc w:val="left"/>
              <w:rPr>
                <w:sz w:val="4"/>
                <w:szCs w:val="4"/>
              </w:rPr>
            </w:pPr>
            <w:r>
              <w:rPr>
                <w:sz w:val="4"/>
                <w:szCs w:val="4"/>
              </w:rPr>
            </w:r>
          </w:p>
        </w:tc>
        <w:tc>
          <w:tcPr>
            <w:tcW w:w="9301" w:type="dxa"/>
            <w:gridSpan w:val="2"/>
            <w:tcBorders/>
            <w:vAlign w:val="center"/>
          </w:tcPr>
          <w:p>
            <w:pPr>
              <w:pStyle w:val="TableContents"/>
              <w:bidi w:val="0"/>
              <w:spacing w:before="0" w:after="283"/>
              <w:jc w:val="left"/>
              <w:rPr>
                <w:sz w:val="4"/>
                <w:szCs w:val="4"/>
              </w:rPr>
            </w:pPr>
            <w:r>
              <w:rPr>
                <w:sz w:val="4"/>
                <w:szCs w:val="4"/>
              </w:rPr>
            </w:r>
          </w:p>
        </w:tc>
      </w:tr>
      <w:tr>
        <w:trPr/>
        <w:tc>
          <w:tcPr>
            <w:tcW w:w="904" w:type="dxa"/>
            <w:tcBorders/>
            <w:vAlign w:val="center"/>
          </w:tcPr>
          <w:p>
            <w:pPr>
              <w:pStyle w:val="TableContents"/>
              <w:bidi w:val="0"/>
              <w:spacing w:before="0" w:after="283"/>
              <w:jc w:val="left"/>
              <w:rPr/>
            </w:pPr>
            <w:r>
              <w:rPr/>
              <w:t> </w:t>
            </w:r>
            <w:r>
              <w:rPr/>
              <w:t>10.10*#</w:t>
            </w:r>
          </w:p>
        </w:tc>
        <w:tc>
          <w:tcPr>
            <w:tcW w:w="60" w:type="dxa"/>
            <w:tcBorders/>
            <w:vAlign w:val="center"/>
          </w:tcPr>
          <w:p>
            <w:pPr>
              <w:pStyle w:val="TableContents"/>
              <w:bidi w:val="0"/>
              <w:spacing w:before="0" w:after="283"/>
              <w:jc w:val="left"/>
              <w:rPr/>
            </w:pPr>
            <w:r>
              <w:rPr/>
              <w:t> </w:t>
            </w:r>
          </w:p>
        </w:tc>
        <w:tc>
          <w:tcPr>
            <w:tcW w:w="9241" w:type="dxa"/>
            <w:tcBorders/>
            <w:vAlign w:val="center"/>
          </w:tcPr>
          <w:p>
            <w:pPr>
              <w:pStyle w:val="TableContents"/>
              <w:bidi w:val="0"/>
              <w:spacing w:before="0" w:after="283"/>
              <w:jc w:val="left"/>
              <w:rPr/>
            </w:pPr>
            <w:hyperlink r:id="rId32">
              <w:r>
                <w:rPr>
                  <w:rStyle w:val="InternetLink"/>
                </w:rPr>
                <w:t xml:space="preserve">Senior Executive Cash Incentive Bonus Plan (incorporated by reference from Exhibit 10.10 to Obsidian Therapeutics, Inc.’s Current Report on Form 8-K (File No. 001-43430) filed with the Securities and Exchange Commission on August 3, 2026). </w:t>
              </w:r>
            </w:hyperlink>
          </w:p>
        </w:tc>
      </w:tr>
      <w:tr>
        <w:trPr/>
        <w:tc>
          <w:tcPr>
            <w:tcW w:w="904" w:type="dxa"/>
            <w:tcBorders/>
            <w:vAlign w:val="center"/>
          </w:tcPr>
          <w:p>
            <w:pPr>
              <w:pStyle w:val="TableContents"/>
              <w:bidi w:val="0"/>
              <w:spacing w:before="0" w:after="283"/>
              <w:jc w:val="left"/>
              <w:rPr>
                <w:sz w:val="4"/>
                <w:szCs w:val="4"/>
              </w:rPr>
            </w:pPr>
            <w:r>
              <w:rPr>
                <w:sz w:val="4"/>
                <w:szCs w:val="4"/>
              </w:rPr>
            </w:r>
          </w:p>
        </w:tc>
        <w:tc>
          <w:tcPr>
            <w:tcW w:w="9301" w:type="dxa"/>
            <w:gridSpan w:val="2"/>
            <w:tcBorders/>
            <w:vAlign w:val="center"/>
          </w:tcPr>
          <w:p>
            <w:pPr>
              <w:pStyle w:val="TableContents"/>
              <w:bidi w:val="0"/>
              <w:spacing w:before="0" w:after="283"/>
              <w:jc w:val="left"/>
              <w:rPr>
                <w:sz w:val="4"/>
                <w:szCs w:val="4"/>
              </w:rPr>
            </w:pPr>
            <w:r>
              <w:rPr>
                <w:sz w:val="4"/>
                <w:szCs w:val="4"/>
              </w:rPr>
            </w:r>
          </w:p>
        </w:tc>
      </w:tr>
      <w:tr>
        <w:trPr/>
        <w:tc>
          <w:tcPr>
            <w:tcW w:w="904" w:type="dxa"/>
            <w:tcBorders/>
            <w:vAlign w:val="center"/>
          </w:tcPr>
          <w:p>
            <w:pPr>
              <w:pStyle w:val="TableContents"/>
              <w:bidi w:val="0"/>
              <w:spacing w:before="0" w:after="283"/>
              <w:jc w:val="left"/>
              <w:rPr/>
            </w:pPr>
            <w:r>
              <w:rPr/>
              <w:t> </w:t>
            </w:r>
            <w:r>
              <w:rPr/>
              <w:t>10.11*#</w:t>
            </w:r>
          </w:p>
        </w:tc>
        <w:tc>
          <w:tcPr>
            <w:tcW w:w="60" w:type="dxa"/>
            <w:tcBorders/>
            <w:vAlign w:val="center"/>
          </w:tcPr>
          <w:p>
            <w:pPr>
              <w:pStyle w:val="TableContents"/>
              <w:bidi w:val="0"/>
              <w:spacing w:before="0" w:after="283"/>
              <w:jc w:val="left"/>
              <w:rPr/>
            </w:pPr>
            <w:r>
              <w:rPr/>
              <w:t> </w:t>
            </w:r>
          </w:p>
        </w:tc>
        <w:tc>
          <w:tcPr>
            <w:tcW w:w="9241" w:type="dxa"/>
            <w:tcBorders/>
            <w:vAlign w:val="center"/>
          </w:tcPr>
          <w:p>
            <w:pPr>
              <w:pStyle w:val="TableContents"/>
              <w:bidi w:val="0"/>
              <w:spacing w:before="0" w:after="283"/>
              <w:jc w:val="left"/>
              <w:rPr/>
            </w:pPr>
            <w:hyperlink r:id="rId33">
              <w:r>
                <w:rPr>
                  <w:rStyle w:val="InternetLink"/>
                </w:rPr>
                <w:t xml:space="preserve">Executive Severance Plan (incorporated by reference from Exhibit 10.11 to Obsidian Therapeutics, Inc.’s Current Report on Form 8-K (File No. 001-43430) filed with the Securities and Exchange Commission on August 3, 2026). </w:t>
              </w:r>
            </w:hyperlink>
          </w:p>
        </w:tc>
      </w:tr>
      <w:tr>
        <w:trPr/>
        <w:tc>
          <w:tcPr>
            <w:tcW w:w="904" w:type="dxa"/>
            <w:tcBorders/>
            <w:vAlign w:val="center"/>
          </w:tcPr>
          <w:p>
            <w:pPr>
              <w:pStyle w:val="TableContents"/>
              <w:bidi w:val="0"/>
              <w:spacing w:before="0" w:after="283"/>
              <w:jc w:val="left"/>
              <w:rPr>
                <w:sz w:val="4"/>
                <w:szCs w:val="4"/>
              </w:rPr>
            </w:pPr>
            <w:r>
              <w:rPr>
                <w:sz w:val="4"/>
                <w:szCs w:val="4"/>
              </w:rPr>
            </w:r>
          </w:p>
        </w:tc>
        <w:tc>
          <w:tcPr>
            <w:tcW w:w="9301" w:type="dxa"/>
            <w:gridSpan w:val="2"/>
            <w:tcBorders/>
            <w:vAlign w:val="center"/>
          </w:tcPr>
          <w:p>
            <w:pPr>
              <w:pStyle w:val="TableContents"/>
              <w:bidi w:val="0"/>
              <w:spacing w:before="0" w:after="283"/>
              <w:jc w:val="left"/>
              <w:rPr>
                <w:sz w:val="4"/>
                <w:szCs w:val="4"/>
              </w:rPr>
            </w:pPr>
            <w:r>
              <w:rPr>
                <w:sz w:val="4"/>
                <w:szCs w:val="4"/>
              </w:rPr>
            </w:r>
          </w:p>
        </w:tc>
      </w:tr>
      <w:tr>
        <w:trPr/>
        <w:tc>
          <w:tcPr>
            <w:tcW w:w="904" w:type="dxa"/>
            <w:tcBorders/>
            <w:vAlign w:val="center"/>
          </w:tcPr>
          <w:p>
            <w:pPr>
              <w:pStyle w:val="TableContents"/>
              <w:bidi w:val="0"/>
              <w:spacing w:before="0" w:after="283"/>
              <w:jc w:val="left"/>
              <w:rPr/>
            </w:pPr>
            <w:r>
              <w:rPr/>
              <w:t> </w:t>
            </w:r>
            <w:r>
              <w:rPr/>
              <w:t>10.12*#</w:t>
            </w:r>
          </w:p>
        </w:tc>
        <w:tc>
          <w:tcPr>
            <w:tcW w:w="60" w:type="dxa"/>
            <w:tcBorders/>
            <w:vAlign w:val="center"/>
          </w:tcPr>
          <w:p>
            <w:pPr>
              <w:pStyle w:val="TableContents"/>
              <w:bidi w:val="0"/>
              <w:spacing w:before="0" w:after="283"/>
              <w:jc w:val="left"/>
              <w:rPr/>
            </w:pPr>
            <w:r>
              <w:rPr/>
              <w:t> </w:t>
            </w:r>
          </w:p>
        </w:tc>
        <w:tc>
          <w:tcPr>
            <w:tcW w:w="9241" w:type="dxa"/>
            <w:tcBorders/>
            <w:vAlign w:val="center"/>
          </w:tcPr>
          <w:p>
            <w:pPr>
              <w:pStyle w:val="TableContents"/>
              <w:bidi w:val="0"/>
              <w:spacing w:before="0" w:after="283"/>
              <w:jc w:val="left"/>
              <w:rPr/>
            </w:pPr>
            <w:hyperlink r:id="rId34">
              <w:r>
                <w:rPr>
                  <w:rStyle w:val="InternetLink"/>
                </w:rPr>
                <w:t xml:space="preserve">Form of Executive Employment Agreement (incorporated by reference from Exhibit 10.12 to Obsidian Therapeutics, Inc.’s Current Report on Form 8-K (File No. 001-43430) filed with the Securities and Exchange Commission on August 3, 2026). </w:t>
              </w:r>
            </w:hyperlink>
          </w:p>
        </w:tc>
      </w:tr>
      <w:tr>
        <w:trPr/>
        <w:tc>
          <w:tcPr>
            <w:tcW w:w="904" w:type="dxa"/>
            <w:tcBorders/>
            <w:vAlign w:val="center"/>
          </w:tcPr>
          <w:p>
            <w:pPr>
              <w:pStyle w:val="TableContents"/>
              <w:bidi w:val="0"/>
              <w:spacing w:before="0" w:after="283"/>
              <w:jc w:val="left"/>
              <w:rPr>
                <w:sz w:val="4"/>
                <w:szCs w:val="4"/>
              </w:rPr>
            </w:pPr>
            <w:r>
              <w:rPr>
                <w:sz w:val="4"/>
                <w:szCs w:val="4"/>
              </w:rPr>
            </w:r>
          </w:p>
        </w:tc>
        <w:tc>
          <w:tcPr>
            <w:tcW w:w="9301" w:type="dxa"/>
            <w:gridSpan w:val="2"/>
            <w:tcBorders/>
            <w:vAlign w:val="center"/>
          </w:tcPr>
          <w:p>
            <w:pPr>
              <w:pStyle w:val="TableContents"/>
              <w:bidi w:val="0"/>
              <w:spacing w:before="0" w:after="283"/>
              <w:jc w:val="left"/>
              <w:rPr>
                <w:sz w:val="4"/>
                <w:szCs w:val="4"/>
              </w:rPr>
            </w:pPr>
            <w:r>
              <w:rPr>
                <w:sz w:val="4"/>
                <w:szCs w:val="4"/>
              </w:rPr>
            </w:r>
          </w:p>
        </w:tc>
      </w:tr>
      <w:tr>
        <w:trPr/>
        <w:tc>
          <w:tcPr>
            <w:tcW w:w="904" w:type="dxa"/>
            <w:tcBorders/>
            <w:vAlign w:val="center"/>
          </w:tcPr>
          <w:p>
            <w:pPr>
              <w:pStyle w:val="TableContents"/>
              <w:bidi w:val="0"/>
              <w:spacing w:before="0" w:after="283"/>
              <w:jc w:val="left"/>
              <w:rPr/>
            </w:pPr>
            <w:r>
              <w:rPr/>
              <w:t> </w:t>
            </w:r>
            <w:r>
              <w:rPr/>
              <w:t>10.13*+</w:t>
            </w:r>
          </w:p>
        </w:tc>
        <w:tc>
          <w:tcPr>
            <w:tcW w:w="60" w:type="dxa"/>
            <w:tcBorders/>
            <w:vAlign w:val="center"/>
          </w:tcPr>
          <w:p>
            <w:pPr>
              <w:pStyle w:val="TableContents"/>
              <w:bidi w:val="0"/>
              <w:spacing w:before="0" w:after="283"/>
              <w:jc w:val="left"/>
              <w:rPr/>
            </w:pPr>
            <w:r>
              <w:rPr/>
              <w:t> </w:t>
            </w:r>
          </w:p>
        </w:tc>
        <w:tc>
          <w:tcPr>
            <w:tcW w:w="9241" w:type="dxa"/>
            <w:tcBorders/>
            <w:vAlign w:val="center"/>
          </w:tcPr>
          <w:p>
            <w:pPr>
              <w:pStyle w:val="TableContents"/>
              <w:bidi w:val="0"/>
              <w:spacing w:before="0" w:after="283"/>
              <w:jc w:val="left"/>
              <w:rPr/>
            </w:pPr>
            <w:hyperlink r:id="rId35">
              <w:r>
                <w:rPr>
                  <w:rStyle w:val="InternetLink"/>
                </w:rPr>
                <w:t xml:space="preserve">Nonexclusive License Agreement, by and between the Registrant and The University of Texas M.D. Anderson Cancer Center, dated October 19, 2021 (incorporated by reference from Exhibit 10.13 to Obsidian Therapeutics, Inc.’s Current Report on Form 8-K (File No. 001-43430) filed with the Securities and Exchange Commission on August 3, 2026). </w:t>
              </w:r>
            </w:hyperlink>
          </w:p>
        </w:tc>
      </w:tr>
      <w:tr>
        <w:trPr/>
        <w:tc>
          <w:tcPr>
            <w:tcW w:w="904" w:type="dxa"/>
            <w:tcBorders/>
            <w:vAlign w:val="center"/>
          </w:tcPr>
          <w:p>
            <w:pPr>
              <w:pStyle w:val="TableContents"/>
              <w:bidi w:val="0"/>
              <w:spacing w:before="0" w:after="283"/>
              <w:jc w:val="left"/>
              <w:rPr>
                <w:sz w:val="4"/>
                <w:szCs w:val="4"/>
              </w:rPr>
            </w:pPr>
            <w:r>
              <w:rPr>
                <w:sz w:val="4"/>
                <w:szCs w:val="4"/>
              </w:rPr>
            </w:r>
          </w:p>
        </w:tc>
        <w:tc>
          <w:tcPr>
            <w:tcW w:w="9301" w:type="dxa"/>
            <w:gridSpan w:val="2"/>
            <w:tcBorders/>
            <w:vAlign w:val="center"/>
          </w:tcPr>
          <w:p>
            <w:pPr>
              <w:pStyle w:val="TableContents"/>
              <w:bidi w:val="0"/>
              <w:spacing w:before="0" w:after="283"/>
              <w:jc w:val="left"/>
              <w:rPr>
                <w:sz w:val="4"/>
                <w:szCs w:val="4"/>
              </w:rPr>
            </w:pPr>
            <w:r>
              <w:rPr>
                <w:sz w:val="4"/>
                <w:szCs w:val="4"/>
              </w:rPr>
            </w:r>
          </w:p>
        </w:tc>
      </w:tr>
      <w:tr>
        <w:trPr/>
        <w:tc>
          <w:tcPr>
            <w:tcW w:w="904" w:type="dxa"/>
            <w:tcBorders/>
            <w:vAlign w:val="center"/>
          </w:tcPr>
          <w:p>
            <w:pPr>
              <w:pStyle w:val="TableContents"/>
              <w:bidi w:val="0"/>
              <w:spacing w:before="0" w:after="283"/>
              <w:jc w:val="left"/>
              <w:rPr/>
            </w:pPr>
            <w:r>
              <w:rPr/>
              <w:t>10.14*</w:t>
            </w:r>
          </w:p>
        </w:tc>
        <w:tc>
          <w:tcPr>
            <w:tcW w:w="60" w:type="dxa"/>
            <w:tcBorders/>
            <w:vAlign w:val="center"/>
          </w:tcPr>
          <w:p>
            <w:pPr>
              <w:pStyle w:val="TableContents"/>
              <w:bidi w:val="0"/>
              <w:spacing w:before="0" w:after="283"/>
              <w:jc w:val="left"/>
              <w:rPr/>
            </w:pPr>
            <w:r>
              <w:rPr/>
              <w:t> </w:t>
            </w:r>
          </w:p>
        </w:tc>
        <w:tc>
          <w:tcPr>
            <w:tcW w:w="9241" w:type="dxa"/>
            <w:tcBorders/>
            <w:vAlign w:val="center"/>
          </w:tcPr>
          <w:p>
            <w:pPr>
              <w:pStyle w:val="TableContents"/>
              <w:bidi w:val="0"/>
              <w:spacing w:before="0" w:after="283"/>
              <w:jc w:val="left"/>
              <w:rPr/>
            </w:pPr>
            <w:hyperlink r:id="rId36">
              <w:r>
                <w:rPr>
                  <w:rStyle w:val="InternetLink"/>
                </w:rPr>
                <w:t xml:space="preserve">Lease by and between the Registrant and Cambridge 1030 Mass Ave, LLC, dated May 19, 2017, as amended (incorporated by reference from Exhibit 10.14 to Obsidian Therapeutics, Inc.’s Current Report on Form 8-K (File No. 001-43430) filed with the Securities and Exchange Commission on August 3, 2026).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903"/>
        <w:gridCol w:w="60"/>
        <w:gridCol w:w="9242"/>
      </w:tblGrid>
      <w:tr>
        <w:trPr/>
        <w:tc>
          <w:tcPr>
            <w:tcW w:w="9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42" w:type="dxa"/>
            <w:tcBorders/>
            <w:vAlign w:val="center"/>
          </w:tcPr>
          <w:p>
            <w:pPr>
              <w:pStyle w:val="TableContents"/>
              <w:bidi w:val="0"/>
              <w:spacing w:before="0" w:after="283"/>
              <w:jc w:val="left"/>
              <w:rPr>
                <w:sz w:val="4"/>
                <w:szCs w:val="4"/>
              </w:rPr>
            </w:pPr>
            <w:r>
              <w:rPr>
                <w:sz w:val="4"/>
                <w:szCs w:val="4"/>
              </w:rPr>
            </w:r>
          </w:p>
        </w:tc>
      </w:tr>
      <w:tr>
        <w:trPr/>
        <w:tc>
          <w:tcPr>
            <w:tcW w:w="903" w:type="dxa"/>
            <w:tcBorders>
              <w:bottom w:val="single" w:sz="8" w:space="0" w:color="000000"/>
            </w:tcBorders>
            <w:tcMar>
              <w:bottom w:w="28" w:type="dxa"/>
            </w:tcMar>
            <w:vAlign w:val="center"/>
          </w:tcPr>
          <w:p>
            <w:pPr>
              <w:pStyle w:val="TableContents"/>
              <w:bidi w:val="0"/>
              <w:spacing w:before="0" w:after="283"/>
              <w:jc w:val="center"/>
              <w:rPr/>
            </w:pPr>
            <w:r>
              <w:rPr>
                <w:b/>
              </w:rPr>
              <w:t>Exhibit</w:t>
            </w:r>
            <w:r>
              <w:rPr/>
              <w:br/>
            </w:r>
            <w:r>
              <w:rPr>
                <w:b/>
              </w:rPr>
              <w:t>Number</w:t>
            </w:r>
          </w:p>
        </w:tc>
        <w:tc>
          <w:tcPr>
            <w:tcW w:w="60" w:type="dxa"/>
            <w:tcBorders/>
            <w:vAlign w:val="center"/>
          </w:tcPr>
          <w:p>
            <w:pPr>
              <w:pStyle w:val="TableContents"/>
              <w:bidi w:val="0"/>
              <w:spacing w:before="0" w:after="283"/>
              <w:jc w:val="left"/>
              <w:rPr/>
            </w:pPr>
            <w:r>
              <w:rPr/>
              <w:t> </w:t>
            </w:r>
          </w:p>
        </w:tc>
        <w:tc>
          <w:tcPr>
            <w:tcW w:w="924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 </w:t>
            </w:r>
            <w:r>
              <w:rPr/>
              <w:t>10.15*</w:t>
            </w:r>
          </w:p>
        </w:tc>
        <w:tc>
          <w:tcPr>
            <w:tcW w:w="60" w:type="dxa"/>
            <w:tcBorders/>
            <w:vAlign w:val="center"/>
          </w:tcPr>
          <w:p>
            <w:pPr>
              <w:pStyle w:val="TableContents"/>
              <w:bidi w:val="0"/>
              <w:spacing w:before="0" w:after="283"/>
              <w:jc w:val="left"/>
              <w:rPr/>
            </w:pPr>
            <w:r>
              <w:rPr/>
              <w:t> </w:t>
            </w:r>
          </w:p>
        </w:tc>
        <w:tc>
          <w:tcPr>
            <w:tcW w:w="9242" w:type="dxa"/>
            <w:tcBorders/>
            <w:vAlign w:val="center"/>
          </w:tcPr>
          <w:p>
            <w:pPr>
              <w:pStyle w:val="TableContents"/>
              <w:bidi w:val="0"/>
              <w:spacing w:before="0" w:after="283"/>
              <w:jc w:val="left"/>
              <w:rPr/>
            </w:pPr>
            <w:hyperlink r:id="rId37">
              <w:r>
                <w:rPr>
                  <w:rStyle w:val="InternetLink"/>
                </w:rPr>
                <w:t xml:space="preserve">Lease by and between the Registrant and Patriots Park Owner, LLC, dated August 19, 2021 (incorporated by reference from Exhibit 10.15 to Obsidian Therapeutics, Inc.’s Current Report on Form 8-K (File No. 001-43430) filed with the Securities and Exchange Commission on August 3, 2026). </w:t>
              </w:r>
            </w:hyperlink>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 </w:t>
            </w:r>
            <w:r>
              <w:rPr/>
              <w:t>21.1</w:t>
            </w:r>
          </w:p>
        </w:tc>
        <w:tc>
          <w:tcPr>
            <w:tcW w:w="60" w:type="dxa"/>
            <w:tcBorders/>
            <w:vAlign w:val="center"/>
          </w:tcPr>
          <w:p>
            <w:pPr>
              <w:pStyle w:val="TableContents"/>
              <w:bidi w:val="0"/>
              <w:spacing w:before="0" w:after="283"/>
              <w:jc w:val="left"/>
              <w:rPr/>
            </w:pPr>
            <w:r>
              <w:rPr/>
              <w:t> </w:t>
            </w:r>
          </w:p>
        </w:tc>
        <w:tc>
          <w:tcPr>
            <w:tcW w:w="9242" w:type="dxa"/>
            <w:tcBorders/>
            <w:vAlign w:val="center"/>
          </w:tcPr>
          <w:p>
            <w:pPr>
              <w:pStyle w:val="TableContents"/>
              <w:bidi w:val="0"/>
              <w:spacing w:before="0" w:after="283"/>
              <w:jc w:val="left"/>
              <w:rPr/>
            </w:pPr>
            <w:hyperlink w:anchor="d127696dex211.htm">
              <w:r>
                <w:rPr>
                  <w:rStyle w:val="InternetLink"/>
                </w:rPr>
                <w:t xml:space="preserve">Subsidiaries of the Registrant. </w:t>
              </w:r>
            </w:hyperlink>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 </w:t>
            </w:r>
            <w:r>
              <w:rPr/>
              <w:t>23.1</w:t>
            </w:r>
          </w:p>
        </w:tc>
        <w:tc>
          <w:tcPr>
            <w:tcW w:w="60" w:type="dxa"/>
            <w:tcBorders/>
            <w:vAlign w:val="center"/>
          </w:tcPr>
          <w:p>
            <w:pPr>
              <w:pStyle w:val="TableContents"/>
              <w:bidi w:val="0"/>
              <w:spacing w:before="0" w:after="283"/>
              <w:jc w:val="left"/>
              <w:rPr/>
            </w:pPr>
            <w:r>
              <w:rPr/>
              <w:t> </w:t>
            </w:r>
          </w:p>
        </w:tc>
        <w:tc>
          <w:tcPr>
            <w:tcW w:w="9242" w:type="dxa"/>
            <w:tcBorders/>
            <w:vAlign w:val="center"/>
          </w:tcPr>
          <w:p>
            <w:pPr>
              <w:pStyle w:val="TableContents"/>
              <w:bidi w:val="0"/>
              <w:spacing w:before="0" w:after="283"/>
              <w:jc w:val="left"/>
              <w:rPr/>
            </w:pPr>
            <w:hyperlink w:anchor="d127696dex231.htm">
              <w:r>
                <w:rPr>
                  <w:rStyle w:val="InternetLink"/>
                </w:rPr>
                <w:t xml:space="preserve">Consent of KPMG LLP, independent registered public accounting firm. </w:t>
              </w:r>
            </w:hyperlink>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 </w:t>
            </w:r>
            <w:r>
              <w:rPr/>
              <w:t>23.2</w:t>
            </w:r>
          </w:p>
        </w:tc>
        <w:tc>
          <w:tcPr>
            <w:tcW w:w="60" w:type="dxa"/>
            <w:tcBorders/>
            <w:vAlign w:val="center"/>
          </w:tcPr>
          <w:p>
            <w:pPr>
              <w:pStyle w:val="TableContents"/>
              <w:bidi w:val="0"/>
              <w:spacing w:before="0" w:after="283"/>
              <w:jc w:val="left"/>
              <w:rPr/>
            </w:pPr>
            <w:r>
              <w:rPr/>
              <w:t> </w:t>
            </w:r>
          </w:p>
        </w:tc>
        <w:tc>
          <w:tcPr>
            <w:tcW w:w="9242" w:type="dxa"/>
            <w:tcBorders/>
            <w:vAlign w:val="center"/>
          </w:tcPr>
          <w:p>
            <w:pPr>
              <w:pStyle w:val="TableContents"/>
              <w:bidi w:val="0"/>
              <w:spacing w:before="0" w:after="283"/>
              <w:jc w:val="left"/>
              <w:rPr/>
            </w:pPr>
            <w:hyperlink w:anchor="d127696dex51.htm">
              <w:r>
                <w:rPr>
                  <w:rStyle w:val="InternetLink"/>
                </w:rPr>
                <w:t xml:space="preserve">Consent of Goodwin Procter LLP (included in Exhibit 5.1). </w:t>
              </w:r>
            </w:hyperlink>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 </w:t>
            </w:r>
            <w:r>
              <w:rPr/>
              <w:t>24.1</w:t>
            </w:r>
          </w:p>
        </w:tc>
        <w:tc>
          <w:tcPr>
            <w:tcW w:w="60" w:type="dxa"/>
            <w:tcBorders/>
            <w:vAlign w:val="center"/>
          </w:tcPr>
          <w:p>
            <w:pPr>
              <w:pStyle w:val="TableContents"/>
              <w:bidi w:val="0"/>
              <w:spacing w:before="0" w:after="283"/>
              <w:jc w:val="left"/>
              <w:rPr/>
            </w:pPr>
            <w:r>
              <w:rPr/>
              <w:t> </w:t>
            </w:r>
          </w:p>
        </w:tc>
        <w:tc>
          <w:tcPr>
            <w:tcW w:w="9242" w:type="dxa"/>
            <w:tcBorders/>
            <w:vAlign w:val="center"/>
          </w:tcPr>
          <w:p>
            <w:pPr>
              <w:pStyle w:val="TableContents"/>
              <w:bidi w:val="0"/>
              <w:spacing w:before="0" w:after="283"/>
              <w:jc w:val="left"/>
              <w:rPr/>
            </w:pPr>
            <w:hyperlink w:anchor="sig">
              <w:r>
                <w:rPr>
                  <w:rStyle w:val="InternetLink"/>
                </w:rPr>
                <w:t xml:space="preserve">Power of Attorney </w:t>
              </w:r>
            </w:hyperlink>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101.INS</w:t>
            </w:r>
          </w:p>
        </w:tc>
        <w:tc>
          <w:tcPr>
            <w:tcW w:w="60" w:type="dxa"/>
            <w:tcBorders/>
            <w:vAlign w:val="center"/>
          </w:tcPr>
          <w:p>
            <w:pPr>
              <w:pStyle w:val="TableContents"/>
              <w:bidi w:val="0"/>
              <w:spacing w:before="0" w:after="283"/>
              <w:jc w:val="left"/>
              <w:rPr/>
            </w:pPr>
            <w:r>
              <w:rPr/>
              <w:t> </w:t>
            </w:r>
          </w:p>
        </w:tc>
        <w:tc>
          <w:tcPr>
            <w:tcW w:w="9242"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Interactive Data File - the instance document does not appear in the Interactive Data File because its XBRL tags are embedded within the inline XBRL document.</w:t>
            </w:r>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101.SCH</w:t>
            </w:r>
          </w:p>
        </w:tc>
        <w:tc>
          <w:tcPr>
            <w:tcW w:w="60" w:type="dxa"/>
            <w:tcBorders/>
            <w:vAlign w:val="center"/>
          </w:tcPr>
          <w:p>
            <w:pPr>
              <w:pStyle w:val="TableContents"/>
              <w:bidi w:val="0"/>
              <w:spacing w:before="0" w:after="283"/>
              <w:jc w:val="left"/>
              <w:rPr/>
            </w:pPr>
            <w:r>
              <w:rPr/>
              <w:t> </w:t>
            </w:r>
          </w:p>
        </w:tc>
        <w:tc>
          <w:tcPr>
            <w:tcW w:w="9242"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XBRL Taxonomy Extension Schema</w:t>
            </w:r>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107</w:t>
            </w:r>
          </w:p>
        </w:tc>
        <w:tc>
          <w:tcPr>
            <w:tcW w:w="60" w:type="dxa"/>
            <w:tcBorders/>
            <w:vAlign w:val="center"/>
          </w:tcPr>
          <w:p>
            <w:pPr>
              <w:pStyle w:val="TableContents"/>
              <w:bidi w:val="0"/>
              <w:spacing w:before="0" w:after="283"/>
              <w:jc w:val="left"/>
              <w:rPr/>
            </w:pPr>
            <w:r>
              <w:rPr/>
              <w:t> </w:t>
            </w:r>
          </w:p>
        </w:tc>
        <w:tc>
          <w:tcPr>
            <w:tcW w:w="9242" w:type="dxa"/>
            <w:tcBorders/>
            <w:vAlign w:val="center"/>
          </w:tcPr>
          <w:p>
            <w:pPr>
              <w:pStyle w:val="TableContents"/>
              <w:bidi w:val="0"/>
              <w:spacing w:before="0" w:after="283"/>
              <w:jc w:val="left"/>
              <w:rPr/>
            </w:pPr>
            <w:hyperlink w:anchor="d127696dexfilingfees.htm">
              <w:r>
                <w:rPr>
                  <w:rStyle w:val="InternetLink"/>
                </w:rPr>
                <w:t xml:space="preserve">Filing Fee Table. </w:t>
              </w:r>
            </w:hyperlink>
          </w:p>
        </w:tc>
      </w:tr>
    </w:tbl>
    <w:p>
      <w:pPr>
        <w:pStyle w:val="TextBody"/>
        <w:bidi w:val="0"/>
        <w:spacing w:before="0" w:after="0"/>
        <w:jc w:val="left"/>
        <w:rPr/>
      </w:pPr>
      <w:r>
        <w:rPr/>
        <w:t> </w:t>
      </w:r>
    </w:p>
    <w:tbl>
      <w:tblPr>
        <w:tblW w:w="1615" w:type="dxa"/>
        <w:jc w:val="left"/>
        <w:tblInd w:w="0" w:type="dxa"/>
        <w:tblLayout w:type="fixed"/>
        <w:tblCellMar>
          <w:top w:w="0" w:type="dxa"/>
          <w:left w:w="0" w:type="dxa"/>
          <w:bottom w:w="0" w:type="dxa"/>
          <w:right w:w="0" w:type="dxa"/>
        </w:tblCellMar>
      </w:tblPr>
      <w:tblGrid>
        <w:gridCol w:w="155"/>
        <w:gridCol w:w="1460"/>
      </w:tblGrid>
      <w:tr>
        <w:trPr/>
        <w:tc>
          <w:tcPr>
            <w:tcW w:w="155"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Filed previously. </w:t>
            </w:r>
          </w:p>
        </w:tc>
      </w:tr>
    </w:tbl>
    <w:tbl>
      <w:tblPr>
        <w:tblW w:w="7090" w:type="dxa"/>
        <w:jc w:val="left"/>
        <w:tblInd w:w="0" w:type="dxa"/>
        <w:tblLayout w:type="fixed"/>
        <w:tblCellMar>
          <w:top w:w="0" w:type="dxa"/>
          <w:left w:w="0" w:type="dxa"/>
          <w:bottom w:w="0" w:type="dxa"/>
          <w:right w:w="0" w:type="dxa"/>
        </w:tblCellMar>
      </w:tblPr>
      <w:tblGrid>
        <w:gridCol w:w="155"/>
        <w:gridCol w:w="6935"/>
      </w:tblGrid>
      <w:tr>
        <w:trPr/>
        <w:tc>
          <w:tcPr>
            <w:tcW w:w="155" w:type="dxa"/>
            <w:tcBorders/>
            <w:vAlign w:val="center"/>
          </w:tcPr>
          <w:p>
            <w:pPr>
              <w:pStyle w:val="TableContents"/>
              <w:bidi w:val="0"/>
              <w:spacing w:before="0" w:after="283"/>
              <w:jc w:val="left"/>
              <w:rPr/>
            </w:pPr>
            <w:r>
              <w:rPr/>
              <w:t>#</w:t>
            </w:r>
          </w:p>
        </w:tc>
        <w:tc>
          <w:tcPr>
            <w:tcW w:w="6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Indicates a management contract or any compensatory plan, contract or arrangement.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exhibits and schedules to these agreements have been omitted pursuant to Item 601(b)(2) or 601(a)(5) of Regulation S-K. The registrant will furnish copies of any of the exhibits and schedules to the Securities and Exchange Commission upon request. </w:t>
            </w:r>
          </w:p>
        </w:tc>
      </w:tr>
    </w:tbl>
    <w:p>
      <w:pPr>
        <w:pStyle w:val="TextBody"/>
        <w:bidi w:val="0"/>
        <w:spacing w:before="0" w:after="0"/>
        <w:jc w:val="left"/>
        <w:rPr/>
      </w:pPr>
      <w:r>
        <w:rPr/>
        <w:t> </w:t>
      </w:r>
    </w:p>
    <w:tbl>
      <w:tblPr>
        <w:tblW w:w="3100" w:type="dxa"/>
        <w:jc w:val="left"/>
        <w:tblInd w:w="0" w:type="dxa"/>
        <w:tblLayout w:type="fixed"/>
        <w:tblCellMar>
          <w:top w:w="0" w:type="dxa"/>
          <w:left w:w="0" w:type="dxa"/>
          <w:bottom w:w="0" w:type="dxa"/>
          <w:right w:w="0" w:type="dxa"/>
        </w:tblCellMar>
      </w:tblPr>
      <w:tblGrid>
        <w:gridCol w:w="75"/>
        <w:gridCol w:w="305"/>
        <w:gridCol w:w="272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b/>
              </w:rPr>
            </w:pPr>
            <w:r>
              <w:rPr>
                <w:b/>
              </w:rPr>
              <w:t>(b)</w:t>
            </w:r>
          </w:p>
        </w:tc>
        <w:tc>
          <w:tcPr>
            <w:tcW w:w="27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Schedules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Schedules have been omitted because the information required to be set forth therein is not applicable or is shown in the financial statements or notes thereto. </w:t>
      </w:r>
    </w:p>
    <w:p>
      <w:pPr>
        <w:pStyle w:val="TextBody"/>
        <w:bidi w:val="0"/>
        <w:spacing w:before="36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120" w:after="0"/>
        <w:jc w:val="left"/>
        <w:rPr>
          <w:rFonts w:ascii="Times New Roman" w:hAnsi="Times New Roman"/>
          <w:sz w:val="20"/>
        </w:rPr>
      </w:pPr>
      <w:r>
        <w:rPr>
          <w:rFonts w:ascii="Times New Roman" w:hAnsi="Times New Roman"/>
          <w:sz w:val="20"/>
        </w:rPr>
        <w:t xml:space="preserve">Insofar as indemnification for liabilities arising under the Securities Act of 1933, as amended, or the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Registrant hereby undertakes: </w:t>
      </w:r>
    </w:p>
    <w:p>
      <w:pPr>
        <w:pStyle w:val="TextBody"/>
        <w:bidi w:val="0"/>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of 1933; </w:t>
      </w:r>
    </w:p>
    <w:p>
      <w:pPr>
        <w:pStyle w:val="TextBody"/>
        <w:bidi w:val="0"/>
        <w:spacing w:before="12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foregoing, any increase or decrease in volume of securities offered (if the total dollar value of securities offered would not exceed that which was registered) and any deviation from the low or high end of the estimated price range may be reflected in the form of prospectus filed with the Commission pursuant to Rule 424(b) if, in the aggregate, the changes in volume and price represent no more than a 20% change in the maximum aggregate offering price set forth in the Exhibit 107 “Filing Fee Table” in the effective registration statement; and </w:t>
      </w:r>
    </w:p>
    <w:p>
      <w:pPr>
        <w:pStyle w:val="TextBody"/>
        <w:bidi w:val="0"/>
        <w:spacing w:before="24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(4) 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sig"/>
      <w:bookmarkEnd w:id="27"/>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has duly caused this Registration Statement on Form S-1 to be signed on its behalf by the undersigned, thereunto duly authorized, in the City of Cambridge, Massachusetts, on the 28th day of August, 2026. </w:t>
      </w:r>
    </w:p>
    <w:p>
      <w:pPr>
        <w:pStyle w:val="TextBody"/>
        <w:bidi w:val="0"/>
        <w:spacing w:before="0" w:after="0"/>
        <w:jc w:val="left"/>
        <w:rPr/>
      </w:pPr>
      <w:r>
        <w:rPr/>
        <w:t> </w:t>
      </w:r>
    </w:p>
    <w:tbl>
      <w:tblPr>
        <w:tblW w:w="3874" w:type="dxa"/>
        <w:jc w:val="left"/>
        <w:tblInd w:w="0" w:type="dxa"/>
        <w:tblLayout w:type="fixed"/>
        <w:tblCellMar>
          <w:top w:w="0" w:type="dxa"/>
          <w:left w:w="0" w:type="dxa"/>
          <w:bottom w:w="0" w:type="dxa"/>
          <w:right w:w="0" w:type="dxa"/>
        </w:tblCellMar>
      </w:tblPr>
      <w:tblGrid>
        <w:gridCol w:w="390"/>
        <w:gridCol w:w="61"/>
        <w:gridCol w:w="3423"/>
      </w:tblGrid>
      <w:tr>
        <w:trPr/>
        <w:tc>
          <w:tcPr>
            <w:tcW w:w="39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3423" w:type="dxa"/>
            <w:tcBorders/>
            <w:vAlign w:val="center"/>
          </w:tcPr>
          <w:p>
            <w:pPr>
              <w:pStyle w:val="TableContents"/>
              <w:bidi w:val="0"/>
              <w:spacing w:before="0" w:after="283"/>
              <w:jc w:val="left"/>
              <w:rPr>
                <w:sz w:val="4"/>
                <w:szCs w:val="4"/>
              </w:rPr>
            </w:pPr>
            <w:r>
              <w:rPr>
                <w:sz w:val="4"/>
                <w:szCs w:val="4"/>
              </w:rPr>
            </w:r>
          </w:p>
        </w:tc>
      </w:tr>
      <w:tr>
        <w:trPr/>
        <w:tc>
          <w:tcPr>
            <w:tcW w:w="3874" w:type="dxa"/>
            <w:gridSpan w:val="3"/>
            <w:tcBorders/>
            <w:vAlign w:val="center"/>
          </w:tcPr>
          <w:p>
            <w:pPr>
              <w:pStyle w:val="TableContents"/>
              <w:bidi w:val="0"/>
              <w:spacing w:before="0" w:after="283"/>
              <w:jc w:val="left"/>
              <w:rPr>
                <w:b/>
              </w:rPr>
            </w:pPr>
            <w:r>
              <w:rPr>
                <w:b/>
              </w:rPr>
              <w:t>OBSIDIAN THERAPEUTICS, INC.</w:t>
            </w:r>
          </w:p>
        </w:tc>
      </w:tr>
      <w:tr>
        <w:trPr/>
        <w:tc>
          <w:tcPr>
            <w:tcW w:w="390" w:type="dxa"/>
            <w:tcBorders/>
            <w:vAlign w:val="center"/>
          </w:tcPr>
          <w:p>
            <w:pPr>
              <w:pStyle w:val="TableContents"/>
              <w:bidi w:val="0"/>
              <w:spacing w:before="0" w:after="283"/>
              <w:jc w:val="left"/>
              <w:rPr>
                <w:sz w:val="4"/>
                <w:szCs w:val="4"/>
              </w:rPr>
            </w:pPr>
            <w:r>
              <w:rPr>
                <w:sz w:val="4"/>
                <w:szCs w:val="4"/>
              </w:rPr>
            </w:r>
          </w:p>
        </w:tc>
        <w:tc>
          <w:tcPr>
            <w:tcW w:w="3484" w:type="dxa"/>
            <w:gridSpan w:val="2"/>
            <w:tcBorders/>
            <w:vAlign w:val="center"/>
          </w:tcPr>
          <w:p>
            <w:pPr>
              <w:pStyle w:val="TableContents"/>
              <w:bidi w:val="0"/>
              <w:spacing w:before="0" w:after="283"/>
              <w:jc w:val="left"/>
              <w:rPr>
                <w:sz w:val="4"/>
                <w:szCs w:val="4"/>
              </w:rPr>
            </w:pPr>
            <w:r>
              <w:rPr>
                <w:sz w:val="4"/>
                <w:szCs w:val="4"/>
              </w:rPr>
            </w:r>
          </w:p>
        </w:tc>
      </w:tr>
      <w:tr>
        <w:trPr/>
        <w:tc>
          <w:tcPr>
            <w:tcW w:w="390" w:type="dxa"/>
            <w:tcBorders/>
            <w:vAlign w:val="center"/>
          </w:tcPr>
          <w:p>
            <w:pPr>
              <w:pStyle w:val="TableContents"/>
              <w:bidi w:val="0"/>
              <w:spacing w:before="0" w:after="283"/>
              <w:jc w:val="left"/>
              <w:rPr/>
            </w:pPr>
            <w:r>
              <w:rPr/>
              <w:t>By:</w:t>
            </w:r>
          </w:p>
        </w:tc>
        <w:tc>
          <w:tcPr>
            <w:tcW w:w="61" w:type="dxa"/>
            <w:tcBorders>
              <w:bottom w:val="single" w:sz="6" w:space="0" w:color="000000"/>
            </w:tcBorders>
            <w:tcMar>
              <w:bottom w:w="28" w:type="dxa"/>
            </w:tcMar>
            <w:vAlign w:val="center"/>
          </w:tcPr>
          <w:p>
            <w:pPr>
              <w:pStyle w:val="TableContents"/>
              <w:bidi w:val="0"/>
              <w:spacing w:before="0" w:after="283"/>
              <w:jc w:val="left"/>
              <w:rPr/>
            </w:pPr>
            <w:r>
              <w:rPr/>
              <w:t> </w:t>
            </w:r>
          </w:p>
        </w:tc>
        <w:tc>
          <w:tcPr>
            <w:tcW w:w="3423" w:type="dxa"/>
            <w:tcBorders>
              <w:bottom w:val="single" w:sz="6" w:space="0" w:color="000000"/>
            </w:tcBorders>
            <w:tcMar>
              <w:bottom w:w="28" w:type="dxa"/>
            </w:tcMar>
            <w:vAlign w:val="center"/>
          </w:tcPr>
          <w:p>
            <w:pPr>
              <w:pStyle w:val="TableContents"/>
              <w:bidi w:val="0"/>
              <w:spacing w:before="0" w:after="283"/>
              <w:jc w:val="left"/>
              <w:rPr/>
            </w:pPr>
            <w:r>
              <w:rPr/>
              <w:t>/s/ Madan Jagasia</w:t>
            </w:r>
          </w:p>
        </w:tc>
      </w:tr>
      <w:tr>
        <w:trPr/>
        <w:tc>
          <w:tcPr>
            <w:tcW w:w="39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pPr>
            <w:r>
              <w:rPr/>
              <w:t> </w:t>
            </w:r>
          </w:p>
        </w:tc>
        <w:tc>
          <w:tcPr>
            <w:tcW w:w="3423" w:type="dxa"/>
            <w:tcBorders/>
            <w:vAlign w:val="center"/>
          </w:tcPr>
          <w:p>
            <w:pPr>
              <w:pStyle w:val="TableContents"/>
              <w:bidi w:val="0"/>
              <w:spacing w:before="0" w:after="283"/>
              <w:jc w:val="left"/>
              <w:rPr/>
            </w:pPr>
            <w:r>
              <w:rPr/>
              <w:t>Name: Madan Jagasia, M.D., M.S.</w:t>
            </w:r>
          </w:p>
        </w:tc>
      </w:tr>
      <w:tr>
        <w:trPr/>
        <w:tc>
          <w:tcPr>
            <w:tcW w:w="39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pPr>
            <w:r>
              <w:rPr/>
              <w:t> </w:t>
            </w:r>
          </w:p>
        </w:tc>
        <w:tc>
          <w:tcPr>
            <w:tcW w:w="3423" w:type="dxa"/>
            <w:tcBorders/>
            <w:vAlign w:val="center"/>
          </w:tcPr>
          <w:p>
            <w:pPr>
              <w:pStyle w:val="TableContents"/>
              <w:bidi w:val="0"/>
              <w:spacing w:before="0" w:after="283"/>
              <w:jc w:val="left"/>
              <w:rPr/>
            </w:pPr>
            <w:r>
              <w:rPr/>
              <w:t>Title:  Chief Executive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AND SIGNATURES </w:t>
      </w:r>
    </w:p>
    <w:p>
      <w:pPr>
        <w:pStyle w:val="TextBody"/>
        <w:bidi w:val="0"/>
        <w:spacing w:before="240" w:after="0"/>
        <w:jc w:val="left"/>
        <w:rPr>
          <w:rFonts w:ascii="Times New Roman" w:hAnsi="Times New Roman"/>
          <w:sz w:val="20"/>
        </w:rPr>
      </w:pPr>
      <w:r>
        <w:rPr>
          <w:rFonts w:ascii="Times New Roman" w:hAnsi="Times New Roman"/>
          <w:sz w:val="20"/>
        </w:rPr>
        <w:t xml:space="preserve">Each individual whose signature appears below hereby constitutes and appoints Madan Jagasia, M.D., M.S. and Julie Feder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(or any Registration Statement for the same offering that is to be effective upon filing pursuant to Rule 462(b) under the Securities Act of 1933),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and Power of Attorney has been signed by the following persons in the capacities and on the date indicated. </w:t>
      </w:r>
    </w:p>
    <w:p>
      <w:pPr>
        <w:pStyle w:val="TextBody"/>
        <w:bidi w:val="0"/>
        <w:spacing w:before="0" w:after="0"/>
        <w:jc w:val="left"/>
        <w:rPr/>
      </w:pPr>
      <w:r>
        <w:rPr/>
        <w:t> </w:t>
      </w:r>
    </w:p>
    <w:tbl>
      <w:tblPr>
        <w:tblW w:w="7815" w:type="dxa"/>
        <w:jc w:val="left"/>
        <w:tblInd w:w="0" w:type="dxa"/>
        <w:tblLayout w:type="fixed"/>
        <w:tblCellMar>
          <w:top w:w="0" w:type="dxa"/>
          <w:left w:w="0" w:type="dxa"/>
          <w:bottom w:w="0" w:type="dxa"/>
          <w:right w:w="0" w:type="dxa"/>
        </w:tblCellMar>
      </w:tblPr>
      <w:tblGrid>
        <w:gridCol w:w="1820"/>
        <w:gridCol w:w="60"/>
        <w:gridCol w:w="4250"/>
        <w:gridCol w:w="60"/>
        <w:gridCol w:w="1625"/>
      </w:tblGrid>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r>
      <w:tr>
        <w:trPr/>
        <w:tc>
          <w:tcPr>
            <w:tcW w:w="18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w:t>
            </w:r>
          </w:p>
        </w:tc>
        <w:tc>
          <w:tcPr>
            <w:tcW w:w="60" w:type="dxa"/>
            <w:tcBorders/>
            <w:vAlign w:val="center"/>
          </w:tcPr>
          <w:p>
            <w:pPr>
              <w:pStyle w:val="TableContents"/>
              <w:bidi w:val="0"/>
              <w:spacing w:before="0" w:after="283"/>
              <w:jc w:val="left"/>
              <w:rPr/>
            </w:pPr>
            <w:r>
              <w:rPr/>
              <w:t> </w:t>
            </w:r>
          </w:p>
        </w:tc>
        <w:tc>
          <w:tcPr>
            <w:tcW w:w="42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60" w:type="dxa"/>
            <w:tcBorders/>
            <w:vAlign w:val="center"/>
          </w:tcPr>
          <w:p>
            <w:pPr>
              <w:pStyle w:val="TableContents"/>
              <w:bidi w:val="0"/>
              <w:spacing w:before="0" w:after="283"/>
              <w:jc w:val="left"/>
              <w:rPr/>
            </w:pPr>
            <w:r>
              <w:rPr/>
              <w:t> </w:t>
            </w:r>
          </w:p>
        </w:tc>
        <w:tc>
          <w:tcPr>
            <w:tcW w:w="16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4310" w:type="dxa"/>
            <w:gridSpan w:val="2"/>
            <w:tcBorders/>
            <w:vAlign w:val="center"/>
          </w:tcPr>
          <w:p>
            <w:pPr>
              <w:pStyle w:val="TableContents"/>
              <w:bidi w:val="0"/>
              <w:spacing w:before="0" w:after="283"/>
              <w:jc w:val="left"/>
              <w:rPr>
                <w:sz w:val="4"/>
                <w:szCs w:val="4"/>
              </w:rPr>
            </w:pPr>
            <w:r>
              <w:rPr>
                <w:sz w:val="4"/>
                <w:szCs w:val="4"/>
              </w:rPr>
            </w:r>
          </w:p>
        </w:tc>
        <w:tc>
          <w:tcPr>
            <w:tcW w:w="1685" w:type="dxa"/>
            <w:gridSpan w:val="2"/>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Madan Jagasia</w:t>
            </w:r>
          </w:p>
          <w:p>
            <w:pPr>
              <w:pStyle w:val="TableContents"/>
              <w:bidi w:val="0"/>
              <w:spacing w:before="0" w:after="20"/>
              <w:jc w:val="left"/>
              <w:rPr>
                <w:rFonts w:ascii="Times New Roman" w:hAnsi="Times New Roman"/>
                <w:sz w:val="20"/>
              </w:rPr>
            </w:pPr>
            <w:r>
              <w:rPr>
                <w:rFonts w:ascii="Times New Roman" w:hAnsi="Times New Roman"/>
                <w:sz w:val="20"/>
              </w:rPr>
              <w:t>Madan Jagasia</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center"/>
              <w:rPr/>
            </w:pPr>
            <w:r>
              <w:rPr/>
              <w:t>Chief Executive Officer and Director</w:t>
              <w:br/>
              <w:t>(Principal Executive Officer)</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pPr>
            <w:r>
              <w:rPr/>
              <w:t>August 28, 2026</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4310" w:type="dxa"/>
            <w:gridSpan w:val="2"/>
            <w:tcBorders/>
            <w:vAlign w:val="center"/>
          </w:tcPr>
          <w:p>
            <w:pPr>
              <w:pStyle w:val="TableContents"/>
              <w:bidi w:val="0"/>
              <w:spacing w:before="0" w:after="283"/>
              <w:jc w:val="left"/>
              <w:rPr>
                <w:sz w:val="4"/>
                <w:szCs w:val="4"/>
              </w:rPr>
            </w:pPr>
            <w:r>
              <w:rPr>
                <w:sz w:val="4"/>
                <w:szCs w:val="4"/>
              </w:rPr>
            </w:r>
          </w:p>
        </w:tc>
        <w:tc>
          <w:tcPr>
            <w:tcW w:w="1685" w:type="dxa"/>
            <w:gridSpan w:val="2"/>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Julie Feder</w:t>
            </w:r>
          </w:p>
          <w:p>
            <w:pPr>
              <w:pStyle w:val="TableContents"/>
              <w:bidi w:val="0"/>
              <w:spacing w:before="0" w:after="20"/>
              <w:jc w:val="left"/>
              <w:rPr>
                <w:rFonts w:ascii="Times New Roman" w:hAnsi="Times New Roman"/>
                <w:sz w:val="20"/>
              </w:rPr>
            </w:pPr>
            <w:r>
              <w:rPr>
                <w:rFonts w:ascii="Times New Roman" w:hAnsi="Times New Roman"/>
                <w:sz w:val="20"/>
              </w:rPr>
              <w:t>Julie Feder</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center"/>
              <w:rPr/>
            </w:pPr>
            <w:r>
              <w:rPr/>
              <w:t>Chief Financial Officer</w:t>
              <w:br/>
              <w:t>(Principal Financial and Accounting Officer)</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pPr>
            <w:r>
              <w:rPr/>
              <w:t>August 28, 2026</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4310" w:type="dxa"/>
            <w:gridSpan w:val="2"/>
            <w:tcBorders/>
            <w:vAlign w:val="center"/>
          </w:tcPr>
          <w:p>
            <w:pPr>
              <w:pStyle w:val="TableContents"/>
              <w:bidi w:val="0"/>
              <w:spacing w:before="0" w:after="283"/>
              <w:jc w:val="left"/>
              <w:rPr>
                <w:sz w:val="4"/>
                <w:szCs w:val="4"/>
              </w:rPr>
            </w:pPr>
            <w:r>
              <w:rPr>
                <w:sz w:val="4"/>
                <w:szCs w:val="4"/>
              </w:rPr>
            </w:r>
          </w:p>
        </w:tc>
        <w:tc>
          <w:tcPr>
            <w:tcW w:w="1685" w:type="dxa"/>
            <w:gridSpan w:val="2"/>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Maria Fardis</w:t>
            </w:r>
          </w:p>
          <w:p>
            <w:pPr>
              <w:pStyle w:val="TableContents"/>
              <w:bidi w:val="0"/>
              <w:spacing w:before="0" w:after="20"/>
              <w:jc w:val="left"/>
              <w:rPr>
                <w:rFonts w:ascii="Times New Roman" w:hAnsi="Times New Roman"/>
                <w:sz w:val="20"/>
              </w:rPr>
            </w:pPr>
            <w:r>
              <w:rPr>
                <w:rFonts w:ascii="Times New Roman" w:hAnsi="Times New Roman"/>
                <w:sz w:val="20"/>
              </w:rPr>
              <w:t>Maria Fardis</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center"/>
              <w:rPr/>
            </w:pPr>
            <w:r>
              <w:rPr/>
              <w:t>Director, Chairperson</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pPr>
            <w:r>
              <w:rPr/>
              <w:t>August 28, 2026</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4310" w:type="dxa"/>
            <w:gridSpan w:val="2"/>
            <w:tcBorders/>
            <w:vAlign w:val="center"/>
          </w:tcPr>
          <w:p>
            <w:pPr>
              <w:pStyle w:val="TableContents"/>
              <w:bidi w:val="0"/>
              <w:spacing w:before="0" w:after="283"/>
              <w:jc w:val="left"/>
              <w:rPr>
                <w:sz w:val="4"/>
                <w:szCs w:val="4"/>
              </w:rPr>
            </w:pPr>
            <w:r>
              <w:rPr>
                <w:sz w:val="4"/>
                <w:szCs w:val="4"/>
              </w:rPr>
            </w:r>
          </w:p>
        </w:tc>
        <w:tc>
          <w:tcPr>
            <w:tcW w:w="1685" w:type="dxa"/>
            <w:gridSpan w:val="2"/>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Peter Barrett</w:t>
            </w:r>
          </w:p>
          <w:p>
            <w:pPr>
              <w:pStyle w:val="TableContents"/>
              <w:bidi w:val="0"/>
              <w:spacing w:before="0" w:after="20"/>
              <w:jc w:val="left"/>
              <w:rPr>
                <w:rFonts w:ascii="Times New Roman" w:hAnsi="Times New Roman"/>
                <w:sz w:val="20"/>
              </w:rPr>
            </w:pPr>
            <w:r>
              <w:rPr>
                <w:rFonts w:ascii="Times New Roman" w:hAnsi="Times New Roman"/>
                <w:sz w:val="20"/>
              </w:rPr>
              <w:t>Peter Barrett</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center"/>
              <w:rPr/>
            </w:pPr>
            <w:r>
              <w:rPr/>
              <w:t>Director</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pPr>
            <w:r>
              <w:rPr/>
              <w:t>August 28, 2026</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4310" w:type="dxa"/>
            <w:gridSpan w:val="2"/>
            <w:tcBorders/>
            <w:vAlign w:val="center"/>
          </w:tcPr>
          <w:p>
            <w:pPr>
              <w:pStyle w:val="TableContents"/>
              <w:bidi w:val="0"/>
              <w:spacing w:before="0" w:after="283"/>
              <w:jc w:val="left"/>
              <w:rPr>
                <w:sz w:val="4"/>
                <w:szCs w:val="4"/>
              </w:rPr>
            </w:pPr>
            <w:r>
              <w:rPr>
                <w:sz w:val="4"/>
                <w:szCs w:val="4"/>
              </w:rPr>
            </w:r>
          </w:p>
        </w:tc>
        <w:tc>
          <w:tcPr>
            <w:tcW w:w="1685" w:type="dxa"/>
            <w:gridSpan w:val="2"/>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Heidi Hagen</w:t>
            </w:r>
          </w:p>
          <w:p>
            <w:pPr>
              <w:pStyle w:val="TableContents"/>
              <w:bidi w:val="0"/>
              <w:spacing w:before="0" w:after="20"/>
              <w:jc w:val="left"/>
              <w:rPr>
                <w:rFonts w:ascii="Times New Roman" w:hAnsi="Times New Roman"/>
                <w:sz w:val="20"/>
              </w:rPr>
            </w:pPr>
            <w:r>
              <w:rPr>
                <w:rFonts w:ascii="Times New Roman" w:hAnsi="Times New Roman"/>
                <w:sz w:val="20"/>
              </w:rPr>
              <w:t>Heidi Hagen</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center"/>
              <w:rPr/>
            </w:pPr>
            <w:r>
              <w:rPr/>
              <w:t>Director</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pPr>
            <w:r>
              <w:rPr/>
              <w:t>August 28, 2026</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4310" w:type="dxa"/>
            <w:gridSpan w:val="2"/>
            <w:tcBorders/>
            <w:vAlign w:val="center"/>
          </w:tcPr>
          <w:p>
            <w:pPr>
              <w:pStyle w:val="TableContents"/>
              <w:bidi w:val="0"/>
              <w:spacing w:before="0" w:after="283"/>
              <w:jc w:val="left"/>
              <w:rPr>
                <w:sz w:val="4"/>
                <w:szCs w:val="4"/>
              </w:rPr>
            </w:pPr>
            <w:r>
              <w:rPr>
                <w:sz w:val="4"/>
                <w:szCs w:val="4"/>
              </w:rPr>
            </w:r>
          </w:p>
        </w:tc>
        <w:tc>
          <w:tcPr>
            <w:tcW w:w="1685" w:type="dxa"/>
            <w:gridSpan w:val="2"/>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Matthew Norkunas</w:t>
            </w:r>
          </w:p>
          <w:p>
            <w:pPr>
              <w:pStyle w:val="TableContents"/>
              <w:bidi w:val="0"/>
              <w:spacing w:before="0" w:after="20"/>
              <w:jc w:val="left"/>
              <w:rPr>
                <w:rFonts w:ascii="Times New Roman" w:hAnsi="Times New Roman"/>
                <w:sz w:val="20"/>
              </w:rPr>
            </w:pPr>
            <w:r>
              <w:rPr>
                <w:rFonts w:ascii="Times New Roman" w:hAnsi="Times New Roman"/>
                <w:sz w:val="20"/>
              </w:rPr>
              <w:t>Matthew Norkunas</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center"/>
              <w:rPr/>
            </w:pPr>
            <w:r>
              <w:rPr/>
              <w:t>Director</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pPr>
            <w:r>
              <w:rPr/>
              <w:t>August 28, 2026</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4310" w:type="dxa"/>
            <w:gridSpan w:val="2"/>
            <w:tcBorders/>
            <w:vAlign w:val="center"/>
          </w:tcPr>
          <w:p>
            <w:pPr>
              <w:pStyle w:val="TableContents"/>
              <w:bidi w:val="0"/>
              <w:spacing w:before="0" w:after="283"/>
              <w:jc w:val="left"/>
              <w:rPr>
                <w:sz w:val="4"/>
                <w:szCs w:val="4"/>
              </w:rPr>
            </w:pPr>
            <w:r>
              <w:rPr>
                <w:sz w:val="4"/>
                <w:szCs w:val="4"/>
              </w:rPr>
            </w:r>
          </w:p>
        </w:tc>
        <w:tc>
          <w:tcPr>
            <w:tcW w:w="1685" w:type="dxa"/>
            <w:gridSpan w:val="2"/>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Rob Ross</w:t>
            </w:r>
          </w:p>
          <w:p>
            <w:pPr>
              <w:pStyle w:val="TableContents"/>
              <w:bidi w:val="0"/>
              <w:spacing w:before="0" w:after="20"/>
              <w:jc w:val="left"/>
              <w:rPr>
                <w:rFonts w:ascii="Times New Roman" w:hAnsi="Times New Roman"/>
                <w:sz w:val="20"/>
              </w:rPr>
            </w:pPr>
            <w:r>
              <w:rPr>
                <w:rFonts w:ascii="Times New Roman" w:hAnsi="Times New Roman"/>
                <w:sz w:val="20"/>
              </w:rPr>
              <w:t>Rob Ross</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center"/>
              <w:rPr/>
            </w:pPr>
            <w:r>
              <w:rPr/>
              <w:t>Director</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pPr>
            <w:r>
              <w:rPr/>
              <w:t>August 28,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 </w:t>
      </w:r>
    </w:p>
    <w:p>
      <w:pPr>
        <w:pStyle w:val="TextBody"/>
        <w:bidi w:val="0"/>
        <w:spacing w:before="0" w:after="0"/>
        <w:jc w:val="right"/>
        <w:rPr>
          <w:rFonts w:ascii="Times New Roman" w:hAnsi="Times New Roman"/>
          <w:b/>
          <w:sz w:val="20"/>
        </w:rPr>
      </w:pPr>
      <w:bookmarkStart w:id="28" w:name="d127696dex51.htm"/>
      <w:bookmarkStart w:id="29" w:name="ksd127696dex51"/>
      <w:bookmarkEnd w:id="28"/>
      <w:bookmarkEnd w:id="29"/>
      <w:r>
        <w:rPr>
          <w:rFonts w:ascii="Times New Roman" w:hAnsi="Times New Roman"/>
          <w:b/>
          <w:sz w:val="20"/>
        </w:rPr>
        <w:t xml:space="preserve">Exhibit 5.1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August 28, 2026 </w:t>
      </w:r>
    </w:p>
    <w:p>
      <w:pPr>
        <w:pStyle w:val="TextBody"/>
        <w:bidi w:val="0"/>
        <w:spacing w:before="240" w:after="0"/>
        <w:jc w:val="left"/>
        <w:rPr>
          <w:rFonts w:ascii="Times New Roman" w:hAnsi="Times New Roman"/>
          <w:sz w:val="20"/>
        </w:rPr>
      </w:pPr>
      <w:r>
        <w:rPr>
          <w:rFonts w:ascii="Times New Roman" w:hAnsi="Times New Roman"/>
          <w:sz w:val="20"/>
        </w:rPr>
        <w:t xml:space="preserve">Obsidian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1030 Massachusetts Avenue </w:t>
      </w:r>
    </w:p>
    <w:p>
      <w:pPr>
        <w:pStyle w:val="TextBody"/>
        <w:bidi w:val="0"/>
        <w:spacing w:before="0" w:after="0"/>
        <w:jc w:val="left"/>
        <w:rPr>
          <w:rFonts w:ascii="Times New Roman" w:hAnsi="Times New Roman"/>
          <w:sz w:val="20"/>
        </w:rPr>
      </w:pPr>
      <w:r>
        <w:rPr>
          <w:rFonts w:ascii="Times New Roman" w:hAnsi="Times New Roman"/>
          <w:sz w:val="20"/>
        </w:rPr>
        <w:t xml:space="preserve">Cambridge, MA 02138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Re: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Securities Registered under Registration Statement on Form S-1</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acted as counsel to you in connection with your filing of a Registration Statement on Form S-1 (as amended or supplemented, the “Registration Statement”) pursuant to the Securities Act of 1933, as amended (the “Securities Act”), relating to the registration of the offering by Obsidian Therapeutics, Inc., a Delaware corporation (the “Company”), of up to 29,164,045 shares (the “Shares”) of the Company’s Common Stock, $0.0001 par value per share, to be sold by the selling stockholders listed in the Registration Statement under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opinion set forth below is limited to the Delaware General Corporation Law. </w:t>
      </w:r>
    </w:p>
    <w:p>
      <w:pPr>
        <w:pStyle w:val="TextBody"/>
        <w:bidi w:val="0"/>
        <w:spacing w:before="240" w:after="0"/>
        <w:jc w:val="left"/>
        <w:rPr>
          <w:rFonts w:ascii="Times New Roman" w:hAnsi="Times New Roman"/>
          <w:sz w:val="20"/>
        </w:rPr>
      </w:pPr>
      <w:r>
        <w:rPr>
          <w:rFonts w:ascii="Times New Roman" w:hAnsi="Times New Roman"/>
          <w:sz w:val="20"/>
        </w:rPr>
        <w:t>Based on the foregoing, we are of the opinion that the Shares have been duly authorized and validly issued and are fully paid and non-assessable.</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and the opinion it contains shall be interpreted in accordance with the Core Opinion Principles as published in 74 </w:t>
      </w:r>
      <w:r>
        <w:rPr>
          <w:rFonts w:ascii="Times New Roman" w:hAnsi="Times New Roman"/>
          <w:i/>
          <w:sz w:val="20"/>
        </w:rPr>
        <w:t>Business Lawyer</w:t>
      </w:r>
      <w:r>
        <w:rPr>
          <w:rFonts w:ascii="Times New Roman" w:hAnsi="Times New Roman"/>
          <w:sz w:val="20"/>
        </w:rPr>
        <w:t xml:space="preserve"> 815 (Summer 2019).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Goodwin Procter LLP</w:t>
            </w:r>
          </w:p>
        </w:tc>
      </w:tr>
      <w:tr>
        <w:trPr/>
        <w:tc>
          <w:tcPr>
            <w:tcW w:w="4082" w:type="dxa"/>
            <w:tcBorders/>
          </w:tcPr>
          <w:p>
            <w:pPr>
              <w:pStyle w:val="TableContents"/>
              <w:bidi w:val="0"/>
              <w:spacing w:before="0" w:after="283"/>
              <w:jc w:val="left"/>
              <w:rPr/>
            </w:pPr>
            <w:r>
              <w:rPr/>
              <w:t>GOODWIN PROCTER LLP</w:t>
            </w:r>
          </w:p>
        </w:tc>
      </w:tr>
    </w:tbl>
    <w:p>
      <w:pPr>
        <w:pStyle w:val="TextBody"/>
        <w:bidi w:val="0"/>
        <w:spacing w:before="0" w:after="0"/>
        <w:jc w:val="right"/>
        <w:rPr>
          <w:rFonts w:ascii="Times New Roman" w:hAnsi="Times New Roman"/>
          <w:b/>
          <w:sz w:val="20"/>
        </w:rPr>
      </w:pPr>
      <w:bookmarkStart w:id="30" w:name="d127696dex211.htm"/>
      <w:bookmarkStart w:id="31" w:name="ksd127696dex211"/>
      <w:bookmarkEnd w:id="30"/>
      <w:bookmarkEnd w:id="31"/>
      <w:r>
        <w:rPr>
          <w:rFonts w:ascii="Times New Roman" w:hAnsi="Times New Roman"/>
          <w:b/>
          <w:sz w:val="20"/>
        </w:rPr>
        <w:t xml:space="preserve">Exhibit 21.1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Subsidiaries of Obsidian Therapeutics, Inc.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972"/>
        <w:gridCol w:w="171"/>
        <w:gridCol w:w="3429"/>
      </w:tblGrid>
      <w:tr>
        <w:trPr/>
        <w:tc>
          <w:tcPr>
            <w:tcW w:w="4972"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3429" w:type="dxa"/>
            <w:tcBorders/>
            <w:vAlign w:val="center"/>
          </w:tcPr>
          <w:p>
            <w:pPr>
              <w:pStyle w:val="TableContents"/>
              <w:bidi w:val="0"/>
              <w:spacing w:before="0" w:after="283"/>
              <w:jc w:val="left"/>
              <w:rPr>
                <w:sz w:val="4"/>
                <w:szCs w:val="4"/>
              </w:rPr>
            </w:pPr>
            <w:r>
              <w:rPr>
                <w:sz w:val="4"/>
                <w:szCs w:val="4"/>
              </w:rPr>
            </w:r>
          </w:p>
        </w:tc>
      </w:tr>
      <w:tr>
        <w:trPr/>
        <w:tc>
          <w:tcPr>
            <w:tcW w:w="497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Legal Name of Subsidiary</w:t>
            </w:r>
          </w:p>
        </w:tc>
        <w:tc>
          <w:tcPr>
            <w:tcW w:w="171" w:type="dxa"/>
            <w:tcBorders/>
            <w:vAlign w:val="bottom"/>
          </w:tcPr>
          <w:p>
            <w:pPr>
              <w:pStyle w:val="TableContents"/>
              <w:bidi w:val="0"/>
              <w:spacing w:before="0" w:after="283"/>
              <w:jc w:val="left"/>
              <w:rPr/>
            </w:pPr>
            <w:r>
              <w:rPr/>
              <w:t>  </w:t>
            </w:r>
          </w:p>
        </w:tc>
        <w:tc>
          <w:tcPr>
            <w:tcW w:w="342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Jurisdiction of Organization</w:t>
            </w:r>
          </w:p>
        </w:tc>
      </w:tr>
      <w:tr>
        <w:trPr/>
        <w:tc>
          <w:tcPr>
            <w:tcW w:w="497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Galera Therapeutics, Inc.</w:t>
            </w:r>
          </w:p>
        </w:tc>
        <w:tc>
          <w:tcPr>
            <w:tcW w:w="171" w:type="dxa"/>
            <w:tcBorders/>
            <w:shd w:fill="CCEEFF" w:val="clear"/>
            <w:vAlign w:val="bottom"/>
          </w:tcPr>
          <w:p>
            <w:pPr>
              <w:pStyle w:val="TableContents"/>
              <w:bidi w:val="0"/>
              <w:spacing w:before="0" w:after="283"/>
              <w:jc w:val="left"/>
              <w:rPr/>
            </w:pPr>
            <w:r>
              <w:rPr/>
              <w:t>  </w:t>
            </w:r>
          </w:p>
        </w:tc>
        <w:tc>
          <w:tcPr>
            <w:tcW w:w="342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Delaware, United States</w:t>
            </w:r>
          </w:p>
        </w:tc>
      </w:tr>
      <w:tr>
        <w:trPr/>
        <w:tc>
          <w:tcPr>
            <w:tcW w:w="497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Obsidian Therapeutics Sub, Inc.</w:t>
            </w:r>
          </w:p>
        </w:tc>
        <w:tc>
          <w:tcPr>
            <w:tcW w:w="171" w:type="dxa"/>
            <w:tcBorders/>
            <w:vAlign w:val="bottom"/>
          </w:tcPr>
          <w:p>
            <w:pPr>
              <w:pStyle w:val="TableContents"/>
              <w:bidi w:val="0"/>
              <w:spacing w:before="0" w:after="283"/>
              <w:jc w:val="left"/>
              <w:rPr/>
            </w:pPr>
            <w:r>
              <w:rPr/>
              <w:t>  </w:t>
            </w:r>
          </w:p>
        </w:tc>
        <w:tc>
          <w:tcPr>
            <w:tcW w:w="34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Delaware, United States</w:t>
            </w:r>
          </w:p>
        </w:tc>
      </w:tr>
      <w:tr>
        <w:trPr/>
        <w:tc>
          <w:tcPr>
            <w:tcW w:w="497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Obsidian Therapeutics Securities Corporation</w:t>
            </w:r>
          </w:p>
        </w:tc>
        <w:tc>
          <w:tcPr>
            <w:tcW w:w="171" w:type="dxa"/>
            <w:tcBorders/>
            <w:shd w:fill="CCEEFF" w:val="clear"/>
            <w:vAlign w:val="bottom"/>
          </w:tcPr>
          <w:p>
            <w:pPr>
              <w:pStyle w:val="TableContents"/>
              <w:bidi w:val="0"/>
              <w:spacing w:before="0" w:after="283"/>
              <w:jc w:val="left"/>
              <w:rPr/>
            </w:pPr>
            <w:r>
              <w:rPr/>
              <w:t>  </w:t>
            </w:r>
          </w:p>
        </w:tc>
        <w:tc>
          <w:tcPr>
            <w:tcW w:w="342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Massachusetts, United States</w:t>
            </w:r>
          </w:p>
        </w:tc>
      </w:tr>
      <w:tr>
        <w:trPr/>
        <w:tc>
          <w:tcPr>
            <w:tcW w:w="497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Galera Labs, LLC</w:t>
            </w:r>
          </w:p>
        </w:tc>
        <w:tc>
          <w:tcPr>
            <w:tcW w:w="171" w:type="dxa"/>
            <w:tcBorders/>
            <w:vAlign w:val="bottom"/>
          </w:tcPr>
          <w:p>
            <w:pPr>
              <w:pStyle w:val="TableContents"/>
              <w:bidi w:val="0"/>
              <w:spacing w:before="0" w:after="283"/>
              <w:jc w:val="left"/>
              <w:rPr/>
            </w:pPr>
            <w:r>
              <w:rPr/>
              <w:t>  </w:t>
            </w:r>
          </w:p>
        </w:tc>
        <w:tc>
          <w:tcPr>
            <w:tcW w:w="34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Missouri, United States</w:t>
            </w:r>
          </w:p>
        </w:tc>
      </w:tr>
      <w:tr>
        <w:trPr/>
        <w:tc>
          <w:tcPr>
            <w:tcW w:w="497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Nova Pharmaceuticals Operating, LLC</w:t>
            </w:r>
          </w:p>
        </w:tc>
        <w:tc>
          <w:tcPr>
            <w:tcW w:w="171" w:type="dxa"/>
            <w:tcBorders/>
            <w:shd w:fill="CCEEFF" w:val="clear"/>
            <w:vAlign w:val="bottom"/>
          </w:tcPr>
          <w:p>
            <w:pPr>
              <w:pStyle w:val="TableContents"/>
              <w:bidi w:val="0"/>
              <w:spacing w:before="0" w:after="283"/>
              <w:jc w:val="left"/>
              <w:rPr/>
            </w:pPr>
            <w:r>
              <w:rPr/>
              <w:t>  </w:t>
            </w:r>
          </w:p>
        </w:tc>
        <w:tc>
          <w:tcPr>
            <w:tcW w:w="342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Delaware, United States</w:t>
            </w:r>
          </w:p>
        </w:tc>
      </w:tr>
    </w:tbl>
    <w:p>
      <w:pPr>
        <w:pStyle w:val="TextBody"/>
        <w:bidi w:val="0"/>
        <w:spacing w:before="0" w:after="0"/>
        <w:jc w:val="right"/>
        <w:rPr>
          <w:rFonts w:ascii="Times New Roman" w:hAnsi="Times New Roman"/>
          <w:b/>
          <w:sz w:val="20"/>
        </w:rPr>
      </w:pPr>
      <w:bookmarkStart w:id="32" w:name="d127696dex231.htm"/>
      <w:bookmarkStart w:id="33" w:name="ksd127696dex231"/>
      <w:bookmarkEnd w:id="32"/>
      <w:bookmarkEnd w:id="33"/>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of our report dated April 22, 2026, with respect to the consolidated financial statements of Obsidian Therapeutics, Inc. and subsidiary, included herein, and to the reference to our firm under the heading “Experts” in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/s/ KPMG LLP </w:t>
      </w:r>
    </w:p>
    <w:p>
      <w:pPr>
        <w:pStyle w:val="TextBody"/>
        <w:bidi w:val="0"/>
        <w:spacing w:before="240" w:after="0"/>
        <w:jc w:val="left"/>
        <w:rPr>
          <w:rFonts w:ascii="Times New Roman" w:hAnsi="Times New Roman"/>
          <w:sz w:val="20"/>
        </w:rPr>
      </w:pPr>
      <w:r>
        <w:rPr>
          <w:rFonts w:ascii="Times New Roman" w:hAnsi="Times New Roman"/>
          <w:sz w:val="20"/>
        </w:rPr>
        <w:t xml:space="preserve">Boston, Massachusetts </w:t>
      </w:r>
    </w:p>
    <w:p>
      <w:pPr>
        <w:pStyle w:val="TextBody"/>
        <w:bidi w:val="0"/>
        <w:spacing w:before="0" w:after="0"/>
        <w:jc w:val="left"/>
        <w:rPr>
          <w:rFonts w:ascii="Times New Roman" w:hAnsi="Times New Roman"/>
          <w:sz w:val="20"/>
        </w:rPr>
      </w:pPr>
      <w:r>
        <w:rPr>
          <w:rFonts w:ascii="Times New Roman" w:hAnsi="Times New Roman"/>
          <w:sz w:val="20"/>
        </w:rPr>
        <w:t xml:space="preserve">August 28, 2026 </w:t>
      </w:r>
    </w:p>
    <w:p>
      <w:pPr>
        <w:pStyle w:val="Normal"/>
        <w:bidi w:val="0"/>
        <w:spacing w:before="0" w:after="0"/>
        <w:jc w:val="left"/>
        <w:rPr>
          <w:sz w:val="4"/>
          <w:szCs w:val="4"/>
        </w:rPr>
      </w:pPr>
      <w:r>
        <w:rPr>
          <w:sz w:val="4"/>
          <w:szCs w:val="4"/>
        </w:rPr>
      </w:r>
      <w:bookmarkStart w:id="34" w:name="d127696dexfilingfees.htm"/>
      <w:bookmarkStart w:id="35" w:name="ksd127696dexfilingfees"/>
      <w:bookmarkStart w:id="36" w:name="d127696dexfilingfees.htm"/>
      <w:bookmarkStart w:id="37" w:name="ksd127696dexfilingfees"/>
      <w:bookmarkEnd w:id="36"/>
      <w:bookmarkEnd w:id="37"/>
      <w:r>
        <w:br w:type="page"/>
      </w:r>
    </w:p>
    <w:tbl>
      <w:tblPr>
        <w:tblW w:w="3578" w:type="dxa"/>
        <w:jc w:val="left"/>
        <w:tblInd w:w="0" w:type="dxa"/>
        <w:tblLayout w:type="fixed"/>
        <w:tblCellMar>
          <w:top w:w="28" w:type="dxa"/>
          <w:left w:w="28" w:type="dxa"/>
          <w:bottom w:w="28" w:type="dxa"/>
          <w:right w:w="28" w:type="dxa"/>
        </w:tblCellMar>
      </w:tblPr>
      <w:tblGrid>
        <w:gridCol w:w="3424"/>
        <w:gridCol w:w="154"/>
      </w:tblGrid>
      <w:tr>
        <w:trPr/>
        <w:tc>
          <w:tcPr>
            <w:tcW w:w="3578"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4" w:type="dxa"/>
            <w:tcBorders/>
            <w:vAlign w:val="center"/>
          </w:tcPr>
          <w:p>
            <w:pPr>
              <w:pStyle w:val="TableContents"/>
              <w:bidi w:val="0"/>
              <w:spacing w:before="0" w:after="283"/>
              <w:jc w:val="left"/>
              <w:rPr>
                <w:b/>
              </w:rPr>
            </w:pPr>
            <w:r>
              <w:rPr>
                <w:b/>
              </w:rPr>
              <w:t xml:space="preserve">S-1 </w:t>
            </w:r>
          </w:p>
        </w:tc>
        <w:tc>
          <w:tcPr>
            <w:tcW w:w="154" w:type="dxa"/>
            <w:tcBorders/>
          </w:tcPr>
          <w:p>
            <w:pPr>
              <w:pStyle w:val="TableContents"/>
              <w:bidi w:val="0"/>
              <w:spacing w:before="0" w:after="283"/>
              <w:jc w:val="left"/>
              <w:rPr>
                <w:sz w:val="4"/>
                <w:szCs w:val="4"/>
              </w:rPr>
            </w:pPr>
            <w:r>
              <w:rPr>
                <w:sz w:val="4"/>
                <w:szCs w:val="4"/>
              </w:rPr>
            </w:r>
          </w:p>
        </w:tc>
      </w:tr>
      <w:tr>
        <w:trPr/>
        <w:tc>
          <w:tcPr>
            <w:tcW w:w="3424" w:type="dxa"/>
            <w:tcBorders/>
            <w:vAlign w:val="center"/>
          </w:tcPr>
          <w:p>
            <w:pPr>
              <w:pStyle w:val="TableContents"/>
              <w:bidi w:val="0"/>
              <w:spacing w:before="0" w:after="283"/>
              <w:jc w:val="left"/>
              <w:rPr>
                <w:b/>
              </w:rPr>
            </w:pPr>
            <w:r>
              <w:rPr>
                <w:b/>
              </w:rPr>
              <w:t xml:space="preserve">Obsidian Therapeutics,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5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of $0.0001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29,164,045 </w:t>
            </w:r>
          </w:p>
        </w:tc>
        <w:tc>
          <w:tcPr>
            <w:tcW w:w="1156" w:type="dxa"/>
            <w:tcBorders/>
            <w:shd w:fill="E7E7E2" w:val="clear"/>
            <w:vAlign w:val="center"/>
          </w:tcPr>
          <w:p>
            <w:pPr>
              <w:pStyle w:val="TableContents"/>
              <w:bidi w:val="0"/>
              <w:spacing w:before="0" w:after="283"/>
              <w:jc w:val="right"/>
              <w:rPr/>
            </w:pPr>
            <w:r>
              <w:rPr/>
              <w:t xml:space="preserve">$ 17.7597 </w:t>
            </w:r>
          </w:p>
        </w:tc>
        <w:tc>
          <w:tcPr>
            <w:tcW w:w="1786" w:type="dxa"/>
            <w:tcBorders/>
            <w:shd w:fill="E7E7E2" w:val="clear"/>
            <w:vAlign w:val="center"/>
          </w:tcPr>
          <w:p>
            <w:pPr>
              <w:pStyle w:val="TableContents"/>
              <w:bidi w:val="0"/>
              <w:spacing w:before="0" w:after="283"/>
              <w:jc w:val="right"/>
              <w:rPr/>
            </w:pPr>
            <w:r>
              <w:rPr/>
              <w:t xml:space="preserve">$ 517,944,689.99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$ 71,528.17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8" w:name="MaxAggtOfferingPrice"/>
            <w:bookmarkEnd w:id="38"/>
            <w:r>
              <w:rPr/>
              <w:t xml:space="preserve">$ 517,944,689.99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9" w:name="TotalFeeAmt"/>
            <w:bookmarkEnd w:id="39"/>
            <w:r>
              <w:rPr/>
              <w:t xml:space="preserve">$ 71,528.17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0" w:name="TotalPreviouslyPaidAmt"/>
            <w:bookmarkEnd w:id="4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1" w:name="TotalOffsetAmt"/>
            <w:bookmarkEnd w:id="41"/>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2" w:name="NetFeeAmt"/>
            <w:bookmarkEnd w:id="42"/>
            <w:r>
              <w:rPr/>
              <w:t xml:space="preserve">$ 71,528.17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7"/>
        <w:gridCol w:w="8708"/>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(A) The amount of shares registered represents an aggregate of 29,164,045 shares of common stock, par value $0.0001 per share, of Obsidian Therapeutics, Inc. (the "Common Stock"), all of which were acquired by the selling stockholders named in the prospectus that forms a part of this registration statement (this "Registration Statement") in a private placement. Pursuant to Rule 416(a) promulgated under the Securities Act of 1933, as amended (the "Securities Act"), this Registration Statement shall also cover any additional shares of Common Stock that may be offered or become issuable as a result of stock splits, stock dividends, or other distribution, recapitalization or similar event or transaction effected without the receipt of consideration which results in an increase in the number of outstanding Common Stock. (B) Estimated solely for purposes of calculating the registration fee in accordance with Rule 457(c) under the Securities Act and based upon the average of the high and low sales prices of the Common Stock, as reported on the Nasdaq Capital Market on August 27, 2026, which date is within five business days prior to the filing of this Registration Statement.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hyperlink" Target="http://www.sec.gov/Archives/edgar/data/2130606/000119312526281076/d117787dex21.htm" TargetMode="External"/><Relationship Id="rId20" Type="http://schemas.openxmlformats.org/officeDocument/2006/relationships/hyperlink" Target="http://www.sec.gov/Archives/edgar/data/2130606/000119312526330810/d309963dex31.htm" TargetMode="External"/><Relationship Id="rId21" Type="http://schemas.openxmlformats.org/officeDocument/2006/relationships/hyperlink" Target="http://www.sec.gov/Archives/edgar/data/2130606/000119312526330810/d309963dex32.htm" TargetMode="External"/><Relationship Id="rId22" Type="http://schemas.openxmlformats.org/officeDocument/2006/relationships/hyperlink" Target="http://www.sec.gov/Archives/edgar/data/2130606/000119312526330810/d309963dex41.htm" TargetMode="External"/><Relationship Id="rId23" Type="http://schemas.openxmlformats.org/officeDocument/2006/relationships/hyperlink" Target="http://www.sec.gov/Archives/edgar/data/2130606/000119312526330810/d309963dex101.htm" TargetMode="External"/><Relationship Id="rId24" Type="http://schemas.openxmlformats.org/officeDocument/2006/relationships/hyperlink" Target="http://www.sec.gov/Archives/edgar/data/2130606/000119312526330810/d309963dex102.htm" TargetMode="External"/><Relationship Id="rId25" Type="http://schemas.openxmlformats.org/officeDocument/2006/relationships/hyperlink" Target="http://www.sec.gov/Archives/edgar/data/2130606/000119312526330810/d309963dex103.htm" TargetMode="External"/><Relationship Id="rId26" Type="http://schemas.openxmlformats.org/officeDocument/2006/relationships/hyperlink" Target="http://www.sec.gov/Archives/edgar/data/2130606/000119312526330810/d309963dex104.htm" TargetMode="External"/><Relationship Id="rId27" Type="http://schemas.openxmlformats.org/officeDocument/2006/relationships/hyperlink" Target="http://www.sec.gov/Archives/edgar/data/2130606/000119312526330810/d309963dex105.htm" TargetMode="External"/><Relationship Id="rId28" Type="http://schemas.openxmlformats.org/officeDocument/2006/relationships/hyperlink" Target="http://www.sec.gov/Archives/edgar/data/2130606/000119312526330810/d309963dex106.htm" TargetMode="External"/><Relationship Id="rId29" Type="http://schemas.openxmlformats.org/officeDocument/2006/relationships/hyperlink" Target="http://www.sec.gov/Archives/edgar/data/2130606/000119312526330810/d309963dex107.htm" TargetMode="External"/><Relationship Id="rId30" Type="http://schemas.openxmlformats.org/officeDocument/2006/relationships/hyperlink" Target="http://www.sec.gov/Archives/edgar/data/2130606/000119312526330810/d309963dex108.htm" TargetMode="External"/><Relationship Id="rId31" Type="http://schemas.openxmlformats.org/officeDocument/2006/relationships/hyperlink" Target="http://www.sec.gov/Archives/edgar/data/2130606/000119312526330810/d309963dex109.htm" TargetMode="External"/><Relationship Id="rId32" Type="http://schemas.openxmlformats.org/officeDocument/2006/relationships/hyperlink" Target="http://www.sec.gov/Archives/edgar/data/2130606/000119312526330810/d309963dex1010.htm" TargetMode="External"/><Relationship Id="rId33" Type="http://schemas.openxmlformats.org/officeDocument/2006/relationships/hyperlink" Target="http://www.sec.gov/Archives/edgar/data/2130606/000119312526330810/d309963dex1011.htm" TargetMode="External"/><Relationship Id="rId34" Type="http://schemas.openxmlformats.org/officeDocument/2006/relationships/hyperlink" Target="http://www.sec.gov/Archives/edgar/data/2130606/000119312526330810/d309963dex1012.htm" TargetMode="External"/><Relationship Id="rId35" Type="http://schemas.openxmlformats.org/officeDocument/2006/relationships/hyperlink" Target="http://www.sec.gov/Archives/edgar/data/2130606/000119312526330810/d309963dex1013.htm" TargetMode="External"/><Relationship Id="rId36" Type="http://schemas.openxmlformats.org/officeDocument/2006/relationships/hyperlink" Target="http://www.sec.gov/Archives/edgar/data/2130606/000119312526330810/d309963dex1014.htm" TargetMode="External"/><Relationship Id="rId37" Type="http://schemas.openxmlformats.org/officeDocument/2006/relationships/hyperlink" Target="http://www.sec.gov/Archives/edgar/data/2130606/000119312526330810/d309963dex1015.htm" TargetMode="External"/><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199</Pages>
  <Words>130212</Words>
  <Characters>728239</Characters>
  <CharactersWithSpaces>867624</CharactersWithSpaces>
  <Paragraphs>17826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