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05773ds8.htm"/>
      <w:bookmarkStart w:id="1" w:name="ksd105773ds8"/>
      <w:bookmarkEnd w:id="0"/>
      <w:bookmarkEnd w:id="1"/>
      <w:r>
        <w:rPr>
          <w:rFonts w:ascii="Times New Roman" w:hAnsi="Times New Roman"/>
          <w:b/>
          <w:sz w:val="20"/>
        </w:rPr>
        <w:t xml:space="preserve">As filed with the Securities and Exchange Commission on August 3,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S-8</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OBSIDIAN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42-1977778</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101 Lindenwood Drive, Suite 225</w:t>
            </w:r>
          </w:p>
          <w:p>
            <w:pPr>
              <w:pStyle w:val="TableContents"/>
              <w:bidi w:val="0"/>
              <w:spacing w:before="0" w:after="20"/>
              <w:jc w:val="center"/>
              <w:rPr>
                <w:rFonts w:ascii="Times New Roman" w:hAnsi="Times New Roman"/>
                <w:b/>
                <w:sz w:val="20"/>
              </w:rPr>
            </w:pPr>
            <w:r>
              <w:rPr>
                <w:rFonts w:ascii="Times New Roman" w:hAnsi="Times New Roman"/>
                <w:b/>
                <w:sz w:val="20"/>
              </w:rPr>
              <w:t>Malvern, Pennsylvania</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19355</w:t>
            </w:r>
          </w:p>
        </w:tc>
      </w:tr>
      <w:tr>
        <w:trPr/>
        <w:tc>
          <w:tcPr>
            <w:tcW w:w="5154" w:type="dxa"/>
            <w:tcBorders/>
          </w:tcPr>
          <w:p>
            <w:pPr>
              <w:pStyle w:val="TableContents"/>
              <w:bidi w:val="0"/>
              <w:spacing w:before="0" w:after="283"/>
              <w:jc w:val="center"/>
              <w:rPr>
                <w:b/>
              </w:rPr>
            </w:pPr>
            <w:r>
              <w:rPr>
                <w:b/>
              </w:rPr>
              <w:t>(Address of Principal Executive Offices)</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Obsidian Therapeutics, Inc. 2016 Stock Option and Grant Plan </w:t>
      </w:r>
    </w:p>
    <w:p>
      <w:pPr>
        <w:pStyle w:val="TextBody"/>
        <w:bidi w:val="0"/>
        <w:spacing w:before="0" w:after="0"/>
        <w:jc w:val="center"/>
        <w:rPr>
          <w:rFonts w:ascii="Times New Roman" w:hAnsi="Times New Roman"/>
          <w:b/>
          <w:sz w:val="20"/>
        </w:rPr>
      </w:pPr>
      <w:r>
        <w:rPr>
          <w:rFonts w:ascii="Times New Roman" w:hAnsi="Times New Roman"/>
          <w:b/>
          <w:sz w:val="20"/>
        </w:rPr>
        <w:t xml:space="preserve">Obsidian Therapeutics, Inc. 2026 Equity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Obsidian Therapeutics, Inc. 2026 Employee Stock Purchase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plans) </w:t>
      </w:r>
    </w:p>
    <w:p>
      <w:pPr>
        <w:pStyle w:val="TextBody"/>
        <w:bidi w:val="0"/>
        <w:spacing w:before="240" w:after="0"/>
        <w:jc w:val="center"/>
        <w:rPr>
          <w:rFonts w:ascii="Times New Roman" w:hAnsi="Times New Roman"/>
          <w:b/>
          <w:sz w:val="20"/>
        </w:rPr>
      </w:pPr>
      <w:r>
        <w:rPr>
          <w:rFonts w:ascii="Times New Roman" w:hAnsi="Times New Roman"/>
          <w:b/>
          <w:sz w:val="20"/>
        </w:rPr>
        <w:t xml:space="preserve">Madan Jagasia, M.D., M.S.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1030 Massachusetts Avenue </w:t>
      </w:r>
    </w:p>
    <w:p>
      <w:pPr>
        <w:pStyle w:val="TextBody"/>
        <w:bidi w:val="0"/>
        <w:spacing w:before="0" w:after="0"/>
        <w:jc w:val="center"/>
        <w:rPr>
          <w:rFonts w:ascii="Times New Roman" w:hAnsi="Times New Roman"/>
          <w:b/>
          <w:sz w:val="20"/>
        </w:rPr>
      </w:pPr>
      <w:r>
        <w:rPr>
          <w:rFonts w:ascii="Times New Roman" w:hAnsi="Times New Roman"/>
          <w:b/>
          <w:sz w:val="20"/>
        </w:rPr>
        <w:t xml:space="preserve">Cambridge, Massachusetts 02138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of agent for service) </w:t>
      </w:r>
    </w:p>
    <w:p>
      <w:pPr>
        <w:pStyle w:val="TextBody"/>
        <w:bidi w:val="0"/>
        <w:spacing w:before="240" w:after="0"/>
        <w:jc w:val="center"/>
        <w:rPr>
          <w:rFonts w:ascii="Times New Roman" w:hAnsi="Times New Roman"/>
          <w:b/>
          <w:sz w:val="20"/>
        </w:rPr>
      </w:pPr>
      <w:r>
        <w:rPr>
          <w:rFonts w:ascii="Times New Roman" w:hAnsi="Times New Roman"/>
          <w:b/>
          <w:sz w:val="20"/>
        </w:rPr>
        <w:t xml:space="preserve">(610) 725-1500 </w:t>
      </w:r>
    </w:p>
    <w:p>
      <w:pPr>
        <w:pStyle w:val="TextBody"/>
        <w:bidi w:val="0"/>
        <w:spacing w:before="0" w:after="0"/>
        <w:jc w:val="center"/>
        <w:rPr>
          <w:rFonts w:ascii="Times New Roman" w:hAnsi="Times New Roman"/>
          <w:b/>
          <w:sz w:val="16"/>
        </w:rPr>
      </w:pPr>
      <w:r>
        <w:rPr>
          <w:rFonts w:ascii="Times New Roman" w:hAnsi="Times New Roman"/>
          <w:b/>
          <w:sz w:val="16"/>
        </w:rPr>
        <w:t xml:space="preserve">(Telephone number, including area code, of agent of service) </w:t>
      </w:r>
    </w:p>
    <w:p>
      <w:pPr>
        <w:pStyle w:val="TextBody"/>
        <w:bidi w:val="0"/>
        <w:spacing w:before="240" w:after="0"/>
        <w:jc w:val="center"/>
        <w:rPr>
          <w:rFonts w:ascii="Times New Roman" w:hAnsi="Times New Roman"/>
          <w:b/>
          <w:i/>
          <w:sz w:val="20"/>
        </w:rPr>
      </w:pPr>
      <w:r>
        <w:rPr>
          <w:rFonts w:ascii="Times New Roman" w:hAnsi="Times New Roman"/>
          <w:b/>
          <w:i/>
          <w:sz w:val="20"/>
        </w:rPr>
        <w:t xml:space="preserve">With copies to: </w:t>
      </w:r>
    </w:p>
    <w:p>
      <w:pPr>
        <w:pStyle w:val="TextBody"/>
        <w:bidi w:val="0"/>
        <w:spacing w:before="80" w:after="0"/>
        <w:jc w:val="center"/>
        <w:rPr>
          <w:rFonts w:ascii="Times New Roman" w:hAnsi="Times New Roman"/>
          <w:b/>
          <w:sz w:val="20"/>
        </w:rPr>
      </w:pPr>
      <w:r>
        <w:rPr>
          <w:rFonts w:ascii="Times New Roman" w:hAnsi="Times New Roman"/>
          <w:b/>
          <w:sz w:val="20"/>
        </w:rPr>
        <w:t xml:space="preserve">William D. Collins </w:t>
      </w:r>
    </w:p>
    <w:p>
      <w:pPr>
        <w:pStyle w:val="TextBody"/>
        <w:bidi w:val="0"/>
        <w:spacing w:before="0" w:after="0"/>
        <w:jc w:val="center"/>
        <w:rPr>
          <w:rFonts w:ascii="Times New Roman" w:hAnsi="Times New Roman"/>
          <w:b/>
          <w:sz w:val="20"/>
        </w:rPr>
      </w:pPr>
      <w:r>
        <w:rPr>
          <w:rFonts w:ascii="Times New Roman" w:hAnsi="Times New Roman"/>
          <w:b/>
          <w:sz w:val="20"/>
        </w:rPr>
        <w:t xml:space="preserve">Gabriela Morales-Rivera </w:t>
      </w:r>
    </w:p>
    <w:p>
      <w:pPr>
        <w:pStyle w:val="TextBody"/>
        <w:bidi w:val="0"/>
        <w:spacing w:before="0" w:after="0"/>
        <w:jc w:val="center"/>
        <w:rPr>
          <w:rFonts w:ascii="Times New Roman" w:hAnsi="Times New Roman"/>
          <w:b/>
          <w:sz w:val="20"/>
        </w:rPr>
      </w:pPr>
      <w:r>
        <w:rPr>
          <w:rFonts w:ascii="Times New Roman" w:hAnsi="Times New Roman"/>
          <w:b/>
          <w:sz w:val="20"/>
        </w:rPr>
        <w:t xml:space="preserve">Goodwin Procter LLP </w:t>
      </w:r>
    </w:p>
    <w:p>
      <w:pPr>
        <w:pStyle w:val="TextBody"/>
        <w:bidi w:val="0"/>
        <w:spacing w:before="0" w:after="0"/>
        <w:jc w:val="center"/>
        <w:rPr>
          <w:rFonts w:ascii="Times New Roman" w:hAnsi="Times New Roman"/>
          <w:b/>
          <w:sz w:val="20"/>
        </w:rPr>
      </w:pPr>
      <w:r>
        <w:rPr>
          <w:rFonts w:ascii="Times New Roman" w:hAnsi="Times New Roman"/>
          <w:b/>
          <w:sz w:val="20"/>
        </w:rPr>
        <w:t xml:space="preserve">100 Northern Avenue </w:t>
      </w:r>
    </w:p>
    <w:p>
      <w:pPr>
        <w:pStyle w:val="TextBody"/>
        <w:bidi w:val="0"/>
        <w:spacing w:before="0" w:after="0"/>
        <w:jc w:val="center"/>
        <w:rPr>
          <w:rFonts w:ascii="Times New Roman" w:hAnsi="Times New Roman"/>
          <w:b/>
          <w:sz w:val="20"/>
        </w:rPr>
      </w:pPr>
      <w:r>
        <w:rPr>
          <w:rFonts w:ascii="Times New Roman" w:hAnsi="Times New Roman"/>
          <w:b/>
          <w:sz w:val="20"/>
        </w:rPr>
        <w:t xml:space="preserve">Boston, MA 02210 </w:t>
      </w:r>
    </w:p>
    <w:p>
      <w:pPr>
        <w:pStyle w:val="TextBody"/>
        <w:bidi w:val="0"/>
        <w:spacing w:before="0" w:after="0"/>
        <w:jc w:val="center"/>
        <w:rPr>
          <w:rFonts w:ascii="Times New Roman" w:hAnsi="Times New Roman"/>
          <w:b/>
          <w:sz w:val="20"/>
        </w:rPr>
      </w:pPr>
      <w:r>
        <w:rPr>
          <w:rFonts w:ascii="Times New Roman" w:hAnsi="Times New Roman"/>
          <w:b/>
          <w:sz w:val="20"/>
        </w:rPr>
        <w:t xml:space="preserve">(617) 570-1000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On August 3, 2026, Obsidian Therapeutics, Inc., a Delaware corporation (formerly known as Gazelle Parent, Inc.) (the “</w:t>
      </w:r>
      <w:r>
        <w:rPr>
          <w:rFonts w:ascii="Times New Roman" w:hAnsi="Times New Roman"/>
          <w:b/>
          <w:i/>
          <w:sz w:val="20"/>
        </w:rPr>
        <w:t>Company</w:t>
      </w:r>
      <w:r>
        <w:rPr>
          <w:rFonts w:ascii="Times New Roman" w:hAnsi="Times New Roman"/>
          <w:sz w:val="20"/>
        </w:rPr>
        <w:t>”), completed the previously announced transactions contemplated by the Agreement and Plan of Merger, dated as of April 14, 2026 (the “</w:t>
      </w:r>
      <w:r>
        <w:rPr>
          <w:rFonts w:ascii="Times New Roman" w:hAnsi="Times New Roman"/>
          <w:b/>
          <w:i/>
          <w:sz w:val="20"/>
        </w:rPr>
        <w:t>Merger Agreement</w:t>
      </w:r>
      <w:r>
        <w:rPr>
          <w:rFonts w:ascii="Times New Roman" w:hAnsi="Times New Roman"/>
          <w:sz w:val="20"/>
        </w:rPr>
        <w:t>”), by and among the Company, Galera Therapeutics, Inc., a Delaware corporation (“</w:t>
      </w:r>
      <w:r>
        <w:rPr>
          <w:rFonts w:ascii="Times New Roman" w:hAnsi="Times New Roman"/>
          <w:b/>
          <w:i/>
          <w:sz w:val="20"/>
        </w:rPr>
        <w:t>Galera</w:t>
      </w:r>
      <w:r>
        <w:rPr>
          <w:rFonts w:ascii="Times New Roman" w:hAnsi="Times New Roman"/>
          <w:sz w:val="20"/>
        </w:rPr>
        <w:t>”), Obsidian Therapeutics Sub, Inc. (formerly known as Obsidian Therapeutics, Inc.), a Delaware corporation (“</w:t>
      </w:r>
      <w:r>
        <w:rPr>
          <w:rFonts w:ascii="Times New Roman" w:hAnsi="Times New Roman"/>
          <w:b/>
          <w:i/>
          <w:sz w:val="20"/>
        </w:rPr>
        <w:t>Obsidian</w:t>
      </w:r>
      <w:r>
        <w:rPr>
          <w:rFonts w:ascii="Times New Roman" w:hAnsi="Times New Roman"/>
          <w:sz w:val="20"/>
        </w:rPr>
        <w:t>”), Gazelle Merger Subsidiary, Inc., a Delaware corporation and wholly owned subsidiary of the Company (“</w:t>
      </w:r>
      <w:r>
        <w:rPr>
          <w:rFonts w:ascii="Times New Roman" w:hAnsi="Times New Roman"/>
          <w:b/>
          <w:i/>
          <w:sz w:val="20"/>
        </w:rPr>
        <w:t>Galera Merger Sub</w:t>
      </w:r>
      <w:r>
        <w:rPr>
          <w:rFonts w:ascii="Times New Roman" w:hAnsi="Times New Roman"/>
          <w:sz w:val="20"/>
        </w:rPr>
        <w:t>”) and Onyx MergerSub, Inc., a Delaware corporation and wholly owned subsidiary of the Company (“</w:t>
      </w:r>
      <w:r>
        <w:rPr>
          <w:rFonts w:ascii="Times New Roman" w:hAnsi="Times New Roman"/>
          <w:b/>
          <w:i/>
          <w:sz w:val="20"/>
        </w:rPr>
        <w:t>Obsidian Merger Sub</w:t>
      </w:r>
      <w:r>
        <w:rPr>
          <w:rFonts w:ascii="Times New Roman" w:hAnsi="Times New Roman"/>
          <w:sz w:val="20"/>
        </w:rPr>
        <w:t>”). Pursuant to the Merger Agreement, on August 3, 2026, Galera merged with and into Galera Merger Sub, with Galera surviving as a wholly owned subsidiary of the Company (the “</w:t>
      </w:r>
      <w:r>
        <w:rPr>
          <w:rFonts w:ascii="Times New Roman" w:hAnsi="Times New Roman"/>
          <w:b/>
          <w:i/>
          <w:sz w:val="20"/>
        </w:rPr>
        <w:t>Galera Merger</w:t>
      </w:r>
      <w:r>
        <w:rPr>
          <w:rFonts w:ascii="Times New Roman" w:hAnsi="Times New Roman"/>
          <w:sz w:val="20"/>
        </w:rPr>
        <w:t>”), and Obsidian merged with and into Obsidian Merger Sub, with Obsidian surviving as a wholly owned subsidiary of the Company (the “</w:t>
      </w:r>
      <w:r>
        <w:rPr>
          <w:rFonts w:ascii="Times New Roman" w:hAnsi="Times New Roman"/>
          <w:b/>
          <w:i/>
          <w:sz w:val="20"/>
        </w:rPr>
        <w:t>Obsidian Merger</w:t>
      </w:r>
      <w:r>
        <w:rPr>
          <w:rFonts w:ascii="Times New Roman" w:hAnsi="Times New Roman"/>
          <w:sz w:val="20"/>
        </w:rPr>
        <w:t>” and, together with the Galera Merger, the “</w:t>
      </w:r>
      <w:r>
        <w:rPr>
          <w:rFonts w:ascii="Times New Roman" w:hAnsi="Times New Roman"/>
          <w:b/>
          <w:i/>
          <w:sz w:val="20"/>
        </w:rPr>
        <w:t>Mergers</w:t>
      </w:r>
      <w:r>
        <w:rPr>
          <w:rFonts w:ascii="Times New Roman" w:hAnsi="Times New Roman"/>
          <w:sz w:val="20"/>
        </w:rPr>
        <w:t>” and, together with all of the other transactions contemplated by the Merger Agreement, the “</w:t>
      </w:r>
      <w:r>
        <w:rPr>
          <w:rFonts w:ascii="Times New Roman" w:hAnsi="Times New Roman"/>
          <w:b/>
          <w:i/>
          <w:sz w:val="20"/>
        </w:rPr>
        <w:t>Contemplated 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 connection with the Mergers, as of the Obsidian Merger effective time, each option to purchase shares of Obsidian common stock outstanding immediately prior to the Obsidian Merger effective time (each, an “</w:t>
      </w:r>
      <w:r>
        <w:rPr>
          <w:rFonts w:ascii="Times New Roman" w:hAnsi="Times New Roman"/>
          <w:b/>
          <w:i/>
          <w:sz w:val="20"/>
        </w:rPr>
        <w:t>Obsidian Option</w:t>
      </w:r>
      <w:r>
        <w:rPr>
          <w:rFonts w:ascii="Times New Roman" w:hAnsi="Times New Roman"/>
          <w:sz w:val="20"/>
        </w:rPr>
        <w:t>”) was automatically, and without any part of the Company, Obsidian Merger Sub or any holder of an Obsidian option, converted into an option to acquire the number of shares of common stock of the Company determined by multiplying the number of shares of Obsidian common stock subject to such Obsidian Option immediately prior to the Obsidian Merger effective time by the Obsidian exchange ratio (as defined in the Merger Agreement), rounding down to the nearest whole number of shares, at a per share exercise price determined by dividing the per share exercise price of such Obsidian Option immediately prior to the Obsidian Merger effective time by the Obsidian exchange ratio, rounding up to the nearest whole cent. Such Obsidian Options have the same terms and conditions (including the same vesting and exercisability terms and conditions) as were applicable under the Obsidian Therapeutics, Inc. 2016 Stock Option and Grant Plan, as amended (the “</w:t>
      </w:r>
      <w:r>
        <w:rPr>
          <w:rFonts w:ascii="Times New Roman" w:hAnsi="Times New Roman"/>
          <w:b/>
          <w:i/>
          <w:sz w:val="20"/>
        </w:rPr>
        <w:t>Obsidian 2016 Plan</w:t>
      </w:r>
      <w:r>
        <w:rPr>
          <w:rFonts w:ascii="Times New Roman" w:hAnsi="Times New Roman"/>
          <w:sz w:val="20"/>
        </w:rPr>
        <w:t xml:space="preserve">”). The Company assumed the Obsidian 2016 Plan. </w:t>
      </w:r>
    </w:p>
    <w:p>
      <w:pPr>
        <w:pStyle w:val="TextBody"/>
        <w:bidi w:val="0"/>
        <w:spacing w:before="240" w:after="0"/>
        <w:jc w:val="left"/>
        <w:rPr>
          <w:rFonts w:ascii="Times New Roman" w:hAnsi="Times New Roman"/>
          <w:sz w:val="20"/>
        </w:rPr>
      </w:pPr>
      <w:r>
        <w:rPr>
          <w:rFonts w:ascii="Times New Roman" w:hAnsi="Times New Roman"/>
          <w:sz w:val="20"/>
        </w:rPr>
        <w:t>Additionally, in connection with the Mergers, the board of directors and stockholder of the Company prior to the Mergers adopted the Obsidian Therapeutics Inc., 2026 Equity Incentive Plan (the “</w:t>
      </w:r>
      <w:r>
        <w:rPr>
          <w:rFonts w:ascii="Times New Roman" w:hAnsi="Times New Roman"/>
          <w:b/>
          <w:i/>
          <w:sz w:val="20"/>
        </w:rPr>
        <w:t>2026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Accordingly, this Registration Statement on Form S-8 (this “</w:t>
      </w:r>
      <w:r>
        <w:rPr>
          <w:rFonts w:ascii="Times New Roman" w:hAnsi="Times New Roman"/>
          <w:b/>
          <w:i/>
          <w:sz w:val="20"/>
        </w:rPr>
        <w:t>Registration Statement</w:t>
      </w:r>
      <w:r>
        <w:rPr>
          <w:rFonts w:ascii="Times New Roman" w:hAnsi="Times New Roman"/>
          <w:sz w:val="20"/>
        </w:rPr>
        <w:t xml:space="preserve">”) is being filed by the Company in connection with the registration of (i) 4,928,416 shares of common stock of the Company issuable with respect to Obsidian Options assumed by the Company pursuant to the Merger Agreement, (ii) 7,494,541 shares of common stock of the Company issuable with respect to the options granted pursuant to the 2026 Plan and (iii) 749,464 shares of common stock of the Company reserved and available for future issuance under the Obsidian Therapeutics, Inc. 2026 Employee Stock Purchase Plan. All applicable share amounts reflect the 1:200 reverse stock split of Galera that was effected on July 12,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Item 1. Plan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Item 2. Registrant Information and Employee Plan Annual Information.* </w:t>
      </w:r>
    </w:p>
    <w:p>
      <w:pPr>
        <w:pStyle w:val="TextBody"/>
        <w:bidi w:val="0"/>
        <w:spacing w:before="120" w:after="0"/>
        <w:jc w:val="left"/>
        <w:rPr>
          <w:rFonts w:ascii="Times New Roman" w:hAnsi="Times New Roman"/>
          <w:sz w:val="20"/>
        </w:rPr>
      </w:pPr>
      <w:r>
        <w:rPr>
          <w:rFonts w:ascii="Times New Roman" w:hAnsi="Times New Roman"/>
          <w:sz w:val="20"/>
        </w:rPr>
        <w:t>* The documents containing the information specified in this Part I of this Registration Statement (plan information and registration information) will be sent or given to employees as specified by the U.S. Securities and Exchange Commission (the “</w:t>
      </w:r>
      <w:r>
        <w:rPr>
          <w:rFonts w:ascii="Times New Roman" w:hAnsi="Times New Roman"/>
          <w:b/>
          <w:i/>
          <w:sz w:val="20"/>
        </w:rPr>
        <w:t>Commission</w:t>
      </w:r>
      <w:r>
        <w:rPr>
          <w:rFonts w:ascii="Times New Roman" w:hAnsi="Times New Roman"/>
          <w:sz w:val="20"/>
        </w:rPr>
        <w:t xml:space="preserve">”) pursuant to Rule 428(b)(1) of the Securities Act. Such documents are not required to be and are not filed with the Commission either as part of this Registration Statement or as prospectuses or prospectus supplements pursuant to Rule 424. These documents and the documents incorporated by reference in this Registration Statement pursuant to Item 3 of Part II hereof, taken together, constitute a prospectus that meets the requirements of Section 10(a) of the Securities Act, and are available without charge, upon written or oral request to 101 Lindenwood Drive, Suite 225, Malvern, Pennsylvania 19355, Telephone Number: (610) 725-1500.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THIS REGISTRATION STATEMENT </w:t>
      </w:r>
    </w:p>
    <w:p>
      <w:pPr>
        <w:pStyle w:val="TextBody"/>
        <w:bidi w:val="0"/>
        <w:spacing w:before="240" w:after="0"/>
        <w:jc w:val="left"/>
        <w:rPr>
          <w:rFonts w:ascii="Times New Roman" w:hAnsi="Times New Roman"/>
          <w:i/>
          <w:sz w:val="20"/>
        </w:rPr>
      </w:pPr>
      <w:r>
        <w:rPr>
          <w:rFonts w:ascii="Times New Roman" w:hAnsi="Times New Roman"/>
          <w:i/>
          <w:sz w:val="20"/>
        </w:rPr>
        <w:t xml:space="preserve">References in this Registration Statement to “we,” “us,” “our,” “the Company,” and the “registrant,” or similar references, refer to Obsidian Therapeutics, Inc., a Delaware corporation (formerly known as Gazelle Parent, Inc.), unless otherwise stated or the context otherwise requires. </w:t>
      </w:r>
    </w:p>
    <w:p>
      <w:pPr>
        <w:pStyle w:val="TextBody"/>
        <w:bidi w:val="0"/>
        <w:spacing w:before="360" w:after="0"/>
        <w:jc w:val="left"/>
        <w:rPr>
          <w:rFonts w:ascii="Times New Roman" w:hAnsi="Times New Roman"/>
          <w:b/>
          <w:sz w:val="20"/>
        </w:rPr>
      </w:pPr>
      <w:r>
        <w:rPr>
          <w:rFonts w:ascii="Times New Roman" w:hAnsi="Times New Roman"/>
          <w:b/>
          <w:sz w:val="20"/>
        </w:rPr>
        <w:t xml:space="preserve">Item 3. Incorporation of Documents by Reference. </w:t>
      </w:r>
    </w:p>
    <w:p>
      <w:pPr>
        <w:pStyle w:val="TextBody"/>
        <w:bidi w:val="0"/>
        <w:spacing w:before="120" w:after="0"/>
        <w:jc w:val="left"/>
        <w:rPr>
          <w:rFonts w:ascii="Times New Roman" w:hAnsi="Times New Roman"/>
          <w:sz w:val="20"/>
        </w:rPr>
      </w:pPr>
      <w:r>
        <w:rPr>
          <w:rFonts w:ascii="Times New Roman" w:hAnsi="Times New Roman"/>
          <w:sz w:val="20"/>
        </w:rPr>
        <w:t>The following documents, which have been filed by Paramount and the Company with the Commission pursuant to the Securities Exchange Act of 1934, as amended (the “</w:t>
      </w:r>
      <w:r>
        <w:rPr>
          <w:rFonts w:ascii="Times New Roman" w:hAnsi="Times New Roman"/>
          <w:b/>
          <w:i/>
          <w:sz w:val="20"/>
        </w:rPr>
        <w:t>Exchange Act</w:t>
      </w:r>
      <w:r>
        <w:rPr>
          <w:rFonts w:ascii="Times New Roman" w:hAnsi="Times New Roman"/>
          <w:sz w:val="20"/>
        </w:rPr>
        <w:t xml:space="preserve">”), are incorporated by reference in, and shall be deemed to be a part of, this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pPr>
            <w:r>
              <w:rPr>
                <w:rFonts w:ascii="Times New Roman" w:hAnsi="Times New Roman"/>
                <w:sz w:val="20"/>
              </w:rPr>
              <w:t xml:space="preserve">the Company’s prospectus filed with the Commission pursuant to Rule 424(b) under the Securities Act, and declared effective on July 2, 2026, relating to the registration statement on </w:t>
            </w:r>
            <w:hyperlink r:id="rId2">
              <w:r>
                <w:rPr>
                  <w:rStyle w:val="InternetLink"/>
                  <w:rFonts w:ascii="Times New Roman" w:hAnsi="Times New Roman"/>
                  <w:sz w:val="20"/>
                </w:rPr>
                <w:t>Form S-4</w:t>
              </w:r>
            </w:hyperlink>
            <w:r>
              <w:rPr>
                <w:rFonts w:ascii="Times New Roman" w:hAnsi="Times New Roman"/>
                <w:sz w:val="20"/>
              </w:rPr>
              <w:t xml:space="preserve"> (File No. 333-295249),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2" w:type="dxa"/>
            <w:tcBorders/>
          </w:tcPr>
          <w:p>
            <w:pPr>
              <w:pStyle w:val="TableContents"/>
              <w:bidi w:val="0"/>
              <w:spacing w:before="0" w:after="0"/>
              <w:jc w:val="left"/>
              <w:rPr/>
            </w:pPr>
            <w:r>
              <w:rPr>
                <w:rFonts w:ascii="Times New Roman" w:hAnsi="Times New Roman"/>
                <w:sz w:val="20"/>
              </w:rPr>
              <w:t xml:space="preserve">the Company’s Current Report on </w:t>
            </w:r>
            <w:hyperlink r:id="rId3">
              <w:r>
                <w:rPr>
                  <w:rStyle w:val="InternetLink"/>
                  <w:rFonts w:ascii="Times New Roman" w:hAnsi="Times New Roman"/>
                  <w:sz w:val="20"/>
                </w:rPr>
                <w:t>Form 8-K</w:t>
              </w:r>
            </w:hyperlink>
            <w:r>
              <w:rPr>
                <w:rFonts w:ascii="Times New Roman" w:hAnsi="Times New Roman"/>
                <w:sz w:val="20"/>
              </w:rPr>
              <w:t xml:space="preserve"> filed with the Commission on August 3, 2026 (other than any portion of such document deemed to be furnished but not filed);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pPr>
            <w:r>
              <w:rPr>
                <w:rFonts w:ascii="Times New Roman" w:hAnsi="Times New Roman"/>
                <w:sz w:val="20"/>
              </w:rPr>
              <w:t xml:space="preserve">the description of the Company’s common stock contained in the registration statement on </w:t>
            </w:r>
            <w:hyperlink r:id="rId4">
              <w:r>
                <w:rPr>
                  <w:rStyle w:val="InternetLink"/>
                  <w:rFonts w:ascii="Times New Roman" w:hAnsi="Times New Roman"/>
                  <w:sz w:val="20"/>
                </w:rPr>
                <w:t>Form 8-A</w:t>
              </w:r>
            </w:hyperlink>
            <w:r>
              <w:rPr>
                <w:rFonts w:ascii="Times New Roman" w:hAnsi="Times New Roman"/>
                <w:sz w:val="20"/>
              </w:rPr>
              <w:t xml:space="preserve"> filed with the Commission on August 3, 2026, as well as any additional amendments or reports filed for the purpose of updating such description.</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filed by the Company with the Commission pursuant to Sections 13(a), 13(c), 14 and 15(d) of the Exchange Act after the date hereof and prior to the filing of a post-effective amendment which indicates that all securities offered pursuant to this Registration Statement have been sold or which deregisters all securities then remaining unsold, shall be deemed to be incorporated by reference herein and to be a part hereof from the date of filing of such documents or reports.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Registration Statement, any document or any statement contained in a document incorporated or deemed to be incorporated herein by reference shall be deemed to be modified or superseded to the extent that a subsequently filed document or a statement contained therein, or in any other subsequently filed document which also is or is deemed to be incorporated by reference, modifies or supersedes such document or such statement in such document. Any statement so modified or superseded shall not be deemed, except as so modified or superseded, to constitute a part of this Registration Statement. Under no circumstances shall any information furnished 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Item 2.02 or 7.01 of Form 8-K be deemed incorporated herein by reference unless such Form 8-K expressly provides to the contrary. </w:t>
      </w:r>
    </w:p>
    <w:p>
      <w:pPr>
        <w:pStyle w:val="TextBody"/>
        <w:bidi w:val="0"/>
        <w:spacing w:before="360" w:after="0"/>
        <w:jc w:val="left"/>
        <w:rPr>
          <w:rFonts w:ascii="Times New Roman" w:hAnsi="Times New Roman"/>
          <w:b/>
          <w:sz w:val="20"/>
        </w:rPr>
      </w:pPr>
      <w:r>
        <w:rPr>
          <w:rFonts w:ascii="Times New Roman" w:hAnsi="Times New Roman"/>
          <w:b/>
          <w:sz w:val="20"/>
        </w:rPr>
        <w:t xml:space="preserve">Item 4. Description of Securities.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5. Interests of Named Experts and Counsel.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6.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incorporated in the State of Delaware. </w:t>
      </w:r>
    </w:p>
    <w:p>
      <w:pPr>
        <w:pStyle w:val="TextBody"/>
        <w:bidi w:val="0"/>
        <w:spacing w:before="240" w:after="0"/>
        <w:jc w:val="left"/>
        <w:rPr>
          <w:rFonts w:ascii="Times New Roman" w:hAnsi="Times New Roman"/>
          <w:sz w:val="20"/>
        </w:rPr>
      </w:pPr>
      <w:r>
        <w:rPr>
          <w:rFonts w:ascii="Times New Roman" w:hAnsi="Times New Roman"/>
          <w:i/>
          <w:sz w:val="20"/>
        </w:rPr>
        <w:t>Delaware General Corporation Law</w:t>
      </w:r>
      <w:r>
        <w:rPr>
          <w:rFonts w:ascii="Times New Roman" w:hAnsi="Times New Roman"/>
          <w:sz w:val="20"/>
        </w:rPr>
        <w:t>. Section 145(a) of the General Corporation Law of the State of Delaware (the “</w:t>
      </w:r>
      <w:r>
        <w:rPr>
          <w:rFonts w:ascii="Times New Roman" w:hAnsi="Times New Roman"/>
          <w:b/>
          <w:i/>
          <w:sz w:val="20"/>
        </w:rPr>
        <w:t>Delaware General Corporation Law</w:t>
      </w:r>
      <w:r>
        <w:rPr>
          <w:rFonts w:ascii="Times New Roman" w:hAnsi="Times New Roman"/>
          <w:sz w:val="20"/>
        </w:rPr>
        <w:t xml:space="preserve">”)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Section 145(b) of the Delaware General Corporation Law states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the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the person is fairly and reasonably entitled to indemnity for such expenses as the Delaware Court of Chancery or such other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Section 145(c) of the Delaware General Corporation Law provides that to the extent that a present or former director or officer of a corporation has been successful on the merits or otherwise in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145(d) of the Delaware General Corporation Law states that any indemnification under subsections (a) and (b) of Section 145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of Section 145. Such determination shall be made with respect to a person who is a director or officer at the time of such determination (1) by a majority vote of the directors who are not parties to such action, suit or proceeding, even though less than a quorum, (2) by a committee of such directors designated by majority vote of such directors, even though less than a quorum, (3) if there are no such directors, or if such directors so direct, by independent legal counsel in a written opinion or (4) by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145(f) of the Delaware General Corporation Law states that the indemnification and advancement of expenses provided by, or granted pursuant to, the other subsections of Section 145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w:t>
      </w:r>
    </w:p>
    <w:p>
      <w:pPr>
        <w:pStyle w:val="TextBody"/>
        <w:bidi w:val="0"/>
        <w:spacing w:before="240" w:after="0"/>
        <w:jc w:val="left"/>
        <w:rPr>
          <w:rFonts w:ascii="Times New Roman" w:hAnsi="Times New Roman"/>
          <w:sz w:val="20"/>
        </w:rPr>
      </w:pPr>
      <w:r>
        <w:rPr>
          <w:rFonts w:ascii="Times New Roman" w:hAnsi="Times New Roman"/>
          <w:sz w:val="20"/>
        </w:rPr>
        <w:t xml:space="preserve">Section 145(g) of the Delaware General Corporation Law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Section 145. </w:t>
      </w:r>
    </w:p>
    <w:p>
      <w:pPr>
        <w:pStyle w:val="TextBody"/>
        <w:bidi w:val="0"/>
        <w:spacing w:before="240" w:after="0"/>
        <w:jc w:val="left"/>
        <w:rPr>
          <w:rFonts w:ascii="Times New Roman" w:hAnsi="Times New Roman"/>
          <w:sz w:val="20"/>
        </w:rPr>
      </w:pPr>
      <w:r>
        <w:rPr>
          <w:rFonts w:ascii="Times New Roman" w:hAnsi="Times New Roman"/>
          <w:sz w:val="20"/>
        </w:rPr>
        <w:t xml:space="preserve">Section 145(j) of the Delaware General Corporation Law states that the indemnification and advancement of expenses provided by, or granted pursuant to, Section 145 shall, unless otherwise provided when authorized or ratified, continue as to a person who has ceased to be a director, officer, employee or agent and shall inure to the benefit of the heirs, executors and administrators of such a person. </w:t>
      </w:r>
    </w:p>
    <w:p>
      <w:pPr>
        <w:pStyle w:val="TextBody"/>
        <w:bidi w:val="0"/>
        <w:spacing w:before="240" w:after="0"/>
        <w:jc w:val="left"/>
        <w:rPr>
          <w:rFonts w:ascii="Times New Roman" w:hAnsi="Times New Roman"/>
          <w:sz w:val="20"/>
        </w:rPr>
      </w:pPr>
      <w:r>
        <w:rPr>
          <w:rFonts w:ascii="Times New Roman" w:hAnsi="Times New Roman"/>
          <w:sz w:val="20"/>
        </w:rPr>
        <w:t>Section 102(b)(7) of the Delaware General Corporation Law allows a corporation to include in its certificate of incorporation a provision eliminating or limiting the personal liability of a director to the corporation or its stockholders for monetary damages for breach of fiduciary duty as a director, except in cases where the director breached his or her duty of loyalty to the corporation or its stockholders, the director’s act or omission was not in good faith or which involved intentional misconduct or a knowing violation of the law, the director willfully or negligently authorized the unlawful payment of a dividend or approved an unlawful stock redemption or repurchase, or where the director obtained an improper personal benefit. The Company’s amended and restated certificate of incorporation (the “</w:t>
      </w:r>
      <w:r>
        <w:rPr>
          <w:rFonts w:ascii="Times New Roman" w:hAnsi="Times New Roman"/>
          <w:b/>
          <w:i/>
          <w:sz w:val="20"/>
        </w:rPr>
        <w:t>A&amp;R Charter</w:t>
      </w:r>
      <w:r>
        <w:rPr>
          <w:rFonts w:ascii="Times New Roman" w:hAnsi="Times New Roman"/>
          <w:sz w:val="20"/>
        </w:rPr>
        <w:t xml:space="preserve">”) contains provisions that eliminate directors’ personal liability in certain circumstances, including the instances described above. </w:t>
      </w:r>
    </w:p>
    <w:p>
      <w:pPr>
        <w:pStyle w:val="TextBody"/>
        <w:bidi w:val="0"/>
        <w:spacing w:before="240" w:after="0"/>
        <w:jc w:val="left"/>
        <w:rPr>
          <w:rFonts w:ascii="Times New Roman" w:hAnsi="Times New Roman"/>
          <w:sz w:val="20"/>
        </w:rPr>
      </w:pPr>
      <w:r>
        <w:rPr>
          <w:rFonts w:ascii="Times New Roman" w:hAnsi="Times New Roman"/>
          <w:i/>
          <w:sz w:val="20"/>
        </w:rPr>
        <w:t>Amended and Restated Certificate of Incorporation and Amended and Restated Bylaws</w:t>
      </w:r>
      <w:r>
        <w:rPr>
          <w:rFonts w:ascii="Times New Roman" w:hAnsi="Times New Roman"/>
          <w:sz w:val="20"/>
        </w:rPr>
        <w:t>. The A&amp;R Charter and the Company’s amended and restated bylaws (the “</w:t>
      </w:r>
      <w:r>
        <w:rPr>
          <w:rFonts w:ascii="Times New Roman" w:hAnsi="Times New Roman"/>
          <w:b/>
          <w:i/>
          <w:sz w:val="20"/>
        </w:rPr>
        <w:t>A&amp;R Bylaws</w:t>
      </w:r>
      <w:r>
        <w:rPr>
          <w:rFonts w:ascii="Times New Roman" w:hAnsi="Times New Roman"/>
          <w:sz w:val="20"/>
        </w:rPr>
        <w:t xml:space="preserve">”) provide that the Company shall indemnify any person who was or is involved in, or is threatened to be involved in, any threatened, pending or completed action, suit or proceeding, whether civil, criminal, administrative or investigative, by reason of the fact that he or she is or was a director, officer or employee of the Company, or is or was serving at the request of the Company as a director, officer (including, without limitation, a trustee) employee or agent of another corporation, limited liability company, partnership, joint venture, trust or other enterprise, to the fullest extent authorized by the Delaware General Corporation Law, as the same exists or may hereafter be amended, against judgments, fines, amounts paid in settlement and expenses (including attorneys’ fees), actually and reasonably incurred by him or her in connection with such action, suit or proceeding. Notwithstanding the foregoing, except with respect to proceedings to enforce rights to indemnification and advancement of expenses, the Company shall indemnify an indemnitee in connection with a proceeding (or part thereof) initiated by the indemnitee, if and only if the Board of Directors authorized the bringing of the action, suit or proceeding (or part thereof) in advance of the commencement of the proceeding. </w:t>
      </w:r>
    </w:p>
    <w:p>
      <w:pPr>
        <w:pStyle w:val="TextBody"/>
        <w:bidi w:val="0"/>
        <w:spacing w:before="240" w:after="0"/>
        <w:jc w:val="left"/>
        <w:rPr>
          <w:rFonts w:ascii="Times New Roman" w:hAnsi="Times New Roman"/>
          <w:sz w:val="20"/>
        </w:rPr>
      </w:pPr>
      <w:r>
        <w:rPr>
          <w:rFonts w:ascii="Times New Roman" w:hAnsi="Times New Roman"/>
          <w:sz w:val="20"/>
        </w:rPr>
        <w:t xml:space="preserve">The A&amp;R Charter and the A&amp;R Bylaws provide that, to the extent that a director, officer or employee of the Company has been successful on the merits or otherwise in defense of any action, suit or proceeding referred to above, or in defense of any claim, issue or matter therein, such person shall be indemnified against expenses (including attorneys’ fees) actually and reasonably incurred by that person in connection therewith.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Indemnification Agreements</w:t>
      </w:r>
      <w:r>
        <w:rPr>
          <w:rFonts w:ascii="Times New Roman" w:hAnsi="Times New Roman"/>
          <w:sz w:val="20"/>
        </w:rPr>
        <w:t xml:space="preserve">. The indemnification and advancement of expenses provided by, or granted pursuant to, the indemnification provisions of the A&amp;R Charter and the A&amp;R Bylaws shall not be deemed exclusive of any other rights to which a person seeking indemnification or advancement of expenses may be entitled under any statute, bylaw, agreement, vote of stockholders or disinterested directors or otherwise, both as to action in his or her official capacity and as to action in another capacity while holding such office. Without limiting the foregoing, the Company is authorized to enter into an agreement with any director, officer or employee of the Company providing indemnification for such person against expenses, including attorneys’ fees, judgments, fines and amounts paid in settlement that result from any threatened, pending or completed action, suit or proceeding, whether civil, criminal, administrative or investigative, including any action, suit or proceeding by or in the right of the Company, that arises by reason of the fact that such person is or was a director, officer or employee of the Company, or is or was serving at the request of the Company as a director, officer or employee of another corporation, limited liability company, partnership, joint venture, trust or other enterprise, to the fullest extent allowed by law. Pursuant to the foregoing authorization, the Company has entered into indemnification agreements with each of its directors and executive officers. </w:t>
      </w:r>
    </w:p>
    <w:p>
      <w:pPr>
        <w:pStyle w:val="TextBody"/>
        <w:bidi w:val="0"/>
        <w:spacing w:before="240" w:after="0"/>
        <w:jc w:val="left"/>
        <w:rPr>
          <w:rFonts w:ascii="Times New Roman" w:hAnsi="Times New Roman"/>
          <w:sz w:val="20"/>
        </w:rPr>
      </w:pPr>
      <w:r>
        <w:rPr>
          <w:rFonts w:ascii="Times New Roman" w:hAnsi="Times New Roman"/>
          <w:i/>
          <w:sz w:val="20"/>
        </w:rPr>
        <w:t>Liability Insurance</w:t>
      </w:r>
      <w:r>
        <w:rPr>
          <w:rFonts w:ascii="Times New Roman" w:hAnsi="Times New Roman"/>
          <w:sz w:val="20"/>
        </w:rPr>
        <w:t xml:space="preserve">. The Company may purchase and maintain insurance on behalf of any person who is or was a director, officer or employee of the Company, or is or was serving at the request of the Company as a director, officer or employee of another corporation, limited liability company, partnership, joint venture, trust or other enterprise against any liability asserted against him or her and incurred by him or her in any such capacity, or arising out of his or her status as such, whether or not the Company would have the power to indemnify him or her against such liability under the provisions of the A&amp;R Charter or the A&amp;R Bylaws. The Company has purchased certain liability insurance for its officers and directors as permitted by Section 145(g) of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statements are subject to the detailed provisions of Sections 145 and 102 of the Delaware General Corporation Law and the A&amp;R Charter and the A&amp;R Bylaws. </w:t>
      </w:r>
    </w:p>
    <w:p>
      <w:pPr>
        <w:pStyle w:val="TextBody"/>
        <w:bidi w:val="0"/>
        <w:spacing w:before="360" w:after="0"/>
        <w:jc w:val="left"/>
        <w:rPr>
          <w:rFonts w:ascii="Times New Roman" w:hAnsi="Times New Roman"/>
          <w:b/>
          <w:sz w:val="20"/>
        </w:rPr>
      </w:pPr>
      <w:r>
        <w:rPr>
          <w:rFonts w:ascii="Times New Roman" w:hAnsi="Times New Roman"/>
          <w:b/>
          <w:sz w:val="20"/>
        </w:rPr>
        <w:t xml:space="preserve">Item 7. Exemption from Registration Claimed.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are filed as exhibits to this Registration Statement: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8"/>
        <w:gridCol w:w="332"/>
        <w:gridCol w:w="9185"/>
      </w:tblGrid>
      <w:tr>
        <w:trPr/>
        <w:tc>
          <w:tcPr>
            <w:tcW w:w="688"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9185" w:type="dxa"/>
            <w:tcBorders/>
            <w:vAlign w:val="center"/>
          </w:tcPr>
          <w:p>
            <w:pPr>
              <w:pStyle w:val="TableContents"/>
              <w:bidi w:val="0"/>
              <w:spacing w:before="0" w:after="283"/>
              <w:jc w:val="left"/>
              <w:rPr>
                <w:sz w:val="4"/>
                <w:szCs w:val="4"/>
              </w:rPr>
            </w:pPr>
            <w:r>
              <w:rPr>
                <w:sz w:val="4"/>
                <w:szCs w:val="4"/>
              </w:rPr>
            </w:r>
          </w:p>
        </w:tc>
      </w:tr>
      <w:tr>
        <w:trPr/>
        <w:tc>
          <w:tcPr>
            <w:tcW w:w="68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r>
          </w:p>
        </w:tc>
        <w:tc>
          <w:tcPr>
            <w:tcW w:w="332" w:type="dxa"/>
            <w:tcBorders/>
            <w:vAlign w:val="bottom"/>
          </w:tcPr>
          <w:p>
            <w:pPr>
              <w:pStyle w:val="TableContents"/>
              <w:bidi w:val="0"/>
              <w:spacing w:before="0" w:after="283"/>
              <w:jc w:val="left"/>
              <w:rPr/>
            </w:pPr>
            <w:r>
              <w:rPr/>
              <w:t>  </w:t>
            </w:r>
          </w:p>
        </w:tc>
        <w:tc>
          <w:tcPr>
            <w:tcW w:w="91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688" w:type="dxa"/>
            <w:tcBorders/>
            <w:vAlign w:val="center"/>
          </w:tcPr>
          <w:p>
            <w:pPr>
              <w:pStyle w:val="TableContents"/>
              <w:bidi w:val="0"/>
              <w:spacing w:before="0" w:after="283"/>
              <w:jc w:val="left"/>
              <w:rPr>
                <w:sz w:val="4"/>
                <w:szCs w:val="4"/>
              </w:rPr>
            </w:pPr>
            <w:r>
              <w:rPr>
                <w:sz w:val="4"/>
                <w:szCs w:val="4"/>
              </w:rPr>
            </w:r>
          </w:p>
        </w:tc>
        <w:tc>
          <w:tcPr>
            <w:tcW w:w="9517"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3.1</w:t>
            </w:r>
          </w:p>
        </w:tc>
        <w:tc>
          <w:tcPr>
            <w:tcW w:w="332" w:type="dxa"/>
            <w:tcBorders/>
            <w:vAlign w:val="bottom"/>
          </w:tcPr>
          <w:p>
            <w:pPr>
              <w:pStyle w:val="TableContents"/>
              <w:bidi w:val="0"/>
              <w:spacing w:before="0" w:after="283"/>
              <w:jc w:val="left"/>
              <w:rPr/>
            </w:pPr>
            <w:r>
              <w:rPr/>
              <w:t>  </w:t>
            </w:r>
          </w:p>
        </w:tc>
        <w:tc>
          <w:tcPr>
            <w:tcW w:w="9185" w:type="dxa"/>
            <w:tcBorders/>
          </w:tcPr>
          <w:p>
            <w:pPr>
              <w:pStyle w:val="TableContents"/>
              <w:bidi w:val="0"/>
              <w:spacing w:before="0" w:after="283"/>
              <w:jc w:val="left"/>
              <w:rPr/>
            </w:pPr>
            <w:r>
              <w:rPr/>
              <w:t>Amended and Restated Certificate of Incorporation of Obsidian Therapeutics, Inc. (incorporated herein by reference to Exhibit 3.1 of Obsidian Therapeutics, Inc.’s Current Report on Form 8-K filed with the SEC on August 3, 2026)</w:t>
            </w:r>
          </w:p>
        </w:tc>
      </w:tr>
      <w:tr>
        <w:trPr>
          <w:trHeight w:val="120" w:hRule="atLeast"/>
        </w:trPr>
        <w:tc>
          <w:tcPr>
            <w:tcW w:w="688" w:type="dxa"/>
            <w:tcBorders/>
            <w:vAlign w:val="center"/>
          </w:tcPr>
          <w:p>
            <w:pPr>
              <w:pStyle w:val="TableContents"/>
              <w:bidi w:val="0"/>
              <w:spacing w:before="0" w:after="283"/>
              <w:jc w:val="left"/>
              <w:rPr>
                <w:sz w:val="4"/>
                <w:szCs w:val="4"/>
              </w:rPr>
            </w:pPr>
            <w:r>
              <w:rPr>
                <w:sz w:val="4"/>
                <w:szCs w:val="4"/>
              </w:rPr>
            </w:r>
          </w:p>
        </w:tc>
        <w:tc>
          <w:tcPr>
            <w:tcW w:w="9517"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3.2</w:t>
            </w:r>
          </w:p>
        </w:tc>
        <w:tc>
          <w:tcPr>
            <w:tcW w:w="332" w:type="dxa"/>
            <w:tcBorders/>
            <w:vAlign w:val="bottom"/>
          </w:tcPr>
          <w:p>
            <w:pPr>
              <w:pStyle w:val="TableContents"/>
              <w:bidi w:val="0"/>
              <w:spacing w:before="0" w:after="283"/>
              <w:jc w:val="left"/>
              <w:rPr/>
            </w:pPr>
            <w:r>
              <w:rPr/>
              <w:t>  </w:t>
            </w:r>
          </w:p>
        </w:tc>
        <w:tc>
          <w:tcPr>
            <w:tcW w:w="9185" w:type="dxa"/>
            <w:tcBorders/>
          </w:tcPr>
          <w:p>
            <w:pPr>
              <w:pStyle w:val="TableContents"/>
              <w:bidi w:val="0"/>
              <w:spacing w:before="0" w:after="283"/>
              <w:jc w:val="left"/>
              <w:rPr/>
            </w:pPr>
            <w:r>
              <w:rPr/>
              <w:t>Amended and Restated Bylaws of Obsidian Therapeutics, Inc. (incorporated herein by reference to Exhibit 3.3 of Obsidian Therapeutics, Inc.’s Current Report on Form 8-K filed with the SEC on August 3, 2026)</w:t>
            </w:r>
          </w:p>
        </w:tc>
      </w:tr>
      <w:tr>
        <w:trPr>
          <w:trHeight w:val="120" w:hRule="atLeast"/>
        </w:trPr>
        <w:tc>
          <w:tcPr>
            <w:tcW w:w="688" w:type="dxa"/>
            <w:tcBorders/>
            <w:vAlign w:val="center"/>
          </w:tcPr>
          <w:p>
            <w:pPr>
              <w:pStyle w:val="TableContents"/>
              <w:bidi w:val="0"/>
              <w:spacing w:before="0" w:after="283"/>
              <w:jc w:val="left"/>
              <w:rPr>
                <w:sz w:val="4"/>
                <w:szCs w:val="4"/>
              </w:rPr>
            </w:pPr>
            <w:r>
              <w:rPr>
                <w:sz w:val="4"/>
                <w:szCs w:val="4"/>
              </w:rPr>
            </w:r>
          </w:p>
        </w:tc>
        <w:tc>
          <w:tcPr>
            <w:tcW w:w="9517"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5.1*</w:t>
            </w:r>
          </w:p>
        </w:tc>
        <w:tc>
          <w:tcPr>
            <w:tcW w:w="332" w:type="dxa"/>
            <w:tcBorders/>
            <w:vAlign w:val="bottom"/>
          </w:tcPr>
          <w:p>
            <w:pPr>
              <w:pStyle w:val="TableContents"/>
              <w:bidi w:val="0"/>
              <w:spacing w:before="0" w:after="283"/>
              <w:jc w:val="left"/>
              <w:rPr/>
            </w:pPr>
            <w:r>
              <w:rPr/>
              <w:t>  </w:t>
            </w:r>
          </w:p>
        </w:tc>
        <w:tc>
          <w:tcPr>
            <w:tcW w:w="9185" w:type="dxa"/>
            <w:tcBorders/>
          </w:tcPr>
          <w:p>
            <w:pPr>
              <w:pStyle w:val="TableContents"/>
              <w:bidi w:val="0"/>
              <w:spacing w:before="0" w:after="283"/>
              <w:jc w:val="left"/>
              <w:rPr/>
            </w:pPr>
            <w:hyperlink w:anchor="d105773dex51.htm">
              <w:r>
                <w:rPr>
                  <w:rStyle w:val="InternetLink"/>
                </w:rPr>
                <w:t xml:space="preserve">Opinion of Goodwin Procter LLP </w:t>
              </w:r>
            </w:hyperlink>
          </w:p>
        </w:tc>
      </w:tr>
      <w:tr>
        <w:trPr>
          <w:trHeight w:val="120" w:hRule="atLeast"/>
        </w:trPr>
        <w:tc>
          <w:tcPr>
            <w:tcW w:w="688" w:type="dxa"/>
            <w:tcBorders/>
            <w:vAlign w:val="center"/>
          </w:tcPr>
          <w:p>
            <w:pPr>
              <w:pStyle w:val="TableContents"/>
              <w:bidi w:val="0"/>
              <w:spacing w:before="0" w:after="283"/>
              <w:jc w:val="left"/>
              <w:rPr>
                <w:sz w:val="4"/>
                <w:szCs w:val="4"/>
              </w:rPr>
            </w:pPr>
            <w:r>
              <w:rPr>
                <w:sz w:val="4"/>
                <w:szCs w:val="4"/>
              </w:rPr>
            </w:r>
          </w:p>
        </w:tc>
        <w:tc>
          <w:tcPr>
            <w:tcW w:w="9517"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23.1*</w:t>
            </w:r>
          </w:p>
        </w:tc>
        <w:tc>
          <w:tcPr>
            <w:tcW w:w="332" w:type="dxa"/>
            <w:tcBorders/>
            <w:vAlign w:val="bottom"/>
          </w:tcPr>
          <w:p>
            <w:pPr>
              <w:pStyle w:val="TableContents"/>
              <w:bidi w:val="0"/>
              <w:spacing w:before="0" w:after="283"/>
              <w:jc w:val="left"/>
              <w:rPr/>
            </w:pPr>
            <w:r>
              <w:rPr/>
              <w:t>  </w:t>
            </w:r>
          </w:p>
        </w:tc>
        <w:tc>
          <w:tcPr>
            <w:tcW w:w="9185" w:type="dxa"/>
            <w:tcBorders/>
          </w:tcPr>
          <w:p>
            <w:pPr>
              <w:pStyle w:val="TableContents"/>
              <w:bidi w:val="0"/>
              <w:spacing w:before="0" w:after="283"/>
              <w:jc w:val="left"/>
              <w:rPr/>
            </w:pPr>
            <w:hyperlink w:anchor="d105773dex231.htm">
              <w:r>
                <w:rPr>
                  <w:rStyle w:val="InternetLink"/>
                </w:rPr>
                <w:t xml:space="preserve">Consent of KPMG LLP, independent registered public accounting firm </w:t>
              </w:r>
            </w:hyperlink>
          </w:p>
        </w:tc>
      </w:tr>
      <w:tr>
        <w:trPr>
          <w:trHeight w:val="120" w:hRule="atLeast"/>
        </w:trPr>
        <w:tc>
          <w:tcPr>
            <w:tcW w:w="688" w:type="dxa"/>
            <w:tcBorders/>
            <w:vAlign w:val="center"/>
          </w:tcPr>
          <w:p>
            <w:pPr>
              <w:pStyle w:val="TableContents"/>
              <w:bidi w:val="0"/>
              <w:spacing w:before="0" w:after="283"/>
              <w:jc w:val="left"/>
              <w:rPr>
                <w:sz w:val="4"/>
                <w:szCs w:val="4"/>
              </w:rPr>
            </w:pPr>
            <w:r>
              <w:rPr>
                <w:sz w:val="4"/>
                <w:szCs w:val="4"/>
              </w:rPr>
            </w:r>
          </w:p>
        </w:tc>
        <w:tc>
          <w:tcPr>
            <w:tcW w:w="9517"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23.3*</w:t>
            </w:r>
          </w:p>
        </w:tc>
        <w:tc>
          <w:tcPr>
            <w:tcW w:w="332" w:type="dxa"/>
            <w:tcBorders/>
            <w:vAlign w:val="bottom"/>
          </w:tcPr>
          <w:p>
            <w:pPr>
              <w:pStyle w:val="TableContents"/>
              <w:bidi w:val="0"/>
              <w:spacing w:before="0" w:after="283"/>
              <w:jc w:val="left"/>
              <w:rPr/>
            </w:pPr>
            <w:r>
              <w:rPr/>
              <w:t>  </w:t>
            </w:r>
          </w:p>
        </w:tc>
        <w:tc>
          <w:tcPr>
            <w:tcW w:w="9185" w:type="dxa"/>
            <w:tcBorders/>
          </w:tcPr>
          <w:p>
            <w:pPr>
              <w:pStyle w:val="TableContents"/>
              <w:bidi w:val="0"/>
              <w:spacing w:before="0" w:after="283"/>
              <w:jc w:val="left"/>
              <w:rPr/>
            </w:pPr>
            <w:hyperlink w:anchor="d105773dex51.htm">
              <w:r>
                <w:rPr>
                  <w:rStyle w:val="InternetLink"/>
                </w:rPr>
                <w:t xml:space="preserve">Consent of Goodwin Procter LLP (included in Exhibit 5.1) </w:t>
              </w:r>
            </w:hyperlink>
          </w:p>
        </w:tc>
      </w:tr>
      <w:tr>
        <w:trPr>
          <w:trHeight w:val="120" w:hRule="atLeast"/>
        </w:trPr>
        <w:tc>
          <w:tcPr>
            <w:tcW w:w="688" w:type="dxa"/>
            <w:tcBorders/>
            <w:vAlign w:val="center"/>
          </w:tcPr>
          <w:p>
            <w:pPr>
              <w:pStyle w:val="TableContents"/>
              <w:bidi w:val="0"/>
              <w:spacing w:before="0" w:after="283"/>
              <w:jc w:val="left"/>
              <w:rPr>
                <w:sz w:val="4"/>
                <w:szCs w:val="4"/>
              </w:rPr>
            </w:pPr>
            <w:r>
              <w:rPr>
                <w:sz w:val="4"/>
                <w:szCs w:val="4"/>
              </w:rPr>
            </w:r>
          </w:p>
        </w:tc>
        <w:tc>
          <w:tcPr>
            <w:tcW w:w="9517"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24.1*</w:t>
            </w:r>
          </w:p>
        </w:tc>
        <w:tc>
          <w:tcPr>
            <w:tcW w:w="332" w:type="dxa"/>
            <w:tcBorders/>
            <w:vAlign w:val="bottom"/>
          </w:tcPr>
          <w:p>
            <w:pPr>
              <w:pStyle w:val="TableContents"/>
              <w:bidi w:val="0"/>
              <w:spacing w:before="0" w:after="283"/>
              <w:jc w:val="left"/>
              <w:rPr/>
            </w:pPr>
            <w:r>
              <w:rPr/>
              <w:t>  </w:t>
            </w:r>
          </w:p>
        </w:tc>
        <w:tc>
          <w:tcPr>
            <w:tcW w:w="9185" w:type="dxa"/>
            <w:tcBorders/>
          </w:tcPr>
          <w:p>
            <w:pPr>
              <w:pStyle w:val="TableContents"/>
              <w:bidi w:val="0"/>
              <w:spacing w:before="0" w:after="283"/>
              <w:jc w:val="left"/>
              <w:rPr/>
            </w:pPr>
            <w:hyperlink w:anchor="sig">
              <w:r>
                <w:rPr>
                  <w:rStyle w:val="InternetLink"/>
                </w:rPr>
                <w:t xml:space="preserve">Power of Attorney (included on signature page) </w:t>
              </w:r>
            </w:hyperlink>
          </w:p>
        </w:tc>
      </w:tr>
      <w:tr>
        <w:trPr>
          <w:trHeight w:val="120" w:hRule="atLeast"/>
        </w:trPr>
        <w:tc>
          <w:tcPr>
            <w:tcW w:w="688" w:type="dxa"/>
            <w:tcBorders/>
            <w:vAlign w:val="center"/>
          </w:tcPr>
          <w:p>
            <w:pPr>
              <w:pStyle w:val="TableContents"/>
              <w:bidi w:val="0"/>
              <w:spacing w:before="0" w:after="283"/>
              <w:jc w:val="left"/>
              <w:rPr>
                <w:sz w:val="4"/>
                <w:szCs w:val="4"/>
              </w:rPr>
            </w:pPr>
            <w:r>
              <w:rPr>
                <w:sz w:val="4"/>
                <w:szCs w:val="4"/>
              </w:rPr>
            </w:r>
          </w:p>
        </w:tc>
        <w:tc>
          <w:tcPr>
            <w:tcW w:w="9517"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99.1#*</w:t>
            </w:r>
          </w:p>
        </w:tc>
        <w:tc>
          <w:tcPr>
            <w:tcW w:w="332" w:type="dxa"/>
            <w:tcBorders/>
            <w:vAlign w:val="bottom"/>
          </w:tcPr>
          <w:p>
            <w:pPr>
              <w:pStyle w:val="TableContents"/>
              <w:bidi w:val="0"/>
              <w:spacing w:before="0" w:after="283"/>
              <w:jc w:val="left"/>
              <w:rPr/>
            </w:pPr>
            <w:r>
              <w:rPr/>
              <w:t>  </w:t>
            </w:r>
          </w:p>
        </w:tc>
        <w:tc>
          <w:tcPr>
            <w:tcW w:w="9185" w:type="dxa"/>
            <w:tcBorders/>
          </w:tcPr>
          <w:p>
            <w:pPr>
              <w:pStyle w:val="TableContents"/>
              <w:bidi w:val="0"/>
              <w:spacing w:before="0" w:after="283"/>
              <w:jc w:val="left"/>
              <w:rPr/>
            </w:pPr>
            <w:hyperlink w:anchor="d105773dex991.htm">
              <w:r>
                <w:rPr>
                  <w:rStyle w:val="InternetLink"/>
                </w:rPr>
                <w:t xml:space="preserve">Obsidian Therapeutics, Inc. 2016 Stock Option and Grant Plan, and form of award agreements thereunder </w:t>
              </w:r>
            </w:hyperlink>
          </w:p>
        </w:tc>
      </w:tr>
      <w:tr>
        <w:trPr>
          <w:trHeight w:val="120" w:hRule="atLeast"/>
        </w:trPr>
        <w:tc>
          <w:tcPr>
            <w:tcW w:w="688" w:type="dxa"/>
            <w:tcBorders/>
            <w:vAlign w:val="center"/>
          </w:tcPr>
          <w:p>
            <w:pPr>
              <w:pStyle w:val="TableContents"/>
              <w:bidi w:val="0"/>
              <w:spacing w:before="0" w:after="283"/>
              <w:jc w:val="left"/>
              <w:rPr>
                <w:sz w:val="4"/>
                <w:szCs w:val="4"/>
              </w:rPr>
            </w:pPr>
            <w:r>
              <w:rPr>
                <w:sz w:val="4"/>
                <w:szCs w:val="4"/>
              </w:rPr>
            </w:r>
          </w:p>
        </w:tc>
        <w:tc>
          <w:tcPr>
            <w:tcW w:w="9517"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99.2#*</w:t>
            </w:r>
          </w:p>
        </w:tc>
        <w:tc>
          <w:tcPr>
            <w:tcW w:w="332" w:type="dxa"/>
            <w:tcBorders/>
            <w:vAlign w:val="bottom"/>
          </w:tcPr>
          <w:p>
            <w:pPr>
              <w:pStyle w:val="TableContents"/>
              <w:bidi w:val="0"/>
              <w:spacing w:before="0" w:after="283"/>
              <w:jc w:val="left"/>
              <w:rPr/>
            </w:pPr>
            <w:r>
              <w:rPr/>
              <w:t>  </w:t>
            </w:r>
          </w:p>
        </w:tc>
        <w:tc>
          <w:tcPr>
            <w:tcW w:w="9185" w:type="dxa"/>
            <w:tcBorders/>
          </w:tcPr>
          <w:p>
            <w:pPr>
              <w:pStyle w:val="TableContents"/>
              <w:bidi w:val="0"/>
              <w:spacing w:before="0" w:after="283"/>
              <w:jc w:val="left"/>
              <w:rPr/>
            </w:pPr>
            <w:hyperlink w:anchor="d105773dex992.htm">
              <w:r>
                <w:rPr>
                  <w:rStyle w:val="InternetLink"/>
                </w:rPr>
                <w:t xml:space="preserve">Obsidian Therapeutics, Inc. 2026 Equity Incentive Plan, and form of award agreements thereunder </w:t>
              </w:r>
            </w:hyperlink>
          </w:p>
        </w:tc>
      </w:tr>
      <w:tr>
        <w:trPr>
          <w:trHeight w:val="120" w:hRule="atLeast"/>
        </w:trPr>
        <w:tc>
          <w:tcPr>
            <w:tcW w:w="688" w:type="dxa"/>
            <w:tcBorders/>
            <w:vAlign w:val="center"/>
          </w:tcPr>
          <w:p>
            <w:pPr>
              <w:pStyle w:val="TableContents"/>
              <w:bidi w:val="0"/>
              <w:spacing w:before="0" w:after="283"/>
              <w:jc w:val="left"/>
              <w:rPr>
                <w:sz w:val="4"/>
                <w:szCs w:val="4"/>
              </w:rPr>
            </w:pPr>
            <w:r>
              <w:rPr>
                <w:sz w:val="4"/>
                <w:szCs w:val="4"/>
              </w:rPr>
            </w:r>
          </w:p>
        </w:tc>
        <w:tc>
          <w:tcPr>
            <w:tcW w:w="9517"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99.3#*</w:t>
            </w:r>
          </w:p>
        </w:tc>
        <w:tc>
          <w:tcPr>
            <w:tcW w:w="332" w:type="dxa"/>
            <w:tcBorders/>
            <w:vAlign w:val="bottom"/>
          </w:tcPr>
          <w:p>
            <w:pPr>
              <w:pStyle w:val="TableContents"/>
              <w:bidi w:val="0"/>
              <w:spacing w:before="0" w:after="283"/>
              <w:jc w:val="left"/>
              <w:rPr/>
            </w:pPr>
            <w:r>
              <w:rPr/>
              <w:t>  </w:t>
            </w:r>
          </w:p>
        </w:tc>
        <w:tc>
          <w:tcPr>
            <w:tcW w:w="9185" w:type="dxa"/>
            <w:tcBorders/>
          </w:tcPr>
          <w:p>
            <w:pPr>
              <w:pStyle w:val="TableContents"/>
              <w:bidi w:val="0"/>
              <w:spacing w:before="0" w:after="283"/>
              <w:jc w:val="left"/>
              <w:rPr/>
            </w:pPr>
            <w:hyperlink w:anchor="d105773dex993.htm">
              <w:r>
                <w:rPr>
                  <w:rStyle w:val="InternetLink"/>
                </w:rPr>
                <w:t xml:space="preserve">Obsidian Therapeutics, Inc. 2026 Employee Stock Purchase Plan </w:t>
              </w:r>
            </w:hyperlink>
          </w:p>
        </w:tc>
      </w:tr>
      <w:tr>
        <w:trPr>
          <w:trHeight w:val="120" w:hRule="atLeast"/>
        </w:trPr>
        <w:tc>
          <w:tcPr>
            <w:tcW w:w="688" w:type="dxa"/>
            <w:tcBorders/>
            <w:vAlign w:val="center"/>
          </w:tcPr>
          <w:p>
            <w:pPr>
              <w:pStyle w:val="TableContents"/>
              <w:bidi w:val="0"/>
              <w:spacing w:before="0" w:after="283"/>
              <w:jc w:val="left"/>
              <w:rPr>
                <w:sz w:val="4"/>
                <w:szCs w:val="4"/>
              </w:rPr>
            </w:pPr>
            <w:r>
              <w:rPr>
                <w:sz w:val="4"/>
                <w:szCs w:val="4"/>
              </w:rPr>
            </w:r>
          </w:p>
        </w:tc>
        <w:tc>
          <w:tcPr>
            <w:tcW w:w="9517"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107*</w:t>
            </w:r>
          </w:p>
        </w:tc>
        <w:tc>
          <w:tcPr>
            <w:tcW w:w="332" w:type="dxa"/>
            <w:tcBorders/>
            <w:vAlign w:val="bottom"/>
          </w:tcPr>
          <w:p>
            <w:pPr>
              <w:pStyle w:val="TableContents"/>
              <w:bidi w:val="0"/>
              <w:spacing w:before="0" w:after="283"/>
              <w:jc w:val="left"/>
              <w:rPr/>
            </w:pPr>
            <w:r>
              <w:rPr/>
              <w:t>  </w:t>
            </w:r>
          </w:p>
        </w:tc>
        <w:tc>
          <w:tcPr>
            <w:tcW w:w="9185" w:type="dxa"/>
            <w:tcBorders/>
          </w:tcPr>
          <w:p>
            <w:pPr>
              <w:pStyle w:val="TableContents"/>
              <w:bidi w:val="0"/>
              <w:spacing w:before="0" w:after="283"/>
              <w:jc w:val="left"/>
              <w:rPr/>
            </w:pPr>
            <w:hyperlink w:anchor="d105773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Indicates a management contract or compensatory plan or arrangement.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9. 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(iii)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this Registration Statement or any material change to such information in this Registration Statement; </w:t>
            </w:r>
          </w:p>
        </w:tc>
      </w:tr>
    </w:tbl>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and (a)(1)(ii) of this section do not apply if this Registration Statement is on Form S-8, and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(h)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Malvern, Pennsylvania on this 3rd day of August,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0"/>
        <w:gridCol w:w="60"/>
        <w:gridCol w:w="3332"/>
      </w:tblGrid>
      <w:tr>
        <w:trPr/>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OBSIDIAN THERAPEUTICS, INC.</w:t>
            </w:r>
          </w:p>
        </w:tc>
      </w:tr>
      <w:tr>
        <w:trPr>
          <w:trHeight w:val="240" w:hRule="atLeast"/>
        </w:trPr>
        <w:tc>
          <w:tcPr>
            <w:tcW w:w="690" w:type="dxa"/>
            <w:tcBorders/>
            <w:vAlign w:val="center"/>
          </w:tcPr>
          <w:p>
            <w:pPr>
              <w:pStyle w:val="TableContents"/>
              <w:bidi w:val="0"/>
              <w:spacing w:before="0" w:after="283"/>
              <w:jc w:val="left"/>
              <w:rPr>
                <w:sz w:val="4"/>
                <w:szCs w:val="4"/>
              </w:rPr>
            </w:pPr>
            <w:r>
              <w:rPr>
                <w:sz w:val="4"/>
                <w:szCs w:val="4"/>
              </w:rPr>
            </w:r>
          </w:p>
        </w:tc>
        <w:tc>
          <w:tcPr>
            <w:tcW w:w="3392" w:type="dxa"/>
            <w:gridSpan w:val="2"/>
            <w:tcBorders/>
            <w:vAlign w:val="center"/>
          </w:tcPr>
          <w:p>
            <w:pPr>
              <w:pStyle w:val="TableContents"/>
              <w:bidi w:val="0"/>
              <w:spacing w:before="0" w:after="283"/>
              <w:jc w:val="left"/>
              <w:rPr>
                <w:sz w:val="4"/>
                <w:szCs w:val="4"/>
              </w:rPr>
            </w:pPr>
            <w:r>
              <w:rPr>
                <w:sz w:val="4"/>
                <w:szCs w:val="4"/>
              </w:rPr>
            </w:r>
          </w:p>
        </w:tc>
      </w:tr>
      <w:tr>
        <w:trPr/>
        <w:tc>
          <w:tcPr>
            <w:tcW w:w="6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Madan Jagasia</w:t>
            </w:r>
          </w:p>
        </w:tc>
      </w:tr>
      <w:tr>
        <w:trPr/>
        <w:tc>
          <w:tcPr>
            <w:tcW w:w="6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Madan Jagasia, M.D., M.S.</w:t>
            </w:r>
          </w:p>
        </w:tc>
      </w:tr>
      <w:tr>
        <w:trPr/>
        <w:tc>
          <w:tcPr>
            <w:tcW w:w="6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hereby constitutes and appoints Julie Feder, Kirsten Kester and Caroline Code and each of them singly,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U.S.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as of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86"/>
        <w:gridCol w:w="123"/>
        <w:gridCol w:w="4444"/>
        <w:gridCol w:w="108"/>
        <w:gridCol w:w="1744"/>
      </w:tblGrid>
      <w:tr>
        <w:trPr/>
        <w:tc>
          <w:tcPr>
            <w:tcW w:w="378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44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r>
      <w:tr>
        <w:trPr/>
        <w:tc>
          <w:tcPr>
            <w:tcW w:w="378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Signature</w:t>
            </w:r>
          </w:p>
        </w:tc>
        <w:tc>
          <w:tcPr>
            <w:tcW w:w="123" w:type="dxa"/>
            <w:tcBorders/>
            <w:vAlign w:val="bottom"/>
          </w:tcPr>
          <w:p>
            <w:pPr>
              <w:pStyle w:val="TableContents"/>
              <w:bidi w:val="0"/>
              <w:spacing w:before="0" w:after="283"/>
              <w:jc w:val="left"/>
              <w:rPr/>
            </w:pPr>
            <w:r>
              <w:rPr/>
              <w:t>  </w:t>
            </w:r>
          </w:p>
        </w:tc>
        <w:tc>
          <w:tcPr>
            <w:tcW w:w="444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8" w:type="dxa"/>
            <w:tcBorders/>
            <w:vAlign w:val="bottom"/>
          </w:tcPr>
          <w:p>
            <w:pPr>
              <w:pStyle w:val="TableContents"/>
              <w:bidi w:val="0"/>
              <w:spacing w:before="0" w:after="283"/>
              <w:jc w:val="left"/>
              <w:rPr/>
            </w:pPr>
            <w:r>
              <w:rPr/>
              <w:t> </w:t>
            </w:r>
          </w:p>
        </w:tc>
        <w:tc>
          <w:tcPr>
            <w:tcW w:w="174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86" w:type="dxa"/>
            <w:tcBorders/>
            <w:vAlign w:val="center"/>
          </w:tcPr>
          <w:p>
            <w:pPr>
              <w:pStyle w:val="TableContents"/>
              <w:bidi w:val="0"/>
              <w:spacing w:before="0" w:after="283"/>
              <w:jc w:val="left"/>
              <w:rPr>
                <w:sz w:val="4"/>
                <w:szCs w:val="4"/>
              </w:rPr>
            </w:pPr>
            <w:r>
              <w:rPr>
                <w:sz w:val="4"/>
                <w:szCs w:val="4"/>
              </w:rPr>
            </w:r>
          </w:p>
        </w:tc>
        <w:tc>
          <w:tcPr>
            <w:tcW w:w="4567" w:type="dxa"/>
            <w:gridSpan w:val="2"/>
            <w:tcBorders/>
            <w:vAlign w:val="center"/>
          </w:tcPr>
          <w:p>
            <w:pPr>
              <w:pStyle w:val="TableContents"/>
              <w:bidi w:val="0"/>
              <w:spacing w:before="0" w:after="283"/>
              <w:jc w:val="left"/>
              <w:rPr>
                <w:sz w:val="4"/>
                <w:szCs w:val="4"/>
              </w:rPr>
            </w:pPr>
            <w:r>
              <w:rPr>
                <w:sz w:val="4"/>
                <w:szCs w:val="4"/>
              </w:rPr>
            </w:r>
          </w:p>
        </w:tc>
        <w:tc>
          <w:tcPr>
            <w:tcW w:w="1852" w:type="dxa"/>
            <w:gridSpan w:val="2"/>
            <w:tcBorders/>
            <w:vAlign w:val="center"/>
          </w:tcPr>
          <w:p>
            <w:pPr>
              <w:pStyle w:val="TableContents"/>
              <w:bidi w:val="0"/>
              <w:spacing w:before="0" w:after="283"/>
              <w:jc w:val="left"/>
              <w:rPr>
                <w:sz w:val="4"/>
                <w:szCs w:val="4"/>
              </w:rPr>
            </w:pPr>
            <w:r>
              <w:rPr>
                <w:sz w:val="4"/>
                <w:szCs w:val="4"/>
              </w:rPr>
            </w:r>
          </w:p>
        </w:tc>
      </w:tr>
      <w:tr>
        <w:trPr/>
        <w:tc>
          <w:tcPr>
            <w:tcW w:w="37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Madan Jagasia</w:t>
            </w:r>
          </w:p>
          <w:p>
            <w:pPr>
              <w:pStyle w:val="TableContents"/>
              <w:bidi w:val="0"/>
              <w:spacing w:before="0" w:after="20"/>
              <w:jc w:val="left"/>
              <w:rPr>
                <w:rFonts w:ascii="Times New Roman" w:hAnsi="Times New Roman"/>
                <w:sz w:val="20"/>
              </w:rPr>
            </w:pPr>
            <w:r>
              <w:rPr>
                <w:rFonts w:ascii="Times New Roman" w:hAnsi="Times New Roman"/>
                <w:sz w:val="20"/>
              </w:rPr>
              <w:t>Madan Jagasia</w:t>
            </w:r>
          </w:p>
        </w:tc>
        <w:tc>
          <w:tcPr>
            <w:tcW w:w="123" w:type="dxa"/>
            <w:tcBorders/>
            <w:vAlign w:val="bottom"/>
          </w:tcPr>
          <w:p>
            <w:pPr>
              <w:pStyle w:val="TableContents"/>
              <w:bidi w:val="0"/>
              <w:spacing w:before="0" w:after="283"/>
              <w:jc w:val="left"/>
              <w:rPr/>
            </w:pPr>
            <w:r>
              <w:rPr/>
              <w:t>  </w:t>
            </w:r>
          </w:p>
        </w:tc>
        <w:tc>
          <w:tcPr>
            <w:tcW w:w="4444"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w:t>
            </w:r>
            <w:r>
              <w:rPr>
                <w:rFonts w:ascii="Times New Roman" w:hAnsi="Times New Roman"/>
                <w:i/>
                <w:sz w:val="20"/>
              </w:rPr>
              <w:t>Principal Executive Officer</w:t>
            </w:r>
            <w:r>
              <w:rPr>
                <w:rFonts w:ascii="Times New Roman" w:hAnsi="Times New Roman"/>
                <w:sz w:val="20"/>
              </w:rPr>
              <w:t>)</w:t>
            </w:r>
          </w:p>
        </w:tc>
        <w:tc>
          <w:tcPr>
            <w:tcW w:w="108" w:type="dxa"/>
            <w:tcBorders/>
            <w:vAlign w:val="bottom"/>
          </w:tcPr>
          <w:p>
            <w:pPr>
              <w:pStyle w:val="TableContents"/>
              <w:bidi w:val="0"/>
              <w:spacing w:before="0" w:after="283"/>
              <w:jc w:val="left"/>
              <w:rPr/>
            </w:pPr>
            <w:r>
              <w:rPr/>
              <w:t> </w:t>
            </w:r>
          </w:p>
        </w:tc>
        <w:tc>
          <w:tcPr>
            <w:tcW w:w="1744" w:type="dxa"/>
            <w:tcBorders/>
          </w:tcPr>
          <w:p>
            <w:pPr>
              <w:pStyle w:val="TableContents"/>
              <w:bidi w:val="0"/>
              <w:spacing w:before="0" w:after="283"/>
              <w:jc w:val="center"/>
              <w:rPr/>
            </w:pPr>
            <w:r>
              <w:rPr/>
              <w:t>August 3, 2026</w:t>
            </w:r>
          </w:p>
        </w:tc>
      </w:tr>
      <w:tr>
        <w:trPr>
          <w:trHeight w:val="240" w:hRule="atLeast"/>
        </w:trPr>
        <w:tc>
          <w:tcPr>
            <w:tcW w:w="3786" w:type="dxa"/>
            <w:tcBorders/>
            <w:vAlign w:val="center"/>
          </w:tcPr>
          <w:p>
            <w:pPr>
              <w:pStyle w:val="TableContents"/>
              <w:bidi w:val="0"/>
              <w:spacing w:before="0" w:after="283"/>
              <w:jc w:val="left"/>
              <w:rPr>
                <w:sz w:val="4"/>
                <w:szCs w:val="4"/>
              </w:rPr>
            </w:pPr>
            <w:r>
              <w:rPr>
                <w:sz w:val="4"/>
                <w:szCs w:val="4"/>
              </w:rPr>
            </w:r>
          </w:p>
        </w:tc>
        <w:tc>
          <w:tcPr>
            <w:tcW w:w="4567" w:type="dxa"/>
            <w:gridSpan w:val="2"/>
            <w:tcBorders/>
            <w:vAlign w:val="center"/>
          </w:tcPr>
          <w:p>
            <w:pPr>
              <w:pStyle w:val="TableContents"/>
              <w:bidi w:val="0"/>
              <w:spacing w:before="0" w:after="283"/>
              <w:jc w:val="left"/>
              <w:rPr>
                <w:sz w:val="4"/>
                <w:szCs w:val="4"/>
              </w:rPr>
            </w:pPr>
            <w:r>
              <w:rPr>
                <w:sz w:val="4"/>
                <w:szCs w:val="4"/>
              </w:rPr>
            </w:r>
          </w:p>
        </w:tc>
        <w:tc>
          <w:tcPr>
            <w:tcW w:w="1852" w:type="dxa"/>
            <w:gridSpan w:val="2"/>
            <w:tcBorders/>
            <w:vAlign w:val="center"/>
          </w:tcPr>
          <w:p>
            <w:pPr>
              <w:pStyle w:val="TableContents"/>
              <w:bidi w:val="0"/>
              <w:spacing w:before="0" w:after="283"/>
              <w:jc w:val="left"/>
              <w:rPr>
                <w:sz w:val="4"/>
                <w:szCs w:val="4"/>
              </w:rPr>
            </w:pPr>
            <w:r>
              <w:rPr>
                <w:sz w:val="4"/>
                <w:szCs w:val="4"/>
              </w:rPr>
            </w:r>
          </w:p>
        </w:tc>
      </w:tr>
      <w:tr>
        <w:trPr/>
        <w:tc>
          <w:tcPr>
            <w:tcW w:w="37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Julie Feder</w:t>
            </w:r>
          </w:p>
          <w:p>
            <w:pPr>
              <w:pStyle w:val="TableContents"/>
              <w:bidi w:val="0"/>
              <w:spacing w:before="0" w:after="20"/>
              <w:jc w:val="left"/>
              <w:rPr>
                <w:rFonts w:ascii="Times New Roman" w:hAnsi="Times New Roman"/>
                <w:sz w:val="20"/>
              </w:rPr>
            </w:pPr>
            <w:r>
              <w:rPr>
                <w:rFonts w:ascii="Times New Roman" w:hAnsi="Times New Roman"/>
                <w:sz w:val="20"/>
              </w:rPr>
              <w:t>Julie Feder</w:t>
            </w:r>
          </w:p>
        </w:tc>
        <w:tc>
          <w:tcPr>
            <w:tcW w:w="123" w:type="dxa"/>
            <w:tcBorders/>
            <w:vAlign w:val="bottom"/>
          </w:tcPr>
          <w:p>
            <w:pPr>
              <w:pStyle w:val="TableContents"/>
              <w:bidi w:val="0"/>
              <w:spacing w:before="0" w:after="283"/>
              <w:jc w:val="left"/>
              <w:rPr/>
            </w:pPr>
            <w:r>
              <w:rPr/>
              <w:t>  </w:t>
            </w:r>
          </w:p>
        </w:tc>
        <w:tc>
          <w:tcPr>
            <w:tcW w:w="4444"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w:t>
            </w:r>
            <w:r>
              <w:rPr>
                <w:rFonts w:ascii="Times New Roman" w:hAnsi="Times New Roman"/>
                <w:i/>
                <w:sz w:val="20"/>
              </w:rPr>
              <w:t>Principal Financial Officer</w:t>
            </w:r>
            <w:r>
              <w:rPr>
                <w:rFonts w:ascii="Times New Roman" w:hAnsi="Times New Roman"/>
                <w:sz w:val="20"/>
              </w:rPr>
              <w:t>)</w:t>
            </w:r>
          </w:p>
        </w:tc>
        <w:tc>
          <w:tcPr>
            <w:tcW w:w="108" w:type="dxa"/>
            <w:tcBorders/>
            <w:vAlign w:val="bottom"/>
          </w:tcPr>
          <w:p>
            <w:pPr>
              <w:pStyle w:val="TableContents"/>
              <w:bidi w:val="0"/>
              <w:spacing w:before="0" w:after="283"/>
              <w:jc w:val="left"/>
              <w:rPr/>
            </w:pPr>
            <w:r>
              <w:rPr/>
              <w:t> </w:t>
            </w:r>
          </w:p>
        </w:tc>
        <w:tc>
          <w:tcPr>
            <w:tcW w:w="1744" w:type="dxa"/>
            <w:tcBorders/>
          </w:tcPr>
          <w:p>
            <w:pPr>
              <w:pStyle w:val="TableContents"/>
              <w:bidi w:val="0"/>
              <w:spacing w:before="0" w:after="283"/>
              <w:jc w:val="center"/>
              <w:rPr/>
            </w:pPr>
            <w:r>
              <w:rPr/>
              <w:t>August 3, 2026</w:t>
            </w:r>
          </w:p>
        </w:tc>
      </w:tr>
      <w:tr>
        <w:trPr>
          <w:trHeight w:val="240" w:hRule="atLeast"/>
        </w:trPr>
        <w:tc>
          <w:tcPr>
            <w:tcW w:w="3786" w:type="dxa"/>
            <w:tcBorders/>
            <w:vAlign w:val="center"/>
          </w:tcPr>
          <w:p>
            <w:pPr>
              <w:pStyle w:val="TableContents"/>
              <w:bidi w:val="0"/>
              <w:spacing w:before="0" w:after="283"/>
              <w:jc w:val="left"/>
              <w:rPr>
                <w:sz w:val="4"/>
                <w:szCs w:val="4"/>
              </w:rPr>
            </w:pPr>
            <w:r>
              <w:rPr>
                <w:sz w:val="4"/>
                <w:szCs w:val="4"/>
              </w:rPr>
            </w:r>
          </w:p>
        </w:tc>
        <w:tc>
          <w:tcPr>
            <w:tcW w:w="4567" w:type="dxa"/>
            <w:gridSpan w:val="2"/>
            <w:tcBorders/>
            <w:vAlign w:val="center"/>
          </w:tcPr>
          <w:p>
            <w:pPr>
              <w:pStyle w:val="TableContents"/>
              <w:bidi w:val="0"/>
              <w:spacing w:before="0" w:after="283"/>
              <w:jc w:val="left"/>
              <w:rPr>
                <w:sz w:val="4"/>
                <w:szCs w:val="4"/>
              </w:rPr>
            </w:pPr>
            <w:r>
              <w:rPr>
                <w:sz w:val="4"/>
                <w:szCs w:val="4"/>
              </w:rPr>
            </w:r>
          </w:p>
        </w:tc>
        <w:tc>
          <w:tcPr>
            <w:tcW w:w="1852" w:type="dxa"/>
            <w:gridSpan w:val="2"/>
            <w:tcBorders/>
            <w:vAlign w:val="center"/>
          </w:tcPr>
          <w:p>
            <w:pPr>
              <w:pStyle w:val="TableContents"/>
              <w:bidi w:val="0"/>
              <w:spacing w:before="0" w:after="283"/>
              <w:jc w:val="left"/>
              <w:rPr>
                <w:sz w:val="4"/>
                <w:szCs w:val="4"/>
              </w:rPr>
            </w:pPr>
            <w:r>
              <w:rPr>
                <w:sz w:val="4"/>
                <w:szCs w:val="4"/>
              </w:rPr>
            </w:r>
          </w:p>
        </w:tc>
      </w:tr>
      <w:tr>
        <w:trPr/>
        <w:tc>
          <w:tcPr>
            <w:tcW w:w="37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Maria Fardis</w:t>
            </w:r>
          </w:p>
          <w:p>
            <w:pPr>
              <w:pStyle w:val="TableContents"/>
              <w:bidi w:val="0"/>
              <w:spacing w:before="0" w:after="20"/>
              <w:jc w:val="left"/>
              <w:rPr>
                <w:rFonts w:ascii="Times New Roman" w:hAnsi="Times New Roman"/>
                <w:sz w:val="20"/>
              </w:rPr>
            </w:pPr>
            <w:r>
              <w:rPr>
                <w:rFonts w:ascii="Times New Roman" w:hAnsi="Times New Roman"/>
                <w:sz w:val="20"/>
              </w:rPr>
              <w:t>Maria Fardis</w:t>
            </w:r>
          </w:p>
        </w:tc>
        <w:tc>
          <w:tcPr>
            <w:tcW w:w="123" w:type="dxa"/>
            <w:tcBorders/>
            <w:vAlign w:val="bottom"/>
          </w:tcPr>
          <w:p>
            <w:pPr>
              <w:pStyle w:val="TableContents"/>
              <w:bidi w:val="0"/>
              <w:spacing w:before="0" w:after="283"/>
              <w:jc w:val="left"/>
              <w:rPr/>
            </w:pPr>
            <w:r>
              <w:rPr/>
              <w:t>  </w:t>
            </w:r>
          </w:p>
        </w:tc>
        <w:tc>
          <w:tcPr>
            <w:tcW w:w="4444" w:type="dxa"/>
            <w:tcBorders/>
          </w:tcPr>
          <w:p>
            <w:pPr>
              <w:pStyle w:val="TableContents"/>
              <w:bidi w:val="0"/>
              <w:spacing w:before="0" w:after="283"/>
              <w:jc w:val="center"/>
              <w:rPr/>
            </w:pPr>
            <w:r>
              <w:rPr/>
              <w:t>Chairperson</w:t>
            </w:r>
          </w:p>
        </w:tc>
        <w:tc>
          <w:tcPr>
            <w:tcW w:w="108" w:type="dxa"/>
            <w:tcBorders/>
            <w:vAlign w:val="bottom"/>
          </w:tcPr>
          <w:p>
            <w:pPr>
              <w:pStyle w:val="TableContents"/>
              <w:bidi w:val="0"/>
              <w:spacing w:before="0" w:after="283"/>
              <w:jc w:val="left"/>
              <w:rPr/>
            </w:pPr>
            <w:r>
              <w:rPr/>
              <w:t> </w:t>
            </w:r>
          </w:p>
        </w:tc>
        <w:tc>
          <w:tcPr>
            <w:tcW w:w="1744" w:type="dxa"/>
            <w:tcBorders/>
          </w:tcPr>
          <w:p>
            <w:pPr>
              <w:pStyle w:val="TableContents"/>
              <w:bidi w:val="0"/>
              <w:spacing w:before="0" w:after="283"/>
              <w:jc w:val="center"/>
              <w:rPr/>
            </w:pPr>
            <w:r>
              <w:rPr/>
              <w:t>August 3, 2026</w:t>
            </w:r>
          </w:p>
        </w:tc>
      </w:tr>
      <w:tr>
        <w:trPr>
          <w:trHeight w:val="240" w:hRule="atLeast"/>
        </w:trPr>
        <w:tc>
          <w:tcPr>
            <w:tcW w:w="3786" w:type="dxa"/>
            <w:tcBorders/>
            <w:vAlign w:val="center"/>
          </w:tcPr>
          <w:p>
            <w:pPr>
              <w:pStyle w:val="TableContents"/>
              <w:bidi w:val="0"/>
              <w:spacing w:before="0" w:after="283"/>
              <w:jc w:val="left"/>
              <w:rPr>
                <w:sz w:val="4"/>
                <w:szCs w:val="4"/>
              </w:rPr>
            </w:pPr>
            <w:r>
              <w:rPr>
                <w:sz w:val="4"/>
                <w:szCs w:val="4"/>
              </w:rPr>
            </w:r>
          </w:p>
        </w:tc>
        <w:tc>
          <w:tcPr>
            <w:tcW w:w="4567" w:type="dxa"/>
            <w:gridSpan w:val="2"/>
            <w:tcBorders/>
            <w:vAlign w:val="center"/>
          </w:tcPr>
          <w:p>
            <w:pPr>
              <w:pStyle w:val="TableContents"/>
              <w:bidi w:val="0"/>
              <w:spacing w:before="0" w:after="283"/>
              <w:jc w:val="left"/>
              <w:rPr>
                <w:sz w:val="4"/>
                <w:szCs w:val="4"/>
              </w:rPr>
            </w:pPr>
            <w:r>
              <w:rPr>
                <w:sz w:val="4"/>
                <w:szCs w:val="4"/>
              </w:rPr>
            </w:r>
          </w:p>
        </w:tc>
        <w:tc>
          <w:tcPr>
            <w:tcW w:w="1852" w:type="dxa"/>
            <w:gridSpan w:val="2"/>
            <w:tcBorders/>
            <w:vAlign w:val="center"/>
          </w:tcPr>
          <w:p>
            <w:pPr>
              <w:pStyle w:val="TableContents"/>
              <w:bidi w:val="0"/>
              <w:spacing w:before="0" w:after="283"/>
              <w:jc w:val="left"/>
              <w:rPr>
                <w:sz w:val="4"/>
                <w:szCs w:val="4"/>
              </w:rPr>
            </w:pPr>
            <w:r>
              <w:rPr>
                <w:sz w:val="4"/>
                <w:szCs w:val="4"/>
              </w:rPr>
            </w:r>
          </w:p>
        </w:tc>
      </w:tr>
      <w:tr>
        <w:trPr/>
        <w:tc>
          <w:tcPr>
            <w:tcW w:w="37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Peter Barrett</w:t>
            </w:r>
          </w:p>
          <w:p>
            <w:pPr>
              <w:pStyle w:val="TableContents"/>
              <w:bidi w:val="0"/>
              <w:spacing w:before="0" w:after="20"/>
              <w:jc w:val="left"/>
              <w:rPr>
                <w:rFonts w:ascii="Times New Roman" w:hAnsi="Times New Roman"/>
                <w:sz w:val="20"/>
              </w:rPr>
            </w:pPr>
            <w:r>
              <w:rPr>
                <w:rFonts w:ascii="Times New Roman" w:hAnsi="Times New Roman"/>
                <w:sz w:val="20"/>
              </w:rPr>
              <w:t>Peter Barrett</w:t>
            </w:r>
          </w:p>
        </w:tc>
        <w:tc>
          <w:tcPr>
            <w:tcW w:w="123" w:type="dxa"/>
            <w:tcBorders/>
            <w:vAlign w:val="bottom"/>
          </w:tcPr>
          <w:p>
            <w:pPr>
              <w:pStyle w:val="TableContents"/>
              <w:bidi w:val="0"/>
              <w:spacing w:before="0" w:after="283"/>
              <w:jc w:val="left"/>
              <w:rPr/>
            </w:pPr>
            <w:r>
              <w:rPr/>
              <w:t>  </w:t>
            </w:r>
          </w:p>
        </w:tc>
        <w:tc>
          <w:tcPr>
            <w:tcW w:w="4444" w:type="dxa"/>
            <w:tcBorders/>
          </w:tcPr>
          <w:p>
            <w:pPr>
              <w:pStyle w:val="TableContents"/>
              <w:bidi w:val="0"/>
              <w:spacing w:before="0" w:after="283"/>
              <w:jc w:val="center"/>
              <w:rPr/>
            </w:pPr>
            <w:r>
              <w:rPr/>
              <w:t>Director</w:t>
            </w:r>
          </w:p>
        </w:tc>
        <w:tc>
          <w:tcPr>
            <w:tcW w:w="108" w:type="dxa"/>
            <w:tcBorders/>
            <w:vAlign w:val="bottom"/>
          </w:tcPr>
          <w:p>
            <w:pPr>
              <w:pStyle w:val="TableContents"/>
              <w:bidi w:val="0"/>
              <w:spacing w:before="0" w:after="283"/>
              <w:jc w:val="left"/>
              <w:rPr/>
            </w:pPr>
            <w:r>
              <w:rPr/>
              <w:t> </w:t>
            </w:r>
          </w:p>
        </w:tc>
        <w:tc>
          <w:tcPr>
            <w:tcW w:w="1744" w:type="dxa"/>
            <w:tcBorders/>
          </w:tcPr>
          <w:p>
            <w:pPr>
              <w:pStyle w:val="TableContents"/>
              <w:bidi w:val="0"/>
              <w:spacing w:before="0" w:after="283"/>
              <w:jc w:val="center"/>
              <w:rPr/>
            </w:pPr>
            <w:r>
              <w:rPr/>
              <w:t>August 3, 2026</w:t>
            </w:r>
          </w:p>
        </w:tc>
      </w:tr>
      <w:tr>
        <w:trPr>
          <w:trHeight w:val="240" w:hRule="atLeast"/>
        </w:trPr>
        <w:tc>
          <w:tcPr>
            <w:tcW w:w="3786" w:type="dxa"/>
            <w:tcBorders/>
            <w:vAlign w:val="center"/>
          </w:tcPr>
          <w:p>
            <w:pPr>
              <w:pStyle w:val="TableContents"/>
              <w:bidi w:val="0"/>
              <w:spacing w:before="0" w:after="283"/>
              <w:jc w:val="left"/>
              <w:rPr>
                <w:sz w:val="4"/>
                <w:szCs w:val="4"/>
              </w:rPr>
            </w:pPr>
            <w:r>
              <w:rPr>
                <w:sz w:val="4"/>
                <w:szCs w:val="4"/>
              </w:rPr>
            </w:r>
          </w:p>
        </w:tc>
        <w:tc>
          <w:tcPr>
            <w:tcW w:w="4567" w:type="dxa"/>
            <w:gridSpan w:val="2"/>
            <w:tcBorders/>
            <w:vAlign w:val="center"/>
          </w:tcPr>
          <w:p>
            <w:pPr>
              <w:pStyle w:val="TableContents"/>
              <w:bidi w:val="0"/>
              <w:spacing w:before="0" w:after="283"/>
              <w:jc w:val="left"/>
              <w:rPr>
                <w:sz w:val="4"/>
                <w:szCs w:val="4"/>
              </w:rPr>
            </w:pPr>
            <w:r>
              <w:rPr>
                <w:sz w:val="4"/>
                <w:szCs w:val="4"/>
              </w:rPr>
            </w:r>
          </w:p>
        </w:tc>
        <w:tc>
          <w:tcPr>
            <w:tcW w:w="1852" w:type="dxa"/>
            <w:gridSpan w:val="2"/>
            <w:tcBorders/>
            <w:vAlign w:val="center"/>
          </w:tcPr>
          <w:p>
            <w:pPr>
              <w:pStyle w:val="TableContents"/>
              <w:bidi w:val="0"/>
              <w:spacing w:before="0" w:after="283"/>
              <w:jc w:val="left"/>
              <w:rPr>
                <w:sz w:val="4"/>
                <w:szCs w:val="4"/>
              </w:rPr>
            </w:pPr>
            <w:r>
              <w:rPr>
                <w:sz w:val="4"/>
                <w:szCs w:val="4"/>
              </w:rPr>
            </w:r>
          </w:p>
        </w:tc>
      </w:tr>
      <w:tr>
        <w:trPr/>
        <w:tc>
          <w:tcPr>
            <w:tcW w:w="37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Heidi Hagen</w:t>
            </w:r>
          </w:p>
          <w:p>
            <w:pPr>
              <w:pStyle w:val="TableContents"/>
              <w:bidi w:val="0"/>
              <w:spacing w:before="0" w:after="20"/>
              <w:jc w:val="left"/>
              <w:rPr>
                <w:rFonts w:ascii="Times New Roman" w:hAnsi="Times New Roman"/>
                <w:sz w:val="20"/>
              </w:rPr>
            </w:pPr>
            <w:r>
              <w:rPr>
                <w:rFonts w:ascii="Times New Roman" w:hAnsi="Times New Roman"/>
                <w:sz w:val="20"/>
              </w:rPr>
              <w:t>Heidi Hagen</w:t>
            </w:r>
          </w:p>
        </w:tc>
        <w:tc>
          <w:tcPr>
            <w:tcW w:w="123" w:type="dxa"/>
            <w:tcBorders/>
            <w:vAlign w:val="bottom"/>
          </w:tcPr>
          <w:p>
            <w:pPr>
              <w:pStyle w:val="TableContents"/>
              <w:bidi w:val="0"/>
              <w:spacing w:before="0" w:after="283"/>
              <w:jc w:val="left"/>
              <w:rPr/>
            </w:pPr>
            <w:r>
              <w:rPr/>
              <w:t>  </w:t>
            </w:r>
          </w:p>
        </w:tc>
        <w:tc>
          <w:tcPr>
            <w:tcW w:w="4444" w:type="dxa"/>
            <w:tcBorders/>
          </w:tcPr>
          <w:p>
            <w:pPr>
              <w:pStyle w:val="TableContents"/>
              <w:bidi w:val="0"/>
              <w:spacing w:before="0" w:after="283"/>
              <w:jc w:val="center"/>
              <w:rPr/>
            </w:pPr>
            <w:r>
              <w:rPr/>
              <w:t>Director</w:t>
            </w:r>
          </w:p>
        </w:tc>
        <w:tc>
          <w:tcPr>
            <w:tcW w:w="108" w:type="dxa"/>
            <w:tcBorders/>
            <w:vAlign w:val="bottom"/>
          </w:tcPr>
          <w:p>
            <w:pPr>
              <w:pStyle w:val="TableContents"/>
              <w:bidi w:val="0"/>
              <w:spacing w:before="0" w:after="283"/>
              <w:jc w:val="left"/>
              <w:rPr/>
            </w:pPr>
            <w:r>
              <w:rPr/>
              <w:t> </w:t>
            </w:r>
          </w:p>
        </w:tc>
        <w:tc>
          <w:tcPr>
            <w:tcW w:w="1744" w:type="dxa"/>
            <w:tcBorders/>
          </w:tcPr>
          <w:p>
            <w:pPr>
              <w:pStyle w:val="TableContents"/>
              <w:bidi w:val="0"/>
              <w:spacing w:before="0" w:after="283"/>
              <w:jc w:val="center"/>
              <w:rPr/>
            </w:pPr>
            <w:r>
              <w:rPr/>
              <w:t>August 3, 2026</w:t>
            </w:r>
          </w:p>
        </w:tc>
      </w:tr>
      <w:tr>
        <w:trPr>
          <w:trHeight w:val="240" w:hRule="atLeast"/>
        </w:trPr>
        <w:tc>
          <w:tcPr>
            <w:tcW w:w="3786" w:type="dxa"/>
            <w:tcBorders/>
            <w:vAlign w:val="center"/>
          </w:tcPr>
          <w:p>
            <w:pPr>
              <w:pStyle w:val="TableContents"/>
              <w:bidi w:val="0"/>
              <w:spacing w:before="0" w:after="283"/>
              <w:jc w:val="left"/>
              <w:rPr>
                <w:sz w:val="4"/>
                <w:szCs w:val="4"/>
              </w:rPr>
            </w:pPr>
            <w:r>
              <w:rPr>
                <w:sz w:val="4"/>
                <w:szCs w:val="4"/>
              </w:rPr>
            </w:r>
          </w:p>
        </w:tc>
        <w:tc>
          <w:tcPr>
            <w:tcW w:w="4567" w:type="dxa"/>
            <w:gridSpan w:val="2"/>
            <w:tcBorders/>
            <w:vAlign w:val="center"/>
          </w:tcPr>
          <w:p>
            <w:pPr>
              <w:pStyle w:val="TableContents"/>
              <w:bidi w:val="0"/>
              <w:spacing w:before="0" w:after="283"/>
              <w:jc w:val="left"/>
              <w:rPr>
                <w:sz w:val="4"/>
                <w:szCs w:val="4"/>
              </w:rPr>
            </w:pPr>
            <w:r>
              <w:rPr>
                <w:sz w:val="4"/>
                <w:szCs w:val="4"/>
              </w:rPr>
            </w:r>
          </w:p>
        </w:tc>
        <w:tc>
          <w:tcPr>
            <w:tcW w:w="1852" w:type="dxa"/>
            <w:gridSpan w:val="2"/>
            <w:tcBorders/>
            <w:vAlign w:val="center"/>
          </w:tcPr>
          <w:p>
            <w:pPr>
              <w:pStyle w:val="TableContents"/>
              <w:bidi w:val="0"/>
              <w:spacing w:before="0" w:after="283"/>
              <w:jc w:val="left"/>
              <w:rPr>
                <w:sz w:val="4"/>
                <w:szCs w:val="4"/>
              </w:rPr>
            </w:pPr>
            <w:r>
              <w:rPr>
                <w:sz w:val="4"/>
                <w:szCs w:val="4"/>
              </w:rPr>
            </w:r>
          </w:p>
        </w:tc>
      </w:tr>
      <w:tr>
        <w:trPr/>
        <w:tc>
          <w:tcPr>
            <w:tcW w:w="37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Matthew Norkunas</w:t>
            </w:r>
          </w:p>
          <w:p>
            <w:pPr>
              <w:pStyle w:val="TableContents"/>
              <w:bidi w:val="0"/>
              <w:spacing w:before="0" w:after="20"/>
              <w:jc w:val="left"/>
              <w:rPr>
                <w:rFonts w:ascii="Times New Roman" w:hAnsi="Times New Roman"/>
                <w:sz w:val="20"/>
              </w:rPr>
            </w:pPr>
            <w:r>
              <w:rPr>
                <w:rFonts w:ascii="Times New Roman" w:hAnsi="Times New Roman"/>
                <w:sz w:val="20"/>
              </w:rPr>
              <w:t>Matthew Norkunas</w:t>
            </w:r>
          </w:p>
        </w:tc>
        <w:tc>
          <w:tcPr>
            <w:tcW w:w="123" w:type="dxa"/>
            <w:tcBorders/>
            <w:vAlign w:val="bottom"/>
          </w:tcPr>
          <w:p>
            <w:pPr>
              <w:pStyle w:val="TableContents"/>
              <w:bidi w:val="0"/>
              <w:spacing w:before="0" w:after="283"/>
              <w:jc w:val="left"/>
              <w:rPr/>
            </w:pPr>
            <w:r>
              <w:rPr/>
              <w:t>  </w:t>
            </w:r>
          </w:p>
        </w:tc>
        <w:tc>
          <w:tcPr>
            <w:tcW w:w="4444" w:type="dxa"/>
            <w:tcBorders/>
          </w:tcPr>
          <w:p>
            <w:pPr>
              <w:pStyle w:val="TableContents"/>
              <w:bidi w:val="0"/>
              <w:spacing w:before="0" w:after="283"/>
              <w:jc w:val="center"/>
              <w:rPr/>
            </w:pPr>
            <w:r>
              <w:rPr/>
              <w:t>Director</w:t>
            </w:r>
          </w:p>
        </w:tc>
        <w:tc>
          <w:tcPr>
            <w:tcW w:w="108" w:type="dxa"/>
            <w:tcBorders/>
            <w:vAlign w:val="bottom"/>
          </w:tcPr>
          <w:p>
            <w:pPr>
              <w:pStyle w:val="TableContents"/>
              <w:bidi w:val="0"/>
              <w:spacing w:before="0" w:after="283"/>
              <w:jc w:val="left"/>
              <w:rPr/>
            </w:pPr>
            <w:r>
              <w:rPr/>
              <w:t> </w:t>
            </w:r>
          </w:p>
        </w:tc>
        <w:tc>
          <w:tcPr>
            <w:tcW w:w="1744" w:type="dxa"/>
            <w:tcBorders/>
          </w:tcPr>
          <w:p>
            <w:pPr>
              <w:pStyle w:val="TableContents"/>
              <w:bidi w:val="0"/>
              <w:spacing w:before="0" w:after="283"/>
              <w:jc w:val="center"/>
              <w:rPr/>
            </w:pPr>
            <w:r>
              <w:rPr/>
              <w:t>August 3, 2026</w:t>
            </w:r>
          </w:p>
        </w:tc>
      </w:tr>
      <w:tr>
        <w:trPr>
          <w:trHeight w:val="240" w:hRule="atLeast"/>
        </w:trPr>
        <w:tc>
          <w:tcPr>
            <w:tcW w:w="3786" w:type="dxa"/>
            <w:tcBorders/>
            <w:vAlign w:val="center"/>
          </w:tcPr>
          <w:p>
            <w:pPr>
              <w:pStyle w:val="TableContents"/>
              <w:bidi w:val="0"/>
              <w:spacing w:before="0" w:after="283"/>
              <w:jc w:val="left"/>
              <w:rPr>
                <w:sz w:val="4"/>
                <w:szCs w:val="4"/>
              </w:rPr>
            </w:pPr>
            <w:r>
              <w:rPr>
                <w:sz w:val="4"/>
                <w:szCs w:val="4"/>
              </w:rPr>
            </w:r>
          </w:p>
        </w:tc>
        <w:tc>
          <w:tcPr>
            <w:tcW w:w="4567" w:type="dxa"/>
            <w:gridSpan w:val="2"/>
            <w:tcBorders/>
            <w:vAlign w:val="center"/>
          </w:tcPr>
          <w:p>
            <w:pPr>
              <w:pStyle w:val="TableContents"/>
              <w:bidi w:val="0"/>
              <w:spacing w:before="0" w:after="283"/>
              <w:jc w:val="left"/>
              <w:rPr>
                <w:sz w:val="4"/>
                <w:szCs w:val="4"/>
              </w:rPr>
            </w:pPr>
            <w:r>
              <w:rPr>
                <w:sz w:val="4"/>
                <w:szCs w:val="4"/>
              </w:rPr>
            </w:r>
          </w:p>
        </w:tc>
        <w:tc>
          <w:tcPr>
            <w:tcW w:w="1852" w:type="dxa"/>
            <w:gridSpan w:val="2"/>
            <w:tcBorders/>
            <w:vAlign w:val="center"/>
          </w:tcPr>
          <w:p>
            <w:pPr>
              <w:pStyle w:val="TableContents"/>
              <w:bidi w:val="0"/>
              <w:spacing w:before="0" w:after="283"/>
              <w:jc w:val="left"/>
              <w:rPr>
                <w:sz w:val="4"/>
                <w:szCs w:val="4"/>
              </w:rPr>
            </w:pPr>
            <w:r>
              <w:rPr>
                <w:sz w:val="4"/>
                <w:szCs w:val="4"/>
              </w:rPr>
            </w:r>
          </w:p>
        </w:tc>
      </w:tr>
      <w:tr>
        <w:trPr/>
        <w:tc>
          <w:tcPr>
            <w:tcW w:w="37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Robert Ross</w:t>
            </w:r>
          </w:p>
          <w:p>
            <w:pPr>
              <w:pStyle w:val="TableContents"/>
              <w:bidi w:val="0"/>
              <w:spacing w:before="0" w:after="20"/>
              <w:jc w:val="left"/>
              <w:rPr>
                <w:rFonts w:ascii="Times New Roman" w:hAnsi="Times New Roman"/>
                <w:sz w:val="20"/>
              </w:rPr>
            </w:pPr>
            <w:r>
              <w:rPr>
                <w:rFonts w:ascii="Times New Roman" w:hAnsi="Times New Roman"/>
                <w:sz w:val="20"/>
              </w:rPr>
              <w:t>Robert Ross</w:t>
            </w:r>
          </w:p>
        </w:tc>
        <w:tc>
          <w:tcPr>
            <w:tcW w:w="123" w:type="dxa"/>
            <w:tcBorders/>
            <w:vAlign w:val="bottom"/>
          </w:tcPr>
          <w:p>
            <w:pPr>
              <w:pStyle w:val="TableContents"/>
              <w:bidi w:val="0"/>
              <w:spacing w:before="0" w:after="283"/>
              <w:jc w:val="left"/>
              <w:rPr/>
            </w:pPr>
            <w:r>
              <w:rPr/>
              <w:t>  </w:t>
            </w:r>
          </w:p>
        </w:tc>
        <w:tc>
          <w:tcPr>
            <w:tcW w:w="4444" w:type="dxa"/>
            <w:tcBorders/>
          </w:tcPr>
          <w:p>
            <w:pPr>
              <w:pStyle w:val="TableContents"/>
              <w:bidi w:val="0"/>
              <w:spacing w:before="0" w:after="283"/>
              <w:jc w:val="center"/>
              <w:rPr/>
            </w:pPr>
            <w:r>
              <w:rPr/>
              <w:t>Director</w:t>
            </w:r>
          </w:p>
        </w:tc>
        <w:tc>
          <w:tcPr>
            <w:tcW w:w="108" w:type="dxa"/>
            <w:tcBorders/>
            <w:vAlign w:val="bottom"/>
          </w:tcPr>
          <w:p>
            <w:pPr>
              <w:pStyle w:val="TableContents"/>
              <w:bidi w:val="0"/>
              <w:spacing w:before="0" w:after="283"/>
              <w:jc w:val="left"/>
              <w:rPr/>
            </w:pPr>
            <w:r>
              <w:rPr/>
              <w:t> </w:t>
            </w:r>
          </w:p>
        </w:tc>
        <w:tc>
          <w:tcPr>
            <w:tcW w:w="1744" w:type="dxa"/>
            <w:tcBorders/>
          </w:tcPr>
          <w:p>
            <w:pPr>
              <w:pStyle w:val="TableContents"/>
              <w:bidi w:val="0"/>
              <w:spacing w:before="0" w:after="283"/>
              <w:jc w:val="center"/>
              <w:rPr/>
            </w:pPr>
            <w:r>
              <w:rPr/>
              <w:t>August 3, 2026</w:t>
            </w:r>
          </w:p>
        </w:tc>
      </w:tr>
    </w:tbl>
    <w:p>
      <w:pPr>
        <w:pStyle w:val="TextBody"/>
        <w:bidi w:val="0"/>
        <w:spacing w:before="0" w:after="0"/>
        <w:jc w:val="right"/>
        <w:rPr>
          <w:rFonts w:ascii="Times New Roman" w:hAnsi="Times New Roman"/>
          <w:b/>
          <w:sz w:val="20"/>
        </w:rPr>
      </w:pPr>
      <w:bookmarkStart w:id="3" w:name="d105773dex51.htm"/>
      <w:bookmarkStart w:id="4" w:name="ksd105773dex51"/>
      <w:bookmarkEnd w:id="3"/>
      <w:bookmarkEnd w:id="4"/>
      <w:r>
        <w:rPr>
          <w:rFonts w:ascii="Times New Roman" w:hAnsi="Times New Roman"/>
          <w:b/>
          <w:sz w:val="20"/>
        </w:rPr>
        <w:t xml:space="preserve">Exhibit 5.1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August 3, 2026 </w:t>
      </w:r>
    </w:p>
    <w:p>
      <w:pPr>
        <w:pStyle w:val="TextBody"/>
        <w:bidi w:val="0"/>
        <w:spacing w:before="240" w:after="0"/>
        <w:jc w:val="left"/>
        <w:rPr>
          <w:rFonts w:ascii="Times New Roman" w:hAnsi="Times New Roman"/>
          <w:sz w:val="20"/>
        </w:rPr>
      </w:pPr>
      <w:r>
        <w:rPr>
          <w:rFonts w:ascii="Times New Roman" w:hAnsi="Times New Roman"/>
          <w:sz w:val="20"/>
        </w:rPr>
        <w:t xml:space="preserve">Obsidian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101 Lindenwood Drive, Suite 225 </w:t>
      </w:r>
    </w:p>
    <w:p>
      <w:pPr>
        <w:pStyle w:val="TextBody"/>
        <w:bidi w:val="0"/>
        <w:spacing w:before="0" w:after="0"/>
        <w:jc w:val="left"/>
        <w:rPr>
          <w:rFonts w:ascii="Times New Roman" w:hAnsi="Times New Roman"/>
          <w:sz w:val="20"/>
        </w:rPr>
      </w:pPr>
      <w:r>
        <w:rPr>
          <w:rFonts w:ascii="Times New Roman" w:hAnsi="Times New Roman"/>
          <w:sz w:val="20"/>
        </w:rPr>
        <w:t xml:space="preserve">Malvern, Pennsylvania 19355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Securities Being Registered under Registration Statement on Form S-8</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acted as your counsel in connection with your filing of a Registration Statement on Form S-8 (the “Registration Statement”) pursuant to the Securities Act of 1933, as amended (the “Securities Act”), on or about the date hereof relating to an aggregate of 4,928,416 shares (the “Shares”) of Common Stock, $0.001 par value per share (“Common Stock”), of Obsidian Therapeutics, Inc., a Delaware corporation (the “Company”), that may be issued pursuant to the Company’s 2016 Stock Option and Grant Plan, 2026 Equity Incentive Plan and 2026 Employee Stock Purchase Plan (collectively, the “Plans”). </w:t>
      </w:r>
    </w:p>
    <w:p>
      <w:pPr>
        <w:pStyle w:val="TextBody"/>
        <w:bidi w:val="0"/>
        <w:spacing w:before="240" w:after="0"/>
        <w:jc w:val="left"/>
        <w:rPr>
          <w:rFonts w:ascii="Times New Roman" w:hAnsi="Times New Roman"/>
          <w:sz w:val="20"/>
        </w:rPr>
      </w:pPr>
      <w:r>
        <w:rPr>
          <w:rFonts w:ascii="Times New Roman" w:hAnsi="Times New Roman"/>
          <w:sz w:val="20"/>
        </w:rPr>
        <w:t xml:space="preserve">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opinion set forth below, we have assumed that, at the time Shares are issued, the total number of then unissued Shares, when added to the number of shares of Common Stock issued, subscribed for, or otherwise committed to be issued, does not exceed the number of shares of Common Stock authorized by the Company’s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opinion set forth below is limited to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we are of the opinion that the Shares have been duly authorized and, when delivered against payment therefor in accordance with the terms of the Plans,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and the opinion it contains shall be interpreted in accordance with the Core Opinion Principles as published in 74 </w:t>
      </w:r>
      <w:r>
        <w:rPr>
          <w:rFonts w:ascii="Times New Roman" w:hAnsi="Times New Roman"/>
          <w:i/>
          <w:sz w:val="20"/>
        </w:rPr>
        <w:t>Business Lawyer</w:t>
      </w:r>
      <w:r>
        <w:rPr>
          <w:rFonts w:ascii="Times New Roman" w:hAnsi="Times New Roman"/>
          <w:sz w:val="20"/>
        </w:rPr>
        <w:t xml:space="preserve"> 815 (Summer 2019).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inclusion of this opinion as Exhibit 5.1 to the Registration Statement. In giving our consent, we do not admit that we are in the category of persons whose consent is required under Section 7 of the Securities Act or the rules and regulations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w:t>
            </w:r>
            <w:r>
              <w:rPr>
                <w:sz w:val="20"/>
              </w:rPr>
              <w:t>S</w:t>
            </w:r>
            <w:r>
              <w:rPr/>
              <w:t>/ G</w:t>
            </w:r>
            <w:r>
              <w:rPr>
                <w:sz w:val="20"/>
              </w:rPr>
              <w:t>OODWIN</w:t>
            </w:r>
            <w:r>
              <w:rPr/>
              <w:t xml:space="preserve"> P</w:t>
            </w:r>
            <w:r>
              <w:rPr>
                <w:sz w:val="20"/>
              </w:rPr>
              <w:t>ROCTER</w:t>
            </w:r>
            <w:r>
              <w:rPr/>
              <w:t xml:space="preserve"> LLP</w:t>
            </w:r>
          </w:p>
        </w:tc>
      </w:tr>
      <w:tr>
        <w:trPr/>
        <w:tc>
          <w:tcPr>
            <w:tcW w:w="4082" w:type="dxa"/>
            <w:tcBorders/>
          </w:tcPr>
          <w:p>
            <w:pPr>
              <w:pStyle w:val="TableContents"/>
              <w:bidi w:val="0"/>
              <w:spacing w:before="0" w:after="283"/>
              <w:jc w:val="left"/>
              <w:rPr/>
            </w:pPr>
            <w:r>
              <w:rPr/>
              <w:t xml:space="preserve">GOODWIN PROCTER </w:t>
            </w:r>
            <w:r>
              <w:rPr>
                <w:sz w:val="20"/>
              </w:rPr>
              <w:t>LLP</w:t>
            </w:r>
          </w:p>
        </w:tc>
      </w:tr>
    </w:tbl>
    <w:p>
      <w:pPr>
        <w:pStyle w:val="TextBody"/>
        <w:bidi w:val="0"/>
        <w:spacing w:before="0" w:after="0"/>
        <w:jc w:val="right"/>
        <w:rPr>
          <w:rFonts w:ascii="Times New Roman" w:hAnsi="Times New Roman"/>
          <w:b/>
          <w:sz w:val="20"/>
        </w:rPr>
      </w:pPr>
      <w:bookmarkStart w:id="5" w:name="d105773dex231.htm"/>
      <w:bookmarkStart w:id="6" w:name="ksd105773dex231"/>
      <w:bookmarkEnd w:id="5"/>
      <w:bookmarkEnd w:id="6"/>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 dated April 22, 2026, with respect to the consolidated financial statements of Obsidian Therapeutics, Inc. and subsidiary,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 KPMG LLP </w:t>
      </w:r>
    </w:p>
    <w:p>
      <w:pPr>
        <w:pStyle w:val="TextBody"/>
        <w:bidi w:val="0"/>
        <w:spacing w:before="24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August 3, 2026 </w:t>
      </w:r>
    </w:p>
    <w:p>
      <w:pPr>
        <w:pStyle w:val="TextBody"/>
        <w:bidi w:val="0"/>
        <w:spacing w:before="0" w:after="0"/>
        <w:jc w:val="right"/>
        <w:rPr>
          <w:rFonts w:ascii="Times New Roman" w:hAnsi="Times New Roman"/>
          <w:b/>
          <w:sz w:val="20"/>
        </w:rPr>
      </w:pPr>
      <w:bookmarkStart w:id="7" w:name="d105773dex991.htm"/>
      <w:bookmarkStart w:id="8" w:name="ksd105773dex991"/>
      <w:bookmarkEnd w:id="7"/>
      <w:bookmarkEnd w:id="8"/>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OBSIDIAN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2016 STOCK OPTION AND GRANT PLAN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GENERAL PURPOSE OF THE PLAN; 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name of the plan is the Obsidian Therapeutics, Inc. 2016 Stock Option and Grant Plan (the “</w:t>
      </w:r>
      <w:r>
        <w:rPr>
          <w:rFonts w:ascii="Times New Roman" w:hAnsi="Times New Roman"/>
          <w:i/>
          <w:sz w:val="20"/>
        </w:rPr>
        <w:t>Plan</w:t>
      </w:r>
      <w:r>
        <w:rPr>
          <w:rFonts w:ascii="Times New Roman" w:hAnsi="Times New Roman"/>
          <w:sz w:val="20"/>
        </w:rPr>
        <w:t>”). The purpose of the Plan is to encourage and enable the officers, employees, directors, Consultants and other key persons of Obsidian Therapeutics, Inc., a Delaware corporation (including any successor entity, the “</w:t>
      </w:r>
      <w:r>
        <w:rPr>
          <w:rFonts w:ascii="Times New Roman" w:hAnsi="Times New Roman"/>
          <w:i/>
          <w:sz w:val="20"/>
        </w:rPr>
        <w:t>Company</w:t>
      </w:r>
      <w:r>
        <w:rPr>
          <w:rFonts w:ascii="Times New Roman" w:hAnsi="Times New Roman"/>
          <w:sz w:val="20"/>
        </w:rPr>
        <w:t xml:space="preserve">”) and its Subsidiaries, upon whose judgment, initiative and efforts the Company largely depends for the successful conduct of its business, to acquire a proprietary interest in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terms shall be defined as set forth below: </w:t>
      </w:r>
    </w:p>
    <w:p>
      <w:pPr>
        <w:pStyle w:val="TextBody"/>
        <w:bidi w:val="0"/>
        <w:spacing w:before="240" w:after="0"/>
        <w:jc w:val="left"/>
        <w:rPr/>
      </w:pPr>
      <w:r>
        <w:rPr/>
        <w:t>“</w:t>
      </w:r>
      <w:r>
        <w:rPr>
          <w:rFonts w:ascii="Times New Roman" w:hAnsi="Times New Roman"/>
          <w:i/>
          <w:sz w:val="20"/>
        </w:rPr>
        <w:t>Affiliate</w:t>
      </w:r>
      <w:r>
        <w:rPr>
          <w:rFonts w:ascii="Times New Roman" w:hAnsi="Times New Roman"/>
          <w:sz w:val="20"/>
        </w:rPr>
        <w:t xml:space="preserve">” of any Person means a Person that directly or indirectly, through one or more intermediaries, controls, is controlled by or is under common control with the first mentioned Person. A Person shall be deemed to control another Person if such first Person possesses directly or indirectly the power to direct, or cause the direction of, the management and policies of the second Person, whether through the ownership of voting securities, by contract or otherwise. </w:t>
      </w:r>
    </w:p>
    <w:p>
      <w:pPr>
        <w:pStyle w:val="TextBody"/>
        <w:bidi w:val="0"/>
        <w:spacing w:before="240" w:after="0"/>
        <w:jc w:val="left"/>
        <w:rPr/>
      </w:pPr>
      <w:r>
        <w:rPr/>
        <w:t>“</w:t>
      </w:r>
      <w:r>
        <w:rPr>
          <w:rFonts w:ascii="Times New Roman" w:hAnsi="Times New Roman"/>
          <w:i/>
          <w:sz w:val="20"/>
        </w:rPr>
        <w:t>Award</w:t>
      </w:r>
      <w:r>
        <w:rPr>
          <w:rFonts w:ascii="Times New Roman" w:hAnsi="Times New Roman"/>
          <w:sz w:val="20"/>
        </w:rPr>
        <w:t>” or “</w:t>
      </w:r>
      <w:r>
        <w:rPr>
          <w:rFonts w:ascii="Times New Roman" w:hAnsi="Times New Roman"/>
          <w:i/>
          <w:sz w:val="20"/>
        </w:rPr>
        <w:t>Awards</w:t>
      </w:r>
      <w:r>
        <w:rPr>
          <w:rFonts w:ascii="Times New Roman" w:hAnsi="Times New Roman"/>
          <w:sz w:val="20"/>
        </w:rPr>
        <w:t xml:space="preserve">”, except where referring to a particular category of grant under the Plan, shall include Incentive Stock Options, Non-Qualified Stock Options, Restricted Stock Awards, Unrestricted Stock Awards, Restricted Stock Units or any combination of the foregoing. </w:t>
      </w:r>
    </w:p>
    <w:p>
      <w:pPr>
        <w:pStyle w:val="TextBody"/>
        <w:bidi w:val="0"/>
        <w:spacing w:before="240" w:after="0"/>
        <w:jc w:val="left"/>
        <w:rPr/>
      </w:pPr>
      <w:r>
        <w:rPr/>
        <w:t>“</w:t>
      </w:r>
      <w:r>
        <w:rPr>
          <w:rFonts w:ascii="Times New Roman" w:hAnsi="Times New Roman"/>
          <w:i/>
          <w:sz w:val="20"/>
        </w:rPr>
        <w:t>Award Agreement</w:t>
      </w:r>
      <w:r>
        <w:rPr>
          <w:rFonts w:ascii="Times New Roman" w:hAnsi="Times New Roman"/>
          <w:sz w:val="20"/>
        </w:rPr>
        <w:t xml:space="preserve">” means a written or electronic agreement setting forth the terms and provisions applicable to an Award granted under the Plan. Each Award Agreement may contain terms and conditions in addition to those set forth in the Plan;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in the event of any conflict in the terms of the Plan and the Award Agreement, the terms of the Plan shall govern. </w:t>
      </w:r>
    </w:p>
    <w:p>
      <w:pPr>
        <w:pStyle w:val="TextBody"/>
        <w:bidi w:val="0"/>
        <w:spacing w:before="240" w:after="0"/>
        <w:jc w:val="left"/>
        <w:rPr/>
      </w:pPr>
      <w:r>
        <w:rPr/>
        <w:t>“</w:t>
      </w:r>
      <w:r>
        <w:rPr>
          <w:rFonts w:ascii="Times New Roman" w:hAnsi="Times New Roman"/>
          <w:i/>
          <w:sz w:val="20"/>
        </w:rPr>
        <w:t>Board</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i/>
          <w:sz w:val="20"/>
        </w:rPr>
        <w:t>Cause</w:t>
      </w:r>
      <w:r>
        <w:rPr>
          <w:rFonts w:ascii="Times New Roman" w:hAnsi="Times New Roman"/>
          <w:sz w:val="20"/>
        </w:rPr>
        <w:t>” shall have the meaning as set forth in the Award Agreement(s). In the case that any Award Agreement does not contain a definition of “</w:t>
      </w:r>
      <w:r>
        <w:rPr>
          <w:rFonts w:ascii="Times New Roman" w:hAnsi="Times New Roman"/>
          <w:i/>
          <w:sz w:val="20"/>
        </w:rPr>
        <w:t>Cause,</w:t>
      </w:r>
      <w:r>
        <w:rPr>
          <w:rFonts w:ascii="Times New Roman" w:hAnsi="Times New Roman"/>
          <w:sz w:val="20"/>
        </w:rPr>
        <w:t xml:space="preserve">” it shall mean (i) the grantee’s dishonest statements or acts with respect to the Company or any Affiliate of the Company, or any current or prospective customers, suppliers vendors or other third parties with which such entity does business; (ii) the grantee’s commission of (A) a felony or (B) any misdemeanor involving moral turpitude, deceit, dishonesty or fraud; (iii) the grantee’s failure to perform his assigned duties and responsibilities to the reasonable satisfaction of the Company which failure continues, in the reasonable judgment of the Company, after written notice given to the grantee by the Company; (iv) the grantee’s gross negligence, willful misconduct or insubordination with respect to the Company or any Affiliate of the Company; or (v) the grantee’s material violation of any provision of any agreement(s) between the grantee and the Company relating to noncompetition, nonsolicitation, nondisclosure and/or assignment of inventions.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Chief Executive Officer</w:t>
      </w:r>
      <w:r>
        <w:rPr>
          <w:rFonts w:ascii="Times New Roman" w:hAnsi="Times New Roman"/>
          <w:sz w:val="20"/>
        </w:rPr>
        <w:t xml:space="preserve">” means the Chief Executive Officer of the Company or, if there is no Chief Executive Officer, then the President of the Company. </w:t>
      </w:r>
    </w:p>
    <w:p>
      <w:pPr>
        <w:pStyle w:val="TextBody"/>
        <w:bidi w:val="0"/>
        <w:spacing w:before="240" w:after="0"/>
        <w:jc w:val="left"/>
        <w:rPr/>
      </w:pPr>
      <w:r>
        <w:rPr/>
        <w:t>“</w:t>
      </w:r>
      <w:r>
        <w:rPr>
          <w:rFonts w:ascii="Times New Roman" w:hAnsi="Times New Roman"/>
          <w:i/>
          <w:sz w:val="20"/>
        </w:rPr>
        <w:t>Code</w:t>
      </w:r>
      <w:r>
        <w:rPr>
          <w:rFonts w:ascii="Times New Roman" w:hAnsi="Times New Roman"/>
          <w:sz w:val="20"/>
        </w:rPr>
        <w:t xml:space="preserve">” means the Internal Revenue Code of 1986, as amended, and any successor Code, and related rules, regulations and interpretations. </w:t>
      </w:r>
    </w:p>
    <w:p>
      <w:pPr>
        <w:pStyle w:val="TextBody"/>
        <w:bidi w:val="0"/>
        <w:spacing w:before="240" w:after="0"/>
        <w:jc w:val="left"/>
        <w:rPr/>
      </w:pPr>
      <w:r>
        <w:rPr/>
        <w:t>“</w:t>
      </w:r>
      <w:r>
        <w:rPr>
          <w:rFonts w:ascii="Times New Roman" w:hAnsi="Times New Roman"/>
          <w:i/>
          <w:sz w:val="20"/>
        </w:rPr>
        <w:t>Committee</w:t>
      </w:r>
      <w:r>
        <w:rPr>
          <w:rFonts w:ascii="Times New Roman" w:hAnsi="Times New Roman"/>
          <w:sz w:val="20"/>
        </w:rPr>
        <w:t xml:space="preserve">” means the Committee of the Board referred to in Section 2. </w:t>
      </w:r>
    </w:p>
    <w:p>
      <w:pPr>
        <w:pStyle w:val="TextBody"/>
        <w:bidi w:val="0"/>
        <w:spacing w:before="240" w:after="0"/>
        <w:jc w:val="left"/>
        <w:rPr/>
      </w:pPr>
      <w:r>
        <w:rPr/>
        <w:t>“</w:t>
      </w:r>
      <w:r>
        <w:rPr>
          <w:rFonts w:ascii="Times New Roman" w:hAnsi="Times New Roman"/>
          <w:i/>
          <w:sz w:val="20"/>
        </w:rPr>
        <w:t>Consultant</w:t>
      </w:r>
      <w:r>
        <w:rPr>
          <w:rFonts w:ascii="Times New Roman" w:hAnsi="Times New Roman"/>
          <w:sz w:val="20"/>
        </w:rPr>
        <w:t xml:space="preserve">” means any natural person that provides bona fide services to he Company (including a Subsidiary), and such services are not in connection with the offer or sale of securities in a capital-raising transaction and do not directly or indirectly promote or maintain a market for the Company’s securities. </w:t>
      </w:r>
    </w:p>
    <w:p>
      <w:pPr>
        <w:pStyle w:val="TextBody"/>
        <w:bidi w:val="0"/>
        <w:spacing w:before="240" w:after="0"/>
        <w:jc w:val="left"/>
        <w:rPr/>
      </w:pPr>
      <w:r>
        <w:rPr/>
        <w:t>“</w:t>
      </w:r>
      <w:r>
        <w:rPr>
          <w:rFonts w:ascii="Times New Roman" w:hAnsi="Times New Roman"/>
          <w:i/>
          <w:sz w:val="20"/>
        </w:rPr>
        <w:t>Disability</w:t>
      </w:r>
      <w:r>
        <w:rPr>
          <w:rFonts w:ascii="Times New Roman" w:hAnsi="Times New Roman"/>
          <w:sz w:val="20"/>
        </w:rPr>
        <w:t>” means “</w:t>
      </w:r>
      <w:r>
        <w:rPr>
          <w:rFonts w:ascii="Times New Roman" w:hAnsi="Times New Roman"/>
          <w:i/>
          <w:sz w:val="20"/>
        </w:rPr>
        <w:t>disability</w:t>
      </w:r>
      <w:r>
        <w:rPr>
          <w:rFonts w:ascii="Times New Roman" w:hAnsi="Times New Roman"/>
          <w:sz w:val="20"/>
        </w:rPr>
        <w:t xml:space="preserve">” as defined in Section 422(c) of the Code. </w:t>
      </w:r>
    </w:p>
    <w:p>
      <w:pPr>
        <w:pStyle w:val="TextBody"/>
        <w:bidi w:val="0"/>
        <w:spacing w:before="240" w:after="0"/>
        <w:jc w:val="left"/>
        <w:rPr/>
      </w:pPr>
      <w:r>
        <w:rPr/>
        <w:t>“</w:t>
      </w:r>
      <w:r>
        <w:rPr>
          <w:rFonts w:ascii="Times New Roman" w:hAnsi="Times New Roman"/>
          <w:i/>
          <w:sz w:val="20"/>
        </w:rPr>
        <w:t>Effective Date</w:t>
      </w:r>
      <w:r>
        <w:rPr>
          <w:rFonts w:ascii="Times New Roman" w:hAnsi="Times New Roman"/>
          <w:sz w:val="20"/>
        </w:rPr>
        <w:t xml:space="preserve">” means the date on which the Plan is adopted as set forth on the final page of the Plan. </w:t>
      </w:r>
    </w:p>
    <w:p>
      <w:pPr>
        <w:pStyle w:val="TextBody"/>
        <w:bidi w:val="0"/>
        <w:spacing w:before="240" w:after="0"/>
        <w:jc w:val="left"/>
        <w:rPr/>
      </w:pPr>
      <w:r>
        <w:rPr/>
        <w:t>“</w:t>
      </w:r>
      <w:r>
        <w:rPr>
          <w:rFonts w:ascii="Times New Roman" w:hAnsi="Times New Roman"/>
          <w:i/>
          <w:sz w:val="20"/>
        </w:rPr>
        <w:t>Exchange Act</w:t>
      </w:r>
      <w:r>
        <w:rPr>
          <w:rFonts w:ascii="Times New Roman" w:hAnsi="Times New Roman"/>
          <w:sz w:val="20"/>
        </w:rPr>
        <w:t xml:space="preserve">” means the Securities Exchange Act of 1934, as amended, and the rules and regulations thereunder. </w:t>
      </w:r>
    </w:p>
    <w:p>
      <w:pPr>
        <w:pStyle w:val="TextBody"/>
        <w:bidi w:val="0"/>
        <w:spacing w:before="240" w:after="0"/>
        <w:jc w:val="left"/>
        <w:rPr/>
      </w:pPr>
      <w:r>
        <w:rPr/>
        <w:t>“</w:t>
      </w:r>
      <w:r>
        <w:rPr>
          <w:rFonts w:ascii="Times New Roman" w:hAnsi="Times New Roman"/>
          <w:i/>
          <w:sz w:val="20"/>
        </w:rPr>
        <w:t>Fair Market Value</w:t>
      </w:r>
      <w:r>
        <w:rPr>
          <w:rFonts w:ascii="Times New Roman" w:hAnsi="Times New Roman"/>
          <w:sz w:val="20"/>
        </w:rPr>
        <w:t>” of the Stock on any given date means the fair market value of the Stock determined in good faith by the Committee based on the reasonable application of a reasonable valuation method not inconsistent with Section 1409A of the Code. If the Stock is admitted to trade on a national securities exchange, the determination shall be made by reference to the closing price reported on such exchange. If there is no closing price for such date, the determination shall be made y reference to the last ate preceding such date for which there is a closing price. If the date for which Fair Market Value is determined is the first day when trading prices for the Stock are reported on a national securities exchange, the Fair Market Value shall be the “</w:t>
      </w:r>
      <w:r>
        <w:rPr>
          <w:rFonts w:ascii="Times New Roman" w:hAnsi="Times New Roman"/>
          <w:i/>
          <w:sz w:val="20"/>
        </w:rPr>
        <w:t>Price to the Public</w:t>
      </w:r>
      <w:r>
        <w:rPr>
          <w:rFonts w:ascii="Times New Roman" w:hAnsi="Times New Roman"/>
          <w:sz w:val="20"/>
        </w:rPr>
        <w:t xml:space="preserve">” (or equivalent set forth on the cover page for the final prospectus relating to the Company’s Initial Public Offering.) </w:t>
      </w:r>
    </w:p>
    <w:p>
      <w:pPr>
        <w:pStyle w:val="TextBody"/>
        <w:bidi w:val="0"/>
        <w:spacing w:before="240" w:after="0"/>
        <w:jc w:val="left"/>
        <w:rPr/>
      </w:pPr>
      <w:r>
        <w:rPr/>
        <w:t>“</w:t>
      </w:r>
      <w:r>
        <w:rPr>
          <w:rFonts w:ascii="Times New Roman" w:hAnsi="Times New Roman"/>
          <w:i/>
          <w:sz w:val="20"/>
        </w:rPr>
        <w:t>Good Reason</w:t>
      </w:r>
      <w:r>
        <w:rPr>
          <w:rFonts w:ascii="Times New Roman" w:hAnsi="Times New Roman"/>
          <w:sz w:val="20"/>
        </w:rPr>
        <w:t>” shall have the meaning as set forth in the Award Agreement(s). In the case that any Award Agreement does not contain a definition of “</w:t>
      </w:r>
      <w:r>
        <w:rPr>
          <w:rFonts w:ascii="Times New Roman" w:hAnsi="Times New Roman"/>
          <w:i/>
          <w:sz w:val="20"/>
        </w:rPr>
        <w:t>Good Reason,</w:t>
      </w:r>
      <w:r>
        <w:rPr>
          <w:rFonts w:ascii="Times New Roman" w:hAnsi="Times New Roman"/>
          <w:sz w:val="20"/>
        </w:rPr>
        <w:t xml:space="preserve">” it shall mean (i) a material diminution in the grantee’s base salary except for across-the-board salary reductions similarly affecting al or substantially all similarly situated employees of the Company or (ii) a change of more than 50 miles i he geographic location at which the grantee provides services to the Company, so long as the grantee provides at least 90 days notice to the Company following he initial occurrence of any such event and the Company fails to cure such event within 30 days thereafter. </w:t>
      </w:r>
    </w:p>
    <w:p>
      <w:pPr>
        <w:pStyle w:val="TextBody"/>
        <w:bidi w:val="0"/>
        <w:spacing w:before="240" w:after="0"/>
        <w:jc w:val="left"/>
        <w:rPr/>
      </w:pPr>
      <w:r>
        <w:rPr/>
        <w:t>“</w:t>
      </w:r>
      <w:r>
        <w:rPr>
          <w:rFonts w:ascii="Times New Roman" w:hAnsi="Times New Roman"/>
          <w:i/>
          <w:sz w:val="20"/>
        </w:rPr>
        <w:t>Grant Date</w:t>
      </w:r>
      <w:r>
        <w:rPr>
          <w:rFonts w:ascii="Times New Roman" w:hAnsi="Times New Roman"/>
          <w:sz w:val="20"/>
        </w:rPr>
        <w:t xml:space="preserve">” means the date that the Committee designates in its approval of an Award in accordance with applicable law as the date on which the Award is granted, which date may not precede the date of such Committee approval. </w:t>
      </w:r>
    </w:p>
    <w:p>
      <w:pPr>
        <w:pStyle w:val="TextBody"/>
        <w:bidi w:val="0"/>
        <w:spacing w:before="240" w:after="0"/>
        <w:jc w:val="left"/>
        <w:rPr/>
      </w:pPr>
      <w:r>
        <w:rPr/>
        <w:t>“</w:t>
      </w:r>
      <w:r>
        <w:rPr>
          <w:rFonts w:ascii="Times New Roman" w:hAnsi="Times New Roman"/>
          <w:i/>
          <w:sz w:val="20"/>
        </w:rPr>
        <w:t>Holder</w:t>
      </w:r>
      <w:r>
        <w:rPr>
          <w:rFonts w:ascii="Times New Roman" w:hAnsi="Times New Roman"/>
          <w:sz w:val="20"/>
        </w:rPr>
        <w:t xml:space="preserve">” means, with respect to an Award or any Shares, the Person holding such Award or Shares, including the initial recipient of the Award or any Permitted Transferee.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Incentive Stock Option</w:t>
      </w:r>
      <w:r>
        <w:rPr>
          <w:rFonts w:ascii="Times New Roman" w:hAnsi="Times New Roman"/>
          <w:sz w:val="20"/>
        </w:rPr>
        <w:t>” means any Stock Option designated and qualified as an “</w:t>
      </w:r>
      <w:r>
        <w:rPr>
          <w:rFonts w:ascii="Times New Roman" w:hAnsi="Times New Roman"/>
          <w:i/>
          <w:sz w:val="20"/>
        </w:rPr>
        <w:t>incentive stock option</w:t>
      </w:r>
      <w:r>
        <w:rPr>
          <w:rFonts w:ascii="Times New Roman" w:hAnsi="Times New Roman"/>
          <w:sz w:val="20"/>
        </w:rPr>
        <w:t xml:space="preserve">” as defined in Section 422 of the Code. </w:t>
      </w:r>
    </w:p>
    <w:p>
      <w:pPr>
        <w:pStyle w:val="TextBody"/>
        <w:bidi w:val="0"/>
        <w:spacing w:before="240" w:after="0"/>
        <w:jc w:val="left"/>
        <w:rPr/>
      </w:pPr>
      <w:r>
        <w:rPr/>
        <w:t>“</w:t>
      </w:r>
      <w:r>
        <w:rPr>
          <w:rFonts w:ascii="Times New Roman" w:hAnsi="Times New Roman"/>
          <w:i/>
          <w:sz w:val="20"/>
        </w:rPr>
        <w:t>Initial Public Offering</w:t>
      </w:r>
      <w:r>
        <w:rPr>
          <w:rFonts w:ascii="Times New Roman" w:hAnsi="Times New Roman"/>
          <w:sz w:val="20"/>
        </w:rPr>
        <w:t xml:space="preserve">” means the consummation of the first firm commitment underwritten public offering pursuant to an effective registration statement under the Securities Act covering the offer and sale by the Company of its equity securities, as a result of or following which the Stock shall be publicly held. </w:t>
      </w:r>
    </w:p>
    <w:p>
      <w:pPr>
        <w:pStyle w:val="TextBody"/>
        <w:bidi w:val="0"/>
        <w:spacing w:before="240" w:after="0"/>
        <w:jc w:val="left"/>
        <w:rPr/>
      </w:pPr>
      <w:r>
        <w:rPr/>
        <w:t>“</w:t>
      </w:r>
      <w:r>
        <w:rPr>
          <w:rFonts w:ascii="Times New Roman" w:hAnsi="Times New Roman"/>
          <w:i/>
          <w:sz w:val="20"/>
        </w:rPr>
        <w:t>Non-Qualified Stock Option</w:t>
      </w:r>
      <w:r>
        <w:rPr>
          <w:rFonts w:ascii="Times New Roman" w:hAnsi="Times New Roman"/>
          <w:sz w:val="20"/>
        </w:rPr>
        <w:t xml:space="preserve">” means any Stock Option that is not an Incentive Stock option. </w:t>
      </w:r>
    </w:p>
    <w:p>
      <w:pPr>
        <w:pStyle w:val="TextBody"/>
        <w:bidi w:val="0"/>
        <w:spacing w:before="240" w:after="0"/>
        <w:jc w:val="left"/>
        <w:rPr/>
      </w:pPr>
      <w:r>
        <w:rPr/>
        <w:t>“</w:t>
      </w:r>
      <w:r>
        <w:rPr>
          <w:rFonts w:ascii="Times New Roman" w:hAnsi="Times New Roman"/>
          <w:i/>
          <w:sz w:val="20"/>
        </w:rPr>
        <w:t>Option</w:t>
      </w:r>
      <w:r>
        <w:rPr>
          <w:rFonts w:ascii="Times New Roman" w:hAnsi="Times New Roman"/>
          <w:sz w:val="20"/>
        </w:rPr>
        <w:t>” or “</w:t>
      </w:r>
      <w:r>
        <w:rPr>
          <w:rFonts w:ascii="Times New Roman" w:hAnsi="Times New Roman"/>
          <w:i/>
          <w:sz w:val="20"/>
        </w:rPr>
        <w:t>Stock Option</w:t>
      </w:r>
      <w:r>
        <w:rPr>
          <w:rFonts w:ascii="Times New Roman" w:hAnsi="Times New Roman"/>
          <w:sz w:val="20"/>
        </w:rPr>
        <w:t xml:space="preserve">” means any option to purchase shares of Stock granted pursuant to Section 5. </w:t>
      </w:r>
    </w:p>
    <w:p>
      <w:pPr>
        <w:pStyle w:val="TextBody"/>
        <w:bidi w:val="0"/>
        <w:spacing w:before="240" w:after="0"/>
        <w:jc w:val="left"/>
        <w:rPr/>
      </w:pPr>
      <w:r>
        <w:rPr/>
        <w:t>“</w:t>
      </w:r>
      <w:r>
        <w:rPr>
          <w:rFonts w:ascii="Times New Roman" w:hAnsi="Times New Roman"/>
          <w:i/>
          <w:sz w:val="20"/>
        </w:rPr>
        <w:t>Permitted Transferees</w:t>
      </w:r>
      <w:r>
        <w:rPr>
          <w:rFonts w:ascii="Times New Roman" w:hAnsi="Times New Roman"/>
          <w:sz w:val="20"/>
        </w:rPr>
        <w:t xml:space="preserve">” shall mean any of the following to whom a Holder may transfer Shares hereunder (as set forth in Section 9(a)(ii)(A)): the Holder’s child, stepchild, grandchild, parent, stepparent, grandparent, spouse, former spouse, sibling, niece, nephew, mother-in-law, father-in-law, son-in-law, daughter-in-law, brother-in-law, o sister-in-law, including adoptive relationships, any person sharing the Holder’s household (other than a tenant or employee), a trust in which these persons have more than fifty percent of the beneficial interest, a foundation in which these persons control the management of assets, and any other entity in which these persons own more than fifty percent of the voting interests;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any such trust does not require or permit distribution of any Shares during the term of the Award Agreement unless subject to its terms. Upon the death of the Holder, the term Permitted Transferees shall also include such deceased Holder’s estate, executors, administrators, personal representatives, heirs, legatees-and distributees, as the case may be. </w:t>
      </w:r>
    </w:p>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shall mean any individual, corporation, partnership (limited or general), limited liability company, limited liability partnership, association, trust, joint venture, unincorporated organization or any similar entity. </w:t>
      </w:r>
    </w:p>
    <w:p>
      <w:pPr>
        <w:pStyle w:val="TextBody"/>
        <w:bidi w:val="0"/>
        <w:spacing w:before="240" w:after="0"/>
        <w:jc w:val="left"/>
        <w:rPr/>
      </w:pPr>
      <w:r>
        <w:rPr/>
        <w:t>“</w:t>
      </w:r>
      <w:r>
        <w:rPr>
          <w:rFonts w:ascii="Times New Roman" w:hAnsi="Times New Roman"/>
          <w:i/>
          <w:sz w:val="20"/>
        </w:rPr>
        <w:t>Restricted Stock Award</w:t>
      </w:r>
      <w:r>
        <w:rPr>
          <w:rFonts w:ascii="Times New Roman" w:hAnsi="Times New Roman"/>
          <w:sz w:val="20"/>
        </w:rPr>
        <w:t>” means Awards granted pursuant to Section 6 and “</w:t>
      </w:r>
      <w:r>
        <w:rPr>
          <w:rFonts w:ascii="Times New Roman" w:hAnsi="Times New Roman"/>
          <w:i/>
          <w:sz w:val="20"/>
        </w:rPr>
        <w:t>Restricted Stock</w:t>
      </w:r>
      <w:r>
        <w:rPr>
          <w:rFonts w:ascii="Times New Roman" w:hAnsi="Times New Roman"/>
          <w:sz w:val="20"/>
        </w:rPr>
        <w:t xml:space="preserve">” means Shares issued pursuant to such Awards. </w:t>
      </w:r>
    </w:p>
    <w:p>
      <w:pPr>
        <w:pStyle w:val="TextBody"/>
        <w:bidi w:val="0"/>
        <w:spacing w:before="240" w:after="0"/>
        <w:jc w:val="left"/>
        <w:rPr/>
      </w:pPr>
      <w:r>
        <w:rPr/>
        <w:t>“</w:t>
      </w:r>
      <w:r>
        <w:rPr>
          <w:rFonts w:ascii="Times New Roman" w:hAnsi="Times New Roman"/>
          <w:i/>
          <w:sz w:val="20"/>
        </w:rPr>
        <w:t>Restricted Stock Unit</w:t>
      </w:r>
      <w:r>
        <w:rPr>
          <w:rFonts w:ascii="Times New Roman" w:hAnsi="Times New Roman"/>
          <w:sz w:val="20"/>
        </w:rPr>
        <w:t xml:space="preserve">” means an Award of phantom stock units to a grantee, which may be settled in cash or Shares as determined by the Committee, pursuant to Section 8. </w:t>
      </w:r>
    </w:p>
    <w:p>
      <w:pPr>
        <w:pStyle w:val="TextBody"/>
        <w:bidi w:val="0"/>
        <w:spacing w:before="240" w:after="0"/>
        <w:jc w:val="left"/>
        <w:rPr/>
      </w:pPr>
      <w:r>
        <w:rPr/>
        <w:t>“</w:t>
      </w:r>
      <w:r>
        <w:rPr>
          <w:rFonts w:ascii="Times New Roman" w:hAnsi="Times New Roman"/>
          <w:i/>
          <w:sz w:val="20"/>
        </w:rPr>
        <w:t>Sale Event</w:t>
      </w:r>
      <w:r>
        <w:rPr>
          <w:rFonts w:ascii="Times New Roman" w:hAnsi="Times New Roman"/>
          <w:sz w:val="20"/>
        </w:rPr>
        <w:t xml:space="preserve">” means the consummation of (i) the dissolution or liquidation of the Company (ii) the sale of all or substantially all of the assets of the Company on a consolidated basis to an unrelated person or entity, (iii) a merger, reorganization or consolidation pursuant to which the holders of the Company’s outstanding voting power immediately prior to such transaction do not own a majority of the outstanding voting power of the surviving or resulting entity (or its ultimate parent, if applicable), (iv) the acquisition of all or a majority of the outstanding voting stock of the Company in a single transaction or a series of related transactions by a Person or group of Persons, or (v) any other acquisition of the business of the Company, as determined by the Board;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that the Company’s Initial Public Offering, any subsequent public offering or another capital raising event, or a merger effected solely to change the Company’s domicile shall not constitute a “</w:t>
      </w:r>
      <w:r>
        <w:rPr>
          <w:rFonts w:ascii="Times New Roman" w:hAnsi="Times New Roman"/>
          <w:i/>
          <w:sz w:val="20"/>
        </w:rPr>
        <w:t>Sale Event.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Section</w:t>
      </w:r>
      <w:r>
        <w:rPr>
          <w:rFonts w:ascii="Times New Roman" w:hAnsi="Times New Roman"/>
          <w:sz w:val="20"/>
        </w:rPr>
        <w:t> </w:t>
      </w:r>
      <w:r>
        <w:rPr>
          <w:rFonts w:ascii="Times New Roman" w:hAnsi="Times New Roman"/>
          <w:i/>
          <w:sz w:val="20"/>
        </w:rPr>
        <w:t>409A</w:t>
      </w:r>
      <w:r>
        <w:rPr>
          <w:rFonts w:ascii="Times New Roman" w:hAnsi="Times New Roman"/>
          <w:sz w:val="20"/>
        </w:rPr>
        <w:t xml:space="preserve">” means Section 409A of the Code and the regulations and other guidance promulgated thereunder. </w:t>
      </w:r>
    </w:p>
    <w:p>
      <w:pPr>
        <w:pStyle w:val="TextBody"/>
        <w:bidi w:val="0"/>
        <w:spacing w:before="240" w:after="0"/>
        <w:jc w:val="left"/>
        <w:rPr/>
      </w:pPr>
      <w:r>
        <w:rPr/>
        <w:t>“</w:t>
      </w:r>
      <w:r>
        <w:rPr>
          <w:rFonts w:ascii="Times New Roman" w:hAnsi="Times New Roman"/>
          <w:i/>
          <w:sz w:val="20"/>
        </w:rPr>
        <w:t>Securities Act</w:t>
      </w:r>
      <w:r>
        <w:rPr>
          <w:rFonts w:ascii="Times New Roman" w:hAnsi="Times New Roman"/>
          <w:sz w:val="20"/>
        </w:rPr>
        <w:t xml:space="preserve">” means the Securities Act of 1933, as amended, and the rules and regulations thereunder. </w:t>
      </w:r>
    </w:p>
    <w:p>
      <w:pPr>
        <w:pStyle w:val="TextBody"/>
        <w:bidi w:val="0"/>
        <w:spacing w:before="240" w:after="0"/>
        <w:jc w:val="left"/>
        <w:rPr/>
      </w:pPr>
      <w:r>
        <w:rPr/>
        <w:t>“</w:t>
      </w:r>
      <w:r>
        <w:rPr>
          <w:rFonts w:ascii="Times New Roman" w:hAnsi="Times New Roman"/>
          <w:i/>
          <w:sz w:val="20"/>
        </w:rPr>
        <w:t>Service Relationship</w:t>
      </w:r>
      <w:r>
        <w:rPr>
          <w:rFonts w:ascii="Times New Roman" w:hAnsi="Times New Roman"/>
          <w:sz w:val="20"/>
        </w:rPr>
        <w:t xml:space="preserve">” means any relationship as a full-time employee, part-time employee, director or other key person (including Consultants) of the Company or any Subsidiary or any successor entity (e.g., a Service Relationship shall be deemed to continue without interruption in the event an individual’s status changes from full-time employee to part-time employee or Consultant). </w:t>
      </w:r>
    </w:p>
    <w:p>
      <w:pPr>
        <w:pStyle w:val="TextBody"/>
        <w:bidi w:val="0"/>
        <w:spacing w:before="240" w:after="0"/>
        <w:jc w:val="left"/>
        <w:rPr/>
      </w:pPr>
      <w:r>
        <w:rPr/>
        <w:t>“</w:t>
      </w:r>
      <w:r>
        <w:rPr>
          <w:rFonts w:ascii="Times New Roman" w:hAnsi="Times New Roman"/>
          <w:i/>
          <w:sz w:val="20"/>
        </w:rPr>
        <w:t>Shares</w:t>
      </w:r>
      <w:r>
        <w:rPr>
          <w:rFonts w:ascii="Times New Roman" w:hAnsi="Times New Roman"/>
          <w:sz w:val="20"/>
        </w:rPr>
        <w:t xml:space="preserve">” means shares of Stock. </w:t>
      </w:r>
    </w:p>
    <w:p>
      <w:pPr>
        <w:pStyle w:val="TextBody"/>
        <w:bidi w:val="0"/>
        <w:spacing w:before="240" w:after="0"/>
        <w:jc w:val="left"/>
        <w:rPr/>
      </w:pPr>
      <w:r>
        <w:rPr/>
        <w:t>“</w:t>
      </w:r>
      <w:r>
        <w:rPr>
          <w:rFonts w:ascii="Times New Roman" w:hAnsi="Times New Roman"/>
          <w:i/>
          <w:sz w:val="20"/>
        </w:rPr>
        <w:t>Stock</w:t>
      </w:r>
      <w:r>
        <w:rPr>
          <w:rFonts w:ascii="Times New Roman" w:hAnsi="Times New Roman"/>
          <w:sz w:val="20"/>
        </w:rPr>
        <w:t xml:space="preserve">” means the Common Stock, par value $0.0001 per share, of the Company.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any corporation or other entity (other tan the Company) in which the Company has more than a 50 percent interest, either directly or indirectly. </w:t>
      </w:r>
    </w:p>
    <w:p>
      <w:pPr>
        <w:pStyle w:val="TextBody"/>
        <w:bidi w:val="0"/>
        <w:spacing w:before="240" w:after="0"/>
        <w:jc w:val="left"/>
        <w:rPr/>
      </w:pPr>
      <w:r>
        <w:rPr/>
        <w:t>“</w:t>
      </w:r>
      <w:r>
        <w:rPr>
          <w:rFonts w:ascii="Times New Roman" w:hAnsi="Times New Roman"/>
          <w:i/>
          <w:sz w:val="20"/>
        </w:rPr>
        <w:t>Ten Percent Owner</w:t>
      </w:r>
      <w:r>
        <w:rPr>
          <w:rFonts w:ascii="Times New Roman" w:hAnsi="Times New Roman"/>
          <w:sz w:val="20"/>
        </w:rPr>
        <w:t xml:space="preserve">” means an employee who owns or is deemed to own (by reason of the attribution rules of Section 424(d) of the Code) more than 10 percent of the combined voting power of all classes of stock of the Company or any parent of the Company or any Subsidiary. </w:t>
      </w:r>
    </w:p>
    <w:p>
      <w:pPr>
        <w:pStyle w:val="TextBody"/>
        <w:bidi w:val="0"/>
        <w:spacing w:before="240" w:after="0"/>
        <w:jc w:val="left"/>
        <w:rPr/>
      </w:pPr>
      <w:r>
        <w:rPr/>
        <w:t>“</w:t>
      </w:r>
      <w:r>
        <w:rPr>
          <w:rFonts w:ascii="Times New Roman" w:hAnsi="Times New Roman"/>
          <w:i/>
          <w:sz w:val="20"/>
        </w:rPr>
        <w:t>Termination Event</w:t>
      </w:r>
      <w:r>
        <w:rPr>
          <w:rFonts w:ascii="Times New Roman" w:hAnsi="Times New Roman"/>
          <w:sz w:val="20"/>
        </w:rPr>
        <w:t xml:space="preserve">” means the termination of the ward recipient’s Service Relationship with the Company and its Subsidiaries for any reason whatsoever, regardless of the circumstances thereof, and including, without limitation, upon death, disability, retirement, discharge or resignation for any reason, whether voluntarily or involuntarily. The following shall not constitute a Termination Event: (i) a transfer to the service of the Company from a Subsidiary or from the Company to a Subsidiary, or from one Subsidiary to another Subsidiary or (ii) an approved leave of absence for military service or sickness, or for any other purpose approved by the Committee, if the individual’s right to re-employment is guaranteed either by a statute or by contract or under the policy pursuant to which the leave of absence was granted or if the Committee otherwise so provides in writing. </w:t>
      </w:r>
    </w:p>
    <w:p>
      <w:pPr>
        <w:pStyle w:val="TextBody"/>
        <w:bidi w:val="0"/>
        <w:spacing w:before="240" w:after="0"/>
        <w:jc w:val="left"/>
        <w:rPr/>
      </w:pPr>
      <w:r>
        <w:rPr/>
        <w:t>“</w:t>
      </w:r>
      <w:r>
        <w:rPr>
          <w:rFonts w:ascii="Times New Roman" w:hAnsi="Times New Roman"/>
          <w:i/>
          <w:sz w:val="20"/>
        </w:rPr>
        <w:t>Unrestricted Stock Award</w:t>
      </w:r>
      <w:r>
        <w:rPr>
          <w:rFonts w:ascii="Times New Roman" w:hAnsi="Times New Roman"/>
          <w:sz w:val="20"/>
        </w:rPr>
        <w:t>” means any Award granted pursuant to Section 7 and “</w:t>
      </w:r>
      <w:r>
        <w:rPr>
          <w:rFonts w:ascii="Times New Roman" w:hAnsi="Times New Roman"/>
          <w:i/>
          <w:sz w:val="20"/>
        </w:rPr>
        <w:t>Unrestricted Stock</w:t>
      </w:r>
      <w:r>
        <w:rPr>
          <w:rFonts w:ascii="Times New Roman" w:hAnsi="Times New Roman"/>
          <w:sz w:val="20"/>
        </w:rPr>
        <w:t xml:space="preserve">” means Shares issued pursuant to such Awards.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ADMINISTRATION OF PLAN; COMMITTEE AUTHORITY TO SELECT GRANTEES AND DETERMINE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Administration of Plan</w:t>
      </w:r>
      <w:r>
        <w:rPr>
          <w:rFonts w:ascii="Times New Roman" w:hAnsi="Times New Roman"/>
          <w:sz w:val="20"/>
        </w:rPr>
        <w:t xml:space="preserve">. The Plan shall be administered by the Board, or at the discretion of the Board, by a committee of the Board, comprised of not less than two directors. All references herein to the “Committee” shall be deemed to refer to the group then responsible for administration of the Plan at the relevant time (i.e., either the Board of Directors or a committee or committees of the Board, as applicable).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Powers of Committee</w:t>
      </w:r>
      <w:r>
        <w:rPr>
          <w:rFonts w:ascii="Times New Roman" w:hAnsi="Times New Roman"/>
          <w:sz w:val="20"/>
        </w:rPr>
        <w:t xml:space="preserve">. The Committee shall have the power and authority to grant Awards consistent with the terms of the Plan, including the power and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to select the individuals to whom Awards may from time to time be granted; </w:t>
      </w:r>
    </w:p>
    <w:p>
      <w:pPr>
        <w:pStyle w:val="TextBody"/>
        <w:bidi w:val="0"/>
        <w:spacing w:before="240" w:after="0"/>
        <w:jc w:val="left"/>
        <w:rPr>
          <w:rFonts w:ascii="Times New Roman" w:hAnsi="Times New Roman"/>
          <w:sz w:val="20"/>
        </w:rPr>
      </w:pPr>
      <w:r>
        <w:rPr>
          <w:rFonts w:ascii="Times New Roman" w:hAnsi="Times New Roman"/>
          <w:sz w:val="20"/>
        </w:rPr>
        <w:t xml:space="preserve">(ii) to determine the time or times of grant, and the amount, if any, of Incentive Stock Options, Non-Qualified Stock Options, Restricted Stock Awards, Unrestricted Stock Awards, Restricted Stock Units, or any combination of the foregoing, granted to any one or more grantees; </w:t>
      </w:r>
    </w:p>
    <w:p>
      <w:pPr>
        <w:pStyle w:val="TextBody"/>
        <w:bidi w:val="0"/>
        <w:spacing w:before="240" w:after="0"/>
        <w:jc w:val="left"/>
        <w:rPr>
          <w:rFonts w:ascii="Times New Roman" w:hAnsi="Times New Roman"/>
          <w:sz w:val="20"/>
        </w:rPr>
      </w:pPr>
      <w:r>
        <w:rPr>
          <w:rFonts w:ascii="Times New Roman" w:hAnsi="Times New Roman"/>
          <w:sz w:val="20"/>
        </w:rPr>
        <w:t xml:space="preserve">(iii) to determine the number of Shares to be covered by any Awa d and, subject to the provisions of the Plan, the price, exercise price, conversion ratio o other price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(iv) to determine and, subject to Section 12, to modify from time to time the terms and conditions, including restrictions, not inconsistent with the terms of the Plan of any Award, which terms and conditions may differ among individual wards and grantees, and to approve the form of Award Agreements; </w:t>
      </w:r>
    </w:p>
    <w:p>
      <w:pPr>
        <w:pStyle w:val="TextBody"/>
        <w:bidi w:val="0"/>
        <w:spacing w:before="240" w:after="0"/>
        <w:jc w:val="left"/>
        <w:rPr>
          <w:rFonts w:ascii="Times New Roman" w:hAnsi="Times New Roman"/>
          <w:sz w:val="20"/>
        </w:rPr>
      </w:pPr>
      <w:r>
        <w:rPr>
          <w:rFonts w:ascii="Times New Roman" w:hAnsi="Times New Roman"/>
          <w:sz w:val="20"/>
        </w:rPr>
        <w:t xml:space="preserve">(v) to accelerate at any time the exercisability or vesting of all or any portion of any Award; </w:t>
      </w:r>
    </w:p>
    <w:p>
      <w:pPr>
        <w:pStyle w:val="TextBody"/>
        <w:bidi w:val="0"/>
        <w:spacing w:before="240" w:after="0"/>
        <w:jc w:val="left"/>
        <w:rPr>
          <w:rFonts w:ascii="Times New Roman" w:hAnsi="Times New Roman"/>
          <w:sz w:val="20"/>
        </w:rPr>
      </w:pPr>
      <w:r>
        <w:rPr>
          <w:rFonts w:ascii="Times New Roman" w:hAnsi="Times New Roman"/>
          <w:sz w:val="20"/>
        </w:rPr>
        <w:t xml:space="preserve">(vi) to impose any limitations on Awards, including limitations on transfers, repurchase provisions and the like, and to exercise repurchase rights or obligations; </w:t>
      </w:r>
    </w:p>
    <w:p>
      <w:pPr>
        <w:pStyle w:val="TextBody"/>
        <w:bidi w:val="0"/>
        <w:spacing w:before="240" w:after="0"/>
        <w:jc w:val="left"/>
        <w:rPr>
          <w:rFonts w:ascii="Times New Roman" w:hAnsi="Times New Roman"/>
          <w:sz w:val="20"/>
        </w:rPr>
      </w:pPr>
      <w:r>
        <w:rPr>
          <w:rFonts w:ascii="Times New Roman" w:hAnsi="Times New Roman"/>
          <w:sz w:val="20"/>
        </w:rPr>
        <w:t xml:space="preserve">(vii) subject to Section 5(a)(ii) and any restrictions imposed by Section 409A, to extend at any time the period in which Stock Options may be exercised; and </w:t>
      </w:r>
    </w:p>
    <w:p>
      <w:pPr>
        <w:pStyle w:val="TextBody"/>
        <w:bidi w:val="0"/>
        <w:spacing w:before="240" w:after="0"/>
        <w:jc w:val="left"/>
        <w:rPr>
          <w:rFonts w:ascii="Times New Roman" w:hAnsi="Times New Roman"/>
          <w:sz w:val="20"/>
        </w:rPr>
      </w:pPr>
      <w:r>
        <w:rPr>
          <w:rFonts w:ascii="Times New Roman" w:hAnsi="Times New Roman"/>
          <w:sz w:val="20"/>
        </w:rPr>
        <w:t xml:space="preserve">(viii) at any time to adopt, alter and repeal such rules, guidelines and practices for administration of the Plan and for its own acts and proceedings as it shall deem advisable; to interpret the terms and provisions of the lan and any Award (including Award Agreements); to make all determinations it deems advisable for the administration of the Plan; to decide all disputes arising in connection with the Plan and to otherwise supervise the administration of the Plan. </w:t>
      </w:r>
    </w:p>
    <w:p>
      <w:pPr>
        <w:pStyle w:val="TextBody"/>
        <w:bidi w:val="0"/>
        <w:spacing w:before="240" w:after="0"/>
        <w:jc w:val="left"/>
        <w:rPr>
          <w:rFonts w:ascii="Times New Roman" w:hAnsi="Times New Roman"/>
          <w:sz w:val="20"/>
        </w:rPr>
      </w:pPr>
      <w:r>
        <w:rPr>
          <w:rFonts w:ascii="Times New Roman" w:hAnsi="Times New Roman"/>
          <w:sz w:val="20"/>
        </w:rPr>
        <w:t xml:space="preserve">All decisions and interpretations of the committee shall be binding on all persons, including the Company and all Holders.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Award Agreement</w:t>
      </w:r>
      <w:r>
        <w:rPr>
          <w:rFonts w:ascii="Times New Roman" w:hAnsi="Times New Roman"/>
          <w:sz w:val="20"/>
        </w:rPr>
        <w:t xml:space="preserve">. Awards under the Plan shall be evidenced by Award Agreements that set forth the terms, conditions and limitations for each Award.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Indemnification</w:t>
      </w:r>
      <w:r>
        <w:rPr>
          <w:rFonts w:ascii="Times New Roman" w:hAnsi="Times New Roman"/>
          <w:sz w:val="20"/>
        </w:rPr>
        <w:t xml:space="preserve">. Neither the Board nor the Committee, nor any member of either or any delegate thereof, shall be liable for any act, omission, interpretation, construction or determination made in good faith in connection with the Plan, and the members of the Board and the Committee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governing documents, including its certificate of incorporation or bylaws, or any directors’ and officers’ liability insurance coverage which maybe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effect from time to time and/or any indemnification agreement between such individual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Foreign Award Recipients</w:t>
      </w:r>
      <w:r>
        <w:rPr>
          <w:rFonts w:ascii="Times New Roman" w:hAnsi="Times New Roman"/>
          <w:sz w:val="20"/>
        </w:rPr>
        <w:t xml:space="preserve">. Notwithstanding any provision of the Plan to the contrary, in order to comply with the laws in other countries in which the Company and any Subsidiary operate or have employees or other individuals eligible for Awards, the Committee, in its sole discretion, shall have the power and authority to: (i) determine which Subsidiaries, if any, shall be covered by the Plan; (ii) determine which individuals, if any,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Committee determines such actions to be necessary or advisable (and such subplans and/or modifications shall be attached to the Plan as appendices);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no such subplans and/or modifications shall increase the share limitation contained in Section 3(a) hereof; and (v) take any action, before or after an Award is made, that the Committee determines to be necessary or advisable to obtain approval or comply with any local governmental regulatory exemptions or approvals.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STOCK ISSUABLE UNDER THE PLAN; MERGER’S AND OTHER TRANSACTIONS; SUBSTITUTION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Issuable</w:t>
      </w:r>
      <w:r>
        <w:rPr>
          <w:rFonts w:ascii="Times New Roman" w:hAnsi="Times New Roman"/>
          <w:sz w:val="20"/>
        </w:rPr>
        <w:t xml:space="preserve">. The maximum number of Shares reserved and available for issuance under the Plan shall be 1,334,067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 d Snares that are withheld upon exercise of an Option or settlement of an Award to co e;- the exercise price or tax withholding shall be added back to the Shares available for issuance under the Plan. Subject to such overall limitations, Shares may be issued up to sue maximum number pursuant to any type or types of Award, and no more than 13,340,670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1,334,067 Shares shall be granted to any one individual in any calendar year period.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Changes in Stock</w:t>
      </w:r>
      <w:r>
        <w:rPr>
          <w:rFonts w:ascii="Times New Roman" w:hAnsi="Times New Roman"/>
          <w:sz w:val="20"/>
        </w:rPr>
        <w:t xml:space="preserve">. Subject to Section 3(c) hereof, if, as a result of any reorganization, recapitalization, reclassification, stock dividend, stock split, reverse stock split or other similar change in t e Company’s capital stock, the outstanding Shares are increased or decreased o are exchanged for a different number or kind of shares or other securities of the Company, or additional Shares or new or different shares or other securities of the Company or other non-cash assets are distributed with respect to such Shares or other securities, in each case, without the receipt of consideration by the Company, or, if, as a result of any merger or consolidation, or sale of all or substantially all of the assets of the Company, the outstanding Shares are converted into or exchanged for other securities of the Company or any successor entity (or a parent or subsidiary thereof), the Committee shall make an appropriate and proportionate adjustment in (i) the maximum number of Shares reserved for issuance under the Plan, (ii) the number and kind of Shares or other securities subject to any then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Awards under the Plan, (iii) the repurchase price, if any, per Share subject to each outstanding Award, and (iv) the exercise price for each Share subject to any then outstanding Stock Options under the Plan, without changing the aggregate exercise price (i.e., the exercise price multiplied by the number of Stock Options) as to which such Stock Options remain exercisable. The Committee shall in any event make such adjustments as may be required by Section 25102(o) of the California Corporation Code and the rules and regulations promulgated thereunder. The adjustment by the Committee shall be final, binding and conclusive. No fractional Shares shall be issued under the Plan resulting from any such adjustment, but the Committee in its discretion may make a cash payment in lieu of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Sale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Options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and subject to the consummation of a Sale Event, the Plan and all outstanding Options issued hereunder shall terminate upon the effective time of any such Sale Event unless assumed or continued by the successor entity, or new stock options or other awards of the successor entity or parent thereof are substituted therefor, with an equitable or proportionate adjustment as to the number and kind of shares and, if appropriate, the per share exercise-prices, as -such parties shall agree (after taking into account any acceleration hereunder and/or pursuant to the terms of any Award Agreement).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of the termination of the Plan and all outstanding options issued hereunder pursuant to Section 3(c)(i)(A), each Holder of Options shall be permitted, within a period of time prior to the consummation of the Sale Event as specified by the Committee, to exercise all such Options which are then exercisable or will become exercisable as of the effective time of the Sale Event;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exercise of Options not exercisable prior to the Sale Event shall be subject to the consummation of the Sale Event. </w:t>
      </w:r>
    </w:p>
    <w:p>
      <w:pPr>
        <w:pStyle w:val="TextBody"/>
        <w:bidi w:val="0"/>
        <w:spacing w:before="120" w:after="0"/>
        <w:jc w:val="left"/>
        <w:rPr>
          <w:rFonts w:ascii="Times New Roman" w:hAnsi="Times New Roman"/>
          <w:sz w:val="20"/>
        </w:rPr>
      </w:pPr>
      <w:r>
        <w:rPr>
          <w:rFonts w:ascii="Times New Roman" w:hAnsi="Times New Roman"/>
          <w:sz w:val="20"/>
        </w:rPr>
        <w:t>(C) Notwithstanding anything to the contrary in Section 3(c)(i)(A), in the event of a Sale Event, the Company shall have the right, but not the obligation, to make or provide for a cash payment to the Holders of Options, without any consent of the Holders, in exchange for the cancellation thereof, in an amount equal to the difference between (A) the value as determined by the Committee of the consideration payable per share o Stock pursuant to the Sale Event (the “</w:t>
      </w:r>
      <w:r>
        <w:rPr>
          <w:rFonts w:ascii="Times New Roman" w:hAnsi="Times New Roman"/>
          <w:i/>
          <w:sz w:val="20"/>
        </w:rPr>
        <w:t>Sale Price</w:t>
      </w:r>
      <w:r>
        <w:rPr>
          <w:rFonts w:ascii="Times New Roman" w:hAnsi="Times New Roman"/>
          <w:sz w:val="20"/>
        </w:rPr>
        <w:t xml:space="preserve">”) times the number of Shares subject to outstanding Options being cancelled (to the extent then vested and exercisable, including by reason of acceleration in connection with such Sale Event, at prices not in excess of the Sale Price) and (B) the aggregate exercise price of all such outstanding vested and exercisable Options.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Restricted Stock and Restricted Stock Unit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and subject to the consummation of a Sale Event, all unvested Restricted Stock and unvested Restricted Stock Unit Awards (other than those becoming vested as a result of the Sale Event) issued hereunder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forfeited immediately prior to the effective time of any such Sale Event unless assumed or continued by the successor entity, or awards of the successor entity or parent thereof are substituted therefor, with an equitable or proportionate adjustment as to the number and kind of shares subject to such awards as such parties shall agree (after taking into account any acceleration hereunder and/or pursuant to the terms of any Award Agreement).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of the forfeiture of Restricted Stock pursuant to Section 3(c)(ii)(A), such Restricted Stock shall be repurchased from the Holder thereof at a price per share equal to the original per share purchase price paid by the Holder (subject to adjustment as provided in Section 3(b)) for such Shares.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in Section 3(c)(ii)(A), in the event of a Sale Event, the Company shall have the right, but no the obligation, to make or provide for a cash payment to the Holders of Restricted Stock o Restricted Stock Unit Awards, without consent of the Holders, in exchange for the cancellation thereof, in an amount equal to the Sale Price times the number of Shares subject to such Awards, to be paid at the time of such Sale Event or upon the later vesting of such Awards. </w:t>
      </w:r>
    </w:p>
    <w:p>
      <w:pPr>
        <w:pStyle w:val="TextBody"/>
        <w:bidi w:val="0"/>
        <w:spacing w:before="36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ELIGIBILITY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Grantees under the Plan will be such full or part-time officers and other employees, directors, Consultants and key persons of the Company and any; Subsidiary who are selected from time to time by the Committee in its sole discretion;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Awards shall be granted only to those individuals described in Rule 701(c) of the Securities Act. </w:t>
      </w:r>
    </w:p>
    <w:p>
      <w:pPr>
        <w:pStyle w:val="TextBody"/>
        <w:bidi w:val="0"/>
        <w:spacing w:before="36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STOCK OPTIONS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the grant of a Stoc Option, the Company and the grantee shall enter into an Award Agreement. The terms and conditions of each such Award Agreement shall be determined by the Committee, and such terms and conditions may differ among individual Awards and grantees. </w:t>
      </w:r>
    </w:p>
    <w:p>
      <w:pPr>
        <w:pStyle w:val="TextBody"/>
        <w:bidi w:val="0"/>
        <w:spacing w:before="240" w:after="0"/>
        <w:jc w:val="left"/>
        <w:rPr>
          <w:rFonts w:ascii="Times New Roman" w:hAnsi="Times New Roman"/>
          <w:sz w:val="20"/>
        </w:rPr>
      </w:pPr>
      <w:r>
        <w:rPr>
          <w:rFonts w:ascii="Times New Roman" w:hAnsi="Times New Roman"/>
          <w:sz w:val="20"/>
        </w:rPr>
        <w:t xml:space="preserve">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 ed a Non-Qualified Stock Option.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Terms of Stock Options</w:t>
      </w:r>
      <w:r>
        <w:rPr>
          <w:rFonts w:ascii="Times New Roman" w:hAnsi="Times New Roman"/>
          <w:sz w:val="20"/>
        </w:rPr>
        <w:t xml:space="preserve">. The Committee in its discretion may grant Stock Options to those individuals who meet the eligibility requirements of Section 4. Stock Options shall be subject to the following terms and conditions and shall contain such additional terms and conditions, not inconsistent with the terms of the Plan, as the Committee shall deem desirable.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Exercise Price</w:t>
      </w:r>
      <w:r>
        <w:rPr>
          <w:rFonts w:ascii="Times New Roman" w:hAnsi="Times New Roman"/>
          <w:sz w:val="20"/>
        </w:rPr>
        <w:t xml:space="preserve">. The exercise price per share for the Shares covered by a Stock Option shall be determined by the Committee at the time of grant but shall not be less than 100 percent of the Fair Market Value on the Grant Date. In the case of an Incentive Stock Option that is granted to a Ten Percent Owner, the exercise price per share for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covered by such Incentive Stock Option shall not be less than 110 percent of the Fair Market Value on the Grant Date.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Option Term</w:t>
      </w:r>
      <w:r>
        <w:rPr>
          <w:rFonts w:ascii="Times New Roman" w:hAnsi="Times New Roman"/>
          <w:sz w:val="20"/>
        </w:rPr>
        <w:t xml:space="preserve">. The term of each Stock Option shall be fixed by the Committee, but no Stock Option shall be exercisable more than ten years from the Grant Date. In the case of an Incentive Stock Option that is granted to a Ten Percent Owner, the term of such Stock Option shall be no more than five years from the Grant Date.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Exercisability; Rights of a Stockholder</w:t>
      </w:r>
      <w:r>
        <w:rPr>
          <w:rFonts w:ascii="Times New Roman" w:hAnsi="Times New Roman"/>
          <w:sz w:val="20"/>
        </w:rPr>
        <w:t xml:space="preserve">. Stock Options shall become exercisable and/or vested at such time or times, whether or not in installments, as shall be determined by the Committee at or after the Grant Date. The Award Agreement may permit a grantee to exercise all or a portion of a Stock Option immediately at grant provided that the Shares issued upon such exercise shall be subject to restrictions and a vesting schedule identical to the vesting schedule of the related Stock Option, such Shares shall be deemed to be Restricted Stock for purposes of the Plan, and the optionee may be required to enter into an additional or new Award Agreement as a condition to exercise of such Stock Option. An optionee shall have the rights of a stockholder only as to Shares acquired upon the exercise of a Stock Option and not as to unexercised Stock Options. An optionee shall not be deemed to have,-acquired any Shares unless and until a Stock Option shall have been exercised pursuant to he terms of the Award Agreement and this Plan and the optionee’ s name has been entered on the books of the Company as a stockholder.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Method of Exercise</w:t>
      </w:r>
      <w:r>
        <w:rPr>
          <w:rFonts w:ascii="Times New Roman" w:hAnsi="Times New Roman"/>
          <w:sz w:val="20"/>
        </w:rPr>
        <w:t xml:space="preserve">. Stock Options may, be exercised by an optionee in whole or in part, by the optionee giving written or electronic o ice of exercise to the Company, specifying the number of Shares to be purchased. Payment of the purchase price may be made by one or more of the following methods (or an combination thereof) to the extent provided in the Award Agreement: </w:t>
      </w:r>
    </w:p>
    <w:p>
      <w:pPr>
        <w:pStyle w:val="TextBody"/>
        <w:bidi w:val="0"/>
        <w:spacing w:before="120" w:after="0"/>
        <w:jc w:val="left"/>
        <w:rPr>
          <w:rFonts w:ascii="Times New Roman" w:hAnsi="Times New Roman"/>
          <w:sz w:val="20"/>
        </w:rPr>
      </w:pPr>
      <w:r>
        <w:rPr>
          <w:rFonts w:ascii="Times New Roman" w:hAnsi="Times New Roman"/>
          <w:sz w:val="20"/>
        </w:rPr>
        <w:t xml:space="preserve">(A) In cash, by certified or bank check, by wire transfer of immediately available funds, or other instrument acceptable to the Committee; </w:t>
      </w:r>
    </w:p>
    <w:p>
      <w:pPr>
        <w:pStyle w:val="TextBody"/>
        <w:bidi w:val="0"/>
        <w:spacing w:before="120" w:after="0"/>
        <w:jc w:val="left"/>
        <w:rPr>
          <w:rFonts w:ascii="Times New Roman" w:hAnsi="Times New Roman"/>
          <w:sz w:val="20"/>
        </w:rPr>
      </w:pPr>
      <w:r>
        <w:rPr>
          <w:rFonts w:ascii="Times New Roman" w:hAnsi="Times New Roman"/>
          <w:sz w:val="20"/>
        </w:rPr>
        <w:t xml:space="preserve">(B) If permitted by the Committee, by the optionee delivering to the Company a promissory note if the Board has expressly authorized the loan of funds to the optionee for the purpose of enabling or assisting the optionee to effect the exercise of his or he Stock, Option; provided, that at least so much of the exercise price as represents the par value of the Stocks shall be paid in cash if required by state law; </w:t>
      </w:r>
    </w:p>
    <w:p>
      <w:pPr>
        <w:pStyle w:val="TextBody"/>
        <w:bidi w:val="0"/>
        <w:spacing w:before="120" w:after="0"/>
        <w:jc w:val="left"/>
        <w:rPr>
          <w:rFonts w:ascii="Times New Roman" w:hAnsi="Times New Roman"/>
          <w:sz w:val="20"/>
        </w:rPr>
      </w:pPr>
      <w:r>
        <w:rPr>
          <w:rFonts w:ascii="Times New Roman" w:hAnsi="Times New Roman"/>
          <w:sz w:val="20"/>
        </w:rPr>
        <w:t xml:space="preserve">(C) If permitted by the Committee and the Initial Public Offering has occurred (Of he Stock otherwise becomes publicly-traded), through the delivery (or attestation to the ownership) of Shares that have been purchased by the optionee on the open market or that are beneficially owned by the optionee and are not then subject to restrictions under any Company plan. To the extent required to avoid variable accounting treatment under ASC 718 or other applicable accounting rules, such surrendered Shares if originally purchased from the Company shall have been owned by the optionee for at least six months. Such surrendered Shares shall be valued at Fair Market Value on the exercise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permitted by the Committee and the Initial Public Offering has occurred (or the Stock otherwise becomes publicly-traded), 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Committee shall prescribe as a condition of such payment procedure; or </w:t>
      </w:r>
    </w:p>
    <w:p>
      <w:pPr>
        <w:pStyle w:val="TextBody"/>
        <w:bidi w:val="0"/>
        <w:spacing w:before="120" w:after="0"/>
        <w:jc w:val="left"/>
        <w:rPr>
          <w:rFonts w:ascii="Times New Roman" w:hAnsi="Times New Roman"/>
          <w:sz w:val="20"/>
        </w:rPr>
      </w:pPr>
      <w:r>
        <w:rPr>
          <w:rFonts w:ascii="Times New Roman" w:hAnsi="Times New Roman"/>
          <w:sz w:val="20"/>
        </w:rPr>
        <w:t xml:space="preserve">(E) If permitted by the Committee, and only with respect to Stock Options that are not Incentive Stock Options, by a “net exercise” arrangement pursuant to which the Company will reduce the number of Shares issuable upon exercise by the largest whole number of Shares with a Fair Market Value that does not exceed the aggregate exercise price. </w:t>
      </w:r>
    </w:p>
    <w:p>
      <w:pPr>
        <w:pStyle w:val="TextBody"/>
        <w:bidi w:val="0"/>
        <w:spacing w:before="240" w:after="0"/>
        <w:jc w:val="left"/>
        <w:rPr>
          <w:rFonts w:ascii="Times New Roman" w:hAnsi="Times New Roman"/>
          <w:sz w:val="20"/>
        </w:rPr>
      </w:pPr>
      <w:r>
        <w:rPr>
          <w:rFonts w:ascii="Times New Roman" w:hAnsi="Times New Roman"/>
          <w:sz w:val="20"/>
        </w:rPr>
        <w:t xml:space="preserve">Payment instruments will be received subject to collection. No certificates for Shares so purchased will be issued to the optionee or, with respect to uncertificated Stock, no transfer to the optionee on the records of the Company will take place until the Company has completed all steps it has deemed necessary to satisfy legal requirements elating to the issuance and sale of the Shares, which steps may include, without limitation, (i) receipt of a representation from the optionee at the time of exercise of the Option that the optionee is purchasing the Shares for the optionee’s own account and not with a view to any sale or distribution of the Shares or other representations relating to compliance with applicable law governing the issuance of securities, (ii)the legending of the certificate (or notation on any book entry) representing the Shares to evidence the foregoing restrictions, and (iii) obtaining from optionee payment or provision for all withholding taxes due as a result of the exercise of the Option. The delivery of certificates representing the shares of Stock (or the transfer to the optionee on the records of the Company with respect to uncertificated Stock) to be purchased pursuant to the exercise of a Stock Option will be contingent upon (A) receipt from the optionee (or a purchaser acting in his or her stead in accordance with the provisions of the Stock Option) by the Company of the full purchase price for such Shares and the fulfillment of any other requirements contained in the Award Agreement or applicable provisions of laws and (B) if required by the Company, the optionee shall have entered into any stockholders agreements or other agreements with the Company and/or certain other of the Company’s stockholders relating to the Stock. In the event an optionee chooses to pay the purchase rice by previously-owned Shares through the attestation method, the number of Shares transferred to the optionee upon the exercise of the Stock Option shall be net of the number of Shares attested to.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Annual Limit on Incentive Stock Options</w:t>
      </w:r>
      <w:r>
        <w:rPr>
          <w:rFonts w:ascii="Times New Roman" w:hAnsi="Times New Roman"/>
          <w:sz w:val="20"/>
        </w:rPr>
        <w:t>. To the extent required for “</w:t>
      </w:r>
      <w:r>
        <w:rPr>
          <w:rFonts w:ascii="Times New Roman" w:hAnsi="Times New Roman"/>
          <w:i/>
          <w:sz w:val="20"/>
        </w:rPr>
        <w:t>incentive stock option</w:t>
      </w:r>
      <w:r>
        <w:rPr>
          <w:rFonts w:ascii="Times New Roman" w:hAnsi="Times New Roman"/>
          <w:sz w:val="20"/>
        </w:rPr>
        <w:t xml:space="preserve">” treatment under Section 422 of the Code, the aggregate Fair Market Value (determined as of the Grant Date) of the Shares with respect to which Incentive Stock Options granted under the Plan and any other plan of the Company or its parent and any Subsidiary that become exercisable for the first time by an optionee during any calendar year shall not exceed $100,000 or such other limit as may be in effect from time to time under Section 422 of the Code. To the extent that any Stock Option exceeds this limit, it shall constitute a Non-Qualified Stock 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RESTRICTED STOCK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Nature of Restricted Stock Awards</w:t>
      </w:r>
      <w:r>
        <w:rPr>
          <w:rFonts w:ascii="Times New Roman" w:hAnsi="Times New Roman"/>
          <w:sz w:val="20"/>
        </w:rPr>
        <w:t xml:space="preserve">. The Committee may, in its sole discretion, grant (or sell at par value or such other purchase price determined by the Committee) to an eligible individual under Section 4 hereof a Restricted Stock Award under the Plan. The Committee shall determine the restrictions and conditions applicable to each Restricted Stock Award at the time of grant. Conditions may be based on continuing employment (or other Service Relationship), achievement of pre-established performance goals and objectives and/or such other criteria as the Committee may determine. Upon the grant of a Restricted Stock Award, the Company and the grantee shall enter into an Award Agreement. The terms and conditions of each such Award Agreement shall be determined by the Committee, and such terms and conditions may differ among individual Awards and grantees.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Rights as a Stockholder</w:t>
      </w:r>
      <w:r>
        <w:rPr>
          <w:rFonts w:ascii="Times New Roman" w:hAnsi="Times New Roman"/>
          <w:sz w:val="20"/>
        </w:rPr>
        <w:t xml:space="preserve">. Upon the grant of the Restricted Stock Aea and payment of any applicable purchase price, a grantee of Restricted Stock shall be considered the record owner of and shall be entitled to vote the Restricted Stock if, and to the extent, such Shares are entitled to voting rights, subject to such conditions contained in the Award Agreement. The grantee shall be entitled to receive all dividends and any other distributions declared on the Shares;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Company is under no duty to declare any such dividends or to make any such distribution. Unless the Committee shall otherwise determine, certificates evidencing the Restricted Stock shall remain i the possession of the Company until such Restricted Stoc is vested as provided in subsection (d) below of this Section, and the grantee shall be required, as a condition of the grant, to deliver to the Company a stock power endorsed in blank and such of the instruments of transfer as the Committee may prescribe.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Restrictions</w:t>
      </w:r>
      <w:r>
        <w:rPr>
          <w:rFonts w:ascii="Times New Roman" w:hAnsi="Times New Roman"/>
          <w:sz w:val="20"/>
        </w:rPr>
        <w:t xml:space="preserve">. Restricted Stock may not be sold, assigned, transferred, pledged or otherwise encumbered or disposed of except as specifically provided herein or in the Award Agreement. Except as may otherwise be provided by the Committee either in the Award Agreement or, subject to Section 12 below, in writing after the Award Agreement is issued, if a grantee’s Service Relationship with the Company and any Subsidiary terminates, the Company or its assigns shall have the right, as maybe specified in the relevant instrument, to repurchase some or all of the Shares subject to the Award at such purchase price as is set forth in the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Vesting of Restricted Stock</w:t>
      </w:r>
      <w:r>
        <w:rPr>
          <w:rFonts w:ascii="Times New Roman" w:hAnsi="Times New Roman"/>
          <w:sz w:val="20"/>
        </w:rPr>
        <w:t xml:space="preserve">. The Committee at the time of grant shall specify in the Award Agreement the date or dates and/or the attainment of pre-established performance goals, objectives and other conditions on which the substantial risk of forfeiture imposed shall lapse and the Restricted Stock shall become vested, subject to such further rights of the Company or its assigns as may be specified in the Award Agreement. </w:t>
      </w:r>
    </w:p>
    <w:p>
      <w:pPr>
        <w:pStyle w:val="TextBody"/>
        <w:bidi w:val="0"/>
        <w:spacing w:before="36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UNRESTRICTED STOCK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Committee may, in its sole discretion, grant (or sell at par value or such other purchase price determined by the Committee) to an eligible person under Section 4 hereof an Unrestricted Stock Award under the Plan. Unrestricted Stock Awards may be granted in respect of past services or other valid consideration, or in lieu of cash compensation due to such grantee.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RESTRICTED STOCK 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Nature of Restricted Stock Units</w:t>
      </w:r>
      <w:r>
        <w:rPr>
          <w:rFonts w:ascii="Times New Roman" w:hAnsi="Times New Roman"/>
          <w:sz w:val="20"/>
        </w:rPr>
        <w:t xml:space="preserve">. The Committee may, in its sole discretion, grant to an eligible person under Section 4 hereof Restricted Stock Units under the Plan. The Committee shall determine the restrictions and conditions applicable to each Restricted Stock Unit at the time of grant. Vesting conditions may be based on continuing employment (or other Service Relationship), achievement of pre-established performance goals and objectives and/or other such criteria as the Committee may determine. Upon the grant of Restricted Stock Units, the grantee and the Company shall enter into an Award Agreement. The terms and conditions of each such Award Agreement shall be determined by the Committee and may differ among individual Awards and grantees. On or promptly following the vesting date or dates applicable to any Restricted Stock Unit, but in no event later than March 15 of the year following the year in which such vesting occurs, such Restricted Stock Unit(s) shall be settled in the form of cash or shares of Stock, as specified in the Award Agreement. Restricted Stock Units may not be sold, assigned, transferred, pledged, or otherwise encumbered or disposed of.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Rights as a Stockholder</w:t>
      </w:r>
      <w:r>
        <w:rPr>
          <w:rFonts w:ascii="Times New Roman" w:hAnsi="Times New Roman"/>
          <w:sz w:val="20"/>
        </w:rPr>
        <w:t xml:space="preserve">. A grantee shall have the rights of a stockholder only as to Shares, if any, acquired upon settlement of Restricted Stock Units. A grantee shall not be deemed to have acquired any such Shares unless and until the Restricted Stock Units shall have been settled in Shares pursuant to the terms of he Plan and the Award Agreement, the Company shall have issued and delivered a certificate representing the Shares to the grantee (or transferred on the records of the Company with respect to uncertificated stock), and the grantee’s name has been entered in the books of the Company as a stockholder.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Termination</w:t>
      </w:r>
      <w:r>
        <w:rPr>
          <w:rFonts w:ascii="Times New Roman" w:hAnsi="Times New Roman"/>
          <w:sz w:val="20"/>
        </w:rPr>
        <w:t xml:space="preserve">. Except as my otherwise be provided by the Committee either in the Award Agreement or in writing after the Award Agreement is issued, a grantee’s right in all Restricted Stock Units that have not vested shall automatically terminate upon the grantee’s cessation of Service Relationship with the Company and any Subsidiary for any reason.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TRANSFER RESTRICTIONS: COMPANY RIGHT OF FIRST REFUSAL: COMPANY REPURCHASE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Restrictions on Transfer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Non-Transferability of Stock Options</w:t>
      </w:r>
      <w:r>
        <w:rPr>
          <w:rFonts w:ascii="Times New Roman" w:hAnsi="Times New Roman"/>
          <w:sz w:val="20"/>
        </w:rPr>
        <w:t xml:space="preserve">. Stock Options and, prior to exercise, the Share issuable upon exercise of such Stock Option, shall not be transferable by the optionee otherwise, than by will, or by the laws of descent and distribution, and all Stock Options shall be exercisable, during the optionee’s lifetime, only by the optionee, or by the optionee’s legal representative o:r; guardian in the event of the optionee’s incapacity. Notwithstanding the foregoing, the Committee, in its sole discretion, may provide in the Award Agreement regarding a given Stock Option hat the optionee may transfer by gift, without consideration for the transfer, his or her Non-Qualified Stock Options to his or her family members (as defined in Rule 701 of the Securities Act), to trusts for the benefit of such family members, or to partnerships in which such family members are the only partners (to the extent such trusts or partnerships are considered “family members” for purposes of Rule 701 of the Securities Act), provided that the transferee agrees in writing with the Company to be bound by all of the terms and conditions of this Plan and the applicable Award Agreement, including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execution of a stock power upon the issuance of Shares. Stock Options, and the Shares issuable upon exercise of such Stock Options, shall be restricted as to any pledge, hypothecation, or other transfer, including any short position, any “put equivalent position” (as defined in the Exchange Act) or any “call equivalent position” (as defined in the Exchange Act) prior to exercise.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Shares</w:t>
      </w:r>
      <w:r>
        <w:rPr>
          <w:rFonts w:ascii="Times New Roman" w:hAnsi="Times New Roman"/>
          <w:sz w:val="20"/>
        </w:rPr>
        <w:t xml:space="preserve">. No Shares shall be sold, assigned, transferred, pledged, hypothecated, given away or in any other manner disposed of or encumbered, whether voluntarily or by operation of law, unless (i) the transfer is in compliance with the terms of the applicable Award Agreement, all applicable securities laws (including, without limitation, the Securities Act), and with the terms and conditions of this Section 9, (ii) the transfer does not cause the Company to become subject to the reporting requirements of the Exchange Act, and (iii) the transferee consents in writing to be bound by the provisions of the Plan and the Award Agreement, including this Section 9. In connection with any proposed transfer, the committee may require the transferor to provide at the transferor’s own expense an opinion of counsel to the transferor, satisfactory to the Committee, that such transfer is in compliance with all foreign, federal and state securities laws (including, without limitation, the Securities A t). Any attempted transfer of Shares not in accordance wit the terms and conditions of this Section 9 shall be null and void, and the Company shall not reflect on its records any change in record ownership of any Shares as a result of any such transfer, shall otherwise refuse to recognize any such transfer and shall not in any way give effect to any sue transfer of Shares. The Company shall be entitled to seek protective orders, injunctive relief and other remedies available at law or in equity including, without limitation seeking specific performance or the rescission of any transfer not made in strict compliance with the pr visions of this Section 9. Subject to the foregoing general provisions, and unless otherwise provided in the applicable Award Agreement, Shares may be transferred pursuant to the following specific terms and conditions (provided that with respect to any transfer of Restricted Stock, all vesting and forfeiture provisions shall continue to apply with respect to the original recipient):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Transfers to Permitted Transferees</w:t>
      </w:r>
      <w:r>
        <w:rPr>
          <w:rFonts w:ascii="Times New Roman" w:hAnsi="Times New Roman"/>
          <w:sz w:val="20"/>
        </w:rPr>
        <w:t xml:space="preserve">. The Holder may transfer any or all of the Shares to one or more Permitted Transferees;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following such transfer such Shares shall continue to be subject to the terms of this Plan (including this Section 9) an sue Permitted Transferee(s) shall, as a condition to any such transfer, deliver a written acknowledgment to that effect to the Company and shall deliver a stock power to the Company with respect to the Shares. Notwithstanding the foregoing, t e Holde may not transfer any of the Shares to a Person whom the Company reasonably determines is a direct competitor or a potential competitor of the Company or any of it Subsidiaries.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Transfers Upon Death</w:t>
      </w:r>
      <w:r>
        <w:rPr>
          <w:rFonts w:ascii="Times New Roman" w:hAnsi="Times New Roman"/>
          <w:sz w:val="20"/>
        </w:rPr>
        <w:t xml:space="preserve">. Upon the death of the Holder, any Shares then held by the Holder at the time of such death and any Shares acquired after the Holder’s death by the Holder’s legal representative shall be subject to the provisions of this Plan, and the Holder’s estate, executors, administrators, personal representatives, heirs, legatees and distributees shall be obligated to convey such Shares to the Company or its assigns under the terms contemplated by the Plan and the Award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Right of First Refusal</w:t>
      </w:r>
      <w:r>
        <w:rPr>
          <w:rFonts w:ascii="Times New Roman" w:hAnsi="Times New Roman"/>
          <w:sz w:val="20"/>
        </w:rPr>
        <w:t>. In the event that a Holder desires at any time to sell or otherwise transfer all or any part of his or her Shares (other than shares of Restricted Stock which by their terms are not transferrable), the Holder first shall give written notice to the Company of the Holder’s intention to make such transfer. Such notice shall state the number of Shares that the Holder proposes to sell (the “</w:t>
      </w:r>
      <w:r>
        <w:rPr>
          <w:rFonts w:ascii="Times New Roman" w:hAnsi="Times New Roman"/>
          <w:i/>
          <w:sz w:val="20"/>
        </w:rPr>
        <w:t>Offered Shares</w:t>
      </w:r>
      <w:r>
        <w:rPr>
          <w:rFonts w:ascii="Times New Roman" w:hAnsi="Times New Roman"/>
          <w:sz w:val="20"/>
        </w:rPr>
        <w:t xml:space="preserve">”), the price and the terms at which the proposed sale is to be made and the name and address of the proposed transferee. At any time within 30 days after the receipt of such notice by the Company, the Company or its assigns may elect to purchase all or any portion of the Offered Shares at the price and on the terms offered by the proposed transferee and specified in the notice. The Company or its assigns shall exercise this right by mailing or delivering written notice to the Holder within the foregoing 30-day period. If the Company or its assigns elect to exercise its purchase rights under this Section 9(b), the closing for such purchase shall, in any event, take place within 45 days after the receipt by the Company of the initial notice from the Holder. In the event that the Company or its assigns do not elect to exercise such purchase right, or in the event that the Company or its assigns do not pay the full purchase price within such 45-day period, the Holder shall be required to pay a transaction processing fee of $10,000 to the Company (unless waived by the Committee) and then may, within 60 days thereafter, sell the Offered Shares to the proposed transferee and at the same price and on the same terms as specified in the Holder’s notice. Any Shares not sold to the proposed transferee shall remain subject to the Plan. If the holder is a party to any stockholders agreements or other agreements with the Company and/or certain other of the Company’s stockholders relating to the Shares, (i) the transferring Holder shall comply with the requirements of such stockholders agreements or other agreements elating to any proposed transfer of the Offered Shares, and (ii) any proposed transferee that purchases Offered Shares shall enter into such stockholders agreements or other agreements with the Company and/or certain of the Company’s stockholders relating to the Offered Shares on the same terms and in the same capacity as the transferring Holder.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Company’s Right of Repurchase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Right of Repurchase for Unvested Shares Issued Upon the Exercise of an Option</w:t>
      </w:r>
      <w:r>
        <w:rPr>
          <w:rFonts w:ascii="Times New Roman" w:hAnsi="Times New Roman"/>
          <w:sz w:val="20"/>
        </w:rPr>
        <w:t xml:space="preserve">. Upon a Termination Event he Company or its assigns shall have the right and option to repurchase from a Holder of hares acquired upon exercise of a Stock Option which are still subject to a risk of forfeiture as of the Termination Event. Such repurchase rights may be exercised by the Company within the later of (A) six months following the date of such Termination Event or (B) seven months after the acquisition of Shares upon exercise of a Stock Option. The repurchase price shall be equal to the lower of the original per share price paid by the Holder, subject to adjustment as provided in Section 3(b) of the Plan, or the current Fair Market Value of such Shares as of the date the Company elects to exercise its repurchase rights.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Right of Repurchase with Respect to Restricted Stock</w:t>
      </w:r>
      <w:r>
        <w:rPr>
          <w:rFonts w:ascii="Times New Roman" w:hAnsi="Times New Roman"/>
          <w:sz w:val="20"/>
        </w:rPr>
        <w:t xml:space="preserve">. Upon a Termination Event, the Company or its assigns shall have the right and option to repurchase from a Holder of Shares received pursuant to a Restricted Stock Award any Shares that are still subject to a risk of forfeiture as of the Termination Event. Such repurchase right may be exercised by the Company within six months following the date of such Termination Event. The repurchase price shall be the lower of the original per share purchase price paid by the Holder, subject to adjustment as provided in Section 3(b) of the Plan, or the current Fair Market Value of such Shares as of the date the Company elects to exercise its repurchase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Procedure</w:t>
      </w:r>
      <w:r>
        <w:rPr>
          <w:rFonts w:ascii="Times New Roman" w:hAnsi="Times New Roman"/>
          <w:sz w:val="20"/>
        </w:rPr>
        <w:t xml:space="preserve">. Any repurchase right of the Company shall be exercised by the Company or its assigns by giving the Holder written notice on or before the last day of the repurchase period of its intention to exercise such repurchase right. Upon such notification, the Holder shall promptly surrender to the Company, free and clear of any liens or encumbrances, any certificates representing the Shares being purchased, together with a duly executed stock power for the transfer of such Shares to the Company or the Company’s assignee or assignees. Upon the Company’s or its assignee’s receipt of the certificates from the Holder, the Company or its assignee or assignees shall deliver to him, her or them a check for the applicable repurchase price;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Company may pay the repurchase price by offsetting and canceling any indebtedness then owed by the Holder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Drag Along Right</w:t>
      </w:r>
      <w:r>
        <w:rPr>
          <w:rFonts w:ascii="Times New Roman" w:hAnsi="Times New Roman"/>
          <w:sz w:val="20"/>
        </w:rPr>
        <w:t>. In the event the holders of a majority of the Company’s equity securities then outstanding (the “</w:t>
      </w:r>
      <w:r>
        <w:rPr>
          <w:rFonts w:ascii="Times New Roman" w:hAnsi="Times New Roman"/>
          <w:i/>
          <w:sz w:val="20"/>
        </w:rPr>
        <w:t>Majority Shareholders</w:t>
      </w:r>
      <w:r>
        <w:rPr>
          <w:rFonts w:ascii="Times New Roman" w:hAnsi="Times New Roman"/>
          <w:sz w:val="20"/>
        </w:rPr>
        <w:t>”) determine to enter into a Sale Event in a bona fide negotiated transaction (a “</w:t>
      </w:r>
      <w:r>
        <w:rPr>
          <w:rFonts w:ascii="Times New Roman" w:hAnsi="Times New Roman"/>
          <w:i/>
          <w:sz w:val="20"/>
        </w:rPr>
        <w:t>Sale</w:t>
      </w:r>
      <w:r>
        <w:rPr>
          <w:rFonts w:ascii="Times New Roman" w:hAnsi="Times New Roman"/>
          <w:sz w:val="20"/>
        </w:rPr>
        <w:t>”), with any non-Affiliate of the Com any or any majority shareholder (in each case, the “</w:t>
      </w:r>
      <w:r>
        <w:rPr>
          <w:rFonts w:ascii="Times New Roman" w:hAnsi="Times New Roman"/>
          <w:i/>
          <w:sz w:val="20"/>
        </w:rPr>
        <w:t>Buyer</w:t>
      </w:r>
      <w:r>
        <w:rPr>
          <w:rFonts w:ascii="Times New Roman" w:hAnsi="Times New Roman"/>
          <w:sz w:val="20"/>
        </w:rPr>
        <w:t xml:space="preserve">”), a Holder of Shares, including any Permitted Transferee, shall be obligated to and shall upon the written request of the Majority Shareholders: (a) sell, transfer and deliver, or cause to be sold, transferred and delivered, to the Buyer, his or her Shares (including for this purpose all of such Holder’s Shares that presently or as a result of any such transaction may be acquired upon the exercise of an Option (following the payment of the exercise price therefor)) on substantially the same terms applicable to the Majority Shareholders (with appropriate adjustments to reflect the conversion of convertible securities, the redemption of redeemable securities an the exercise of exercisable securities as well as the relative preferences and priorities of preferred stock); and (b) execute and deliver such instruments of conveyance and transfer and take such other action, including voting such Shares in favor of any Sale proposed by t e Majority Shareholders and executing any purchase agreements, merger agreements, indemnity agreements escrow agreements or related documents as the Majority Shareholders or the Buyer may reasonably require in order to carry out the terms and provisions of this Section 9(d).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Escrow Arrangement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Escrow</w:t>
      </w:r>
      <w:r>
        <w:rPr>
          <w:rFonts w:ascii="Times New Roman" w:hAnsi="Times New Roman"/>
          <w:sz w:val="20"/>
        </w:rPr>
        <w:t xml:space="preserve">. In order to carry out the provisions of this Section 9 of this Plan more effectively, the Company shall hold any Shares issued pursuant to Awards granted under the Plan in escrow together with separate stock powers executed by the Holder in blank for transfer. The Company shall not dispose of the Shares except as otherwise provided in this Plan. In the event of any repurchase by the Company (or any of its assigns), the Company is hereby authorized by the Holder, as the Holder’s attorney-in-fact, to date and complete the stock powers necessary for the transfer of he Shares being purchased and to transfer such Shares in accordance with the terms hereof At such time as any Shares are no longer subject to the Company’s repurchase and first refusal rights, the Company shall, at the written request of the Holder, deliver to the Holder a certificate representing such Shares with the balance of the Shares to be held in escrow pursuant to this Section.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Remedy</w:t>
      </w:r>
      <w:r>
        <w:rPr>
          <w:rFonts w:ascii="Times New Roman" w:hAnsi="Times New Roman"/>
          <w:sz w:val="20"/>
        </w:rPr>
        <w:t xml:space="preserve">. Without limitation of any other provision of this Plan or other rights, in the event that a Holder or any other Person is required to sell a Holder’s Shares pursuant to the provisions of Sections 9(b) or (c) hereof and in the further event that he or she refuses or for any reason fails to deliver to the Company or its designated purchaser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Shares the certificate or certificates evidencing such Shares together with a related stock power, the Company or such designated purchaser may deposit the applicable purchase price for such Shares with a bank designated by the Company, or with the Company’s independent public accounting firm, as agent or trustee, or in escrow, for such Holder or other Person, to be held by such bank or accounting firm for the benefit of and for delivery to him, her, them or it, and/or, in its discretion, pay such purchase price by offsetting any indebtedness then owed by such Holder as provided above. Upon any such deposit and/or offset by the Company or its designated purchaser of such amount and upon notice to the Person who was required to sell the Shares to be sold pursuant to the provisions of Sections 9(b) or (c), such Shares shall at such time be deemed to have been sold, assigned, transferred and conveyed to such purchaser, such Holder shall have no further rights thereto (other than the right to withdraw the payment thereof held in escrow, if applicable), and the Company shall record such transfer in its stock transfer book or in any appropriate manner.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Lockup Provision</w:t>
      </w:r>
      <w:r>
        <w:rPr>
          <w:rFonts w:ascii="Times New Roman" w:hAnsi="Times New Roman"/>
          <w:sz w:val="20"/>
        </w:rPr>
        <w:t xml:space="preserve">. If requested by the Company, Holder shall not se 1 or otherwise transfer or dispose of any Shares (including, without limitation, pursuant to Rule 144 under the Securities Act) held by him or her for such period following the effective date of a public offering by the Company of Shares as the Company shall specify reasonably and in good faith. If requested by the underwriter engaged by the Company, each Holder shall execute a separate letter confirming his or her agreement to comp y with this Section.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Adjustments for Changes in Capital Structure</w:t>
      </w:r>
      <w:r>
        <w:rPr>
          <w:rFonts w:ascii="Times New Roman" w:hAnsi="Times New Roman"/>
          <w:sz w:val="20"/>
        </w:rPr>
        <w:t xml:space="preserve">. If, as a result of any reorganization, recapitalization, reclassification, stock dividend, stock split, reverse stock split or other similar change in the Common Stock, the outstanding Shares are increased or decreased or are exchanged for a different number or kind of securities of the Company, the restrictions contained in this Section 9 shall apply with equal force to additional and/or substitute securities, if any, received by Holder in exchange for, or by virtue of his or her ownership of, Shares.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Termination</w:t>
      </w:r>
      <w:r>
        <w:rPr>
          <w:rFonts w:ascii="Times New Roman" w:hAnsi="Times New Roman"/>
          <w:sz w:val="20"/>
        </w:rPr>
        <w:t xml:space="preserve">. The terms and provisions of Section 9(b) and Section 9(c) (except for the Company’s right to repurchase Shares still subject to a risk of forfeiture upon a Termination Event) shall terminate upon the closing of the Company’s Initial Public Offering or upon consummation of any Sale Event in either case as a result of which Shares are registered under Section 12 of the Exchange Act and publicly-traded on any national security exchange. </w:t>
      </w:r>
    </w:p>
    <w:p>
      <w:pPr>
        <w:pStyle w:val="TextBody"/>
        <w:bidi w:val="0"/>
        <w:spacing w:before="36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TAX WITHHOLDING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 by Grantee</w:t>
      </w:r>
      <w:r>
        <w:rPr>
          <w:rFonts w:ascii="Times New Roman" w:hAnsi="Times New Roman"/>
          <w:sz w:val="20"/>
        </w:rPr>
        <w:t xml:space="preserve">. Each grantee shall, no later than the date as of which the value of an Award or of any Shares or other amounts received thereunder first becomes includable in the gross income of the grantee for income tax purposes, pay to the Company, or make arrangements satisfactory to the Committee regarding payment of, any Federal, state, or local taxes of any kind required by law to be withheld by the Company with respect to such income. The Company and any Subsidiary shall, to the extent permitted by law, have the right to deduct any such taxes from any payment of any kind otherwise due to the grantee. The Company’s obligation to deliver stock certificates (or evidence of book entry) to any grantee is subject to and conditioned on any such tax withholding obligations being satisfied by the grantee.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in Stock</w:t>
      </w:r>
      <w:r>
        <w:rPr>
          <w:rFonts w:ascii="Times New Roman" w:hAnsi="Times New Roman"/>
          <w:sz w:val="20"/>
        </w:rPr>
        <w:t xml:space="preserve">. The Company’s minimum required tax withholding obligation may be satisfied, in whole or in part, by the Company withholding from Shares to be issued pursuant to an Award a number of Shares having an aggregate Fair Market Value (as of the date the withholding is effected) that would satisfy the minimum withholding amount due.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SECTION 409A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To the extent that any Award is determined to constitute “nonqualified deferred compensation” within the meaning of Section 409A (a “</w:t>
      </w:r>
      <w:r>
        <w:rPr>
          <w:rFonts w:ascii="Times New Roman" w:hAnsi="Times New Roman"/>
          <w:i/>
          <w:sz w:val="20"/>
        </w:rPr>
        <w:t>409A Award</w:t>
      </w:r>
      <w:r>
        <w:rPr>
          <w:rFonts w:ascii="Times New Roman" w:hAnsi="Times New Roman"/>
          <w:sz w:val="20"/>
        </w:rPr>
        <w:t xml:space="preserve">”), the Award shall be subject to such additional rules and requirements as may be specified by the Committee from time to time. In this regard, if any amount under a 409A Award is payable upon a “separation from service” (within the meaning of Section 409A) to a grantee who is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 or additional tax imposed pursuant to Section 409A. The Company makes no represent on or warranty and shall have no liability to any grantee under the Plan or any other Person wit respect to any penalties or taxes under Section 409A that are, or may be, imposed with respect to any Award. </w:t>
      </w:r>
    </w:p>
    <w:p>
      <w:pPr>
        <w:pStyle w:val="TextBody"/>
        <w:bidi w:val="0"/>
        <w:spacing w:before="36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AMENDMENTS AND 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Board may, at any time, amend or discontinue the Plan and the Committee may, at any time, amend or cancel any outstanding Award for the purpose of satisfying changes in law or for any other lawful purpose, But no such action shall adversely affect rights under any outstanding Award without the consent of the holder of the Award. The Committee may exercise its discretion to reduce the exercise price of outstanding Stock Options or effect repricing through cancellation of outstanding Stock Options and by granting such holders new Awards in replacement of the cancelled Stock Options. To the extent determined by the Committee to be required either by the Code to ensure that Incentive Stock Options granted under the Plan are qualified under Section 22 of the Code or otherwise, Plan amendments shall be subject to approval b): the Company stockholders entitled to vote at a meeting of stockholders. Nothing in this Section 12 shall limit the Board’s or Committee’s authority to take any action permitted pursuant to Section 3(c). The Board reserves the right to amend the Plan and/or the terms of any outstanding Stock Options to the extent reasonably necessary to comply with the requirements of the exemption pursuant to paragraph (f)(4) of Rule 12h-1 of the Exchange Act. </w:t>
      </w:r>
    </w:p>
    <w:p>
      <w:pPr>
        <w:pStyle w:val="TextBody"/>
        <w:bidi w:val="0"/>
        <w:spacing w:before="36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STATUS OF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portion of any Award that has not been exercised and any payments in cash, Stock or other consideration not received by a grantee, a grantee shall have no rights greater than those of a general creditor of the Company unless the Committee shall otherwise expressly so determine in connection with any Award. </w:t>
      </w:r>
    </w:p>
    <w:p>
      <w:pPr>
        <w:pStyle w:val="TextBody"/>
        <w:bidi w:val="0"/>
        <w:spacing w:before="36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GENERAL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Distribution; Compliance with Legal Requirements</w:t>
      </w:r>
      <w:r>
        <w:rPr>
          <w:rFonts w:ascii="Times New Roman" w:hAnsi="Times New Roman"/>
          <w:sz w:val="20"/>
        </w:rPr>
        <w:t xml:space="preserve">. The Committee may require each person acquiring Shares pursuant to an Award to represent to and agree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in writing that such person is acquiring the Shares without a view to distribution thereof. No Shares shall be issued pursuant to an Award until all applicable securities law and other legal and stock exchange or similar requirements have been satisfied. The Committee may require the placing of such stop-orders and restrictive legends on certificates for Stock and Awards as it deems appropriate.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Delivery of Stock Certificates</w:t>
      </w:r>
      <w:r>
        <w:rPr>
          <w:rFonts w:ascii="Times New Roman" w:hAnsi="Times New Roman"/>
          <w:sz w:val="20"/>
        </w:rPr>
        <w:t xml:space="preserve">. Stock certificates to grantees under the Plan shall be deemed delivered for all purposes when the Company or a stock transfer agent of the Company shall have mailed such certificates in the United States mail, addressed to the grantee, at the grantee’s last known address on file with the Company; provided that stock certificates to be held in escrow pursuant to Section 9 of the Plan shall be deemed delivered when the Company shall have recorded the issuance in its records. Uncertificated Stoc shall be deemed delivered for all purposes when the Company or a stock transfer agent oft 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Employment Rights</w:t>
      </w:r>
      <w:r>
        <w:rPr>
          <w:rFonts w:ascii="Times New Roman" w:hAnsi="Times New Roman"/>
          <w:sz w:val="20"/>
        </w:rPr>
        <w:t xml:space="preserve">. The adoption of the Plan ana the grant of Awards do not confer upon any Person any right to continued employment or Service Relationship with the Company 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Trading Policy Restrictions</w:t>
      </w:r>
      <w:r>
        <w:rPr>
          <w:rFonts w:ascii="Times New Roman" w:hAnsi="Times New Roman"/>
          <w:sz w:val="20"/>
        </w:rPr>
        <w:t xml:space="preserve">. Option exercises and other Awards under the Plan shall be subject to the Company’s insider trading policy-related restrictions, terms and conditions as may be established by the Committee, or in accordance with policies set by the Committee,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Designation of Beneficiary</w:t>
      </w:r>
      <w:r>
        <w:rPr>
          <w:rFonts w:ascii="Times New Roman" w:hAnsi="Times New Roman"/>
          <w:sz w:val="20"/>
        </w:rPr>
        <w:t xml:space="preserve">. Each grantee to whom an Award has been made under the Plan may designate a beneficiary or beneficiaries to exercise any Award on or after the grantee’s death or receive any payment under any Award payable on or after the grantee’s death. Any such designation shall be on a form provided for that purpose by the Committee and shall not be effective until received by the Committee. If no beneficiary has been designated by a deceased grantee, or if the designated beneficiaries have predeceased the grantee, the beneficiary shall be the grantee’s estate.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Legend</w:t>
      </w:r>
      <w:r>
        <w:rPr>
          <w:rFonts w:ascii="Times New Roman" w:hAnsi="Times New Roman"/>
          <w:sz w:val="20"/>
        </w:rPr>
        <w:t xml:space="preserve">. Any certificate(s) representing the Shares shall carry substantially the following legend (and with respect to uncertificated Stock, the book entries evidencing such shares shall contain the following notation): </w:t>
      </w:r>
    </w:p>
    <w:p>
      <w:pPr>
        <w:pStyle w:val="TextBody"/>
        <w:bidi w:val="0"/>
        <w:spacing w:before="240" w:after="0"/>
        <w:jc w:val="left"/>
        <w:rPr>
          <w:rFonts w:ascii="Times New Roman" w:hAnsi="Times New Roman"/>
          <w:sz w:val="20"/>
        </w:rPr>
      </w:pPr>
      <w:r>
        <w:rPr>
          <w:rFonts w:ascii="Times New Roman" w:hAnsi="Times New Roman"/>
          <w:sz w:val="20"/>
        </w:rPr>
        <w:t xml:space="preserve">The transferability of this certificate and the shares of stock represented hereby are subject to the restrictions, terms and conditions (including repurchase and restrictions against transfers) contained in the Obsidian Therapeutics, Inc. 2016 Stock Option and Grant Plan and any agreements entered into thereunder by and between the company and the holder of this certificate (a copy of which is available at the offices of the company for examination).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Information to Holders of Options</w:t>
      </w:r>
      <w:r>
        <w:rPr>
          <w:rFonts w:ascii="Times New Roman" w:hAnsi="Times New Roman"/>
          <w:sz w:val="20"/>
        </w:rPr>
        <w:t xml:space="preserve">. In the event the Company is relying on the exemption from the registration requirements of Section 12(g) of the Exchange Act contained in paragraph (f)(l) of Rule 12h-1 of the Exchange Act, the Company shall provide the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described in Rule 701(e)(3), (4) and (5) of the Securities Act to all holders of Options in accordance with the requirements thereunder. The foregoing notwithstanding, the Company shall not be required to provide such information unless the optionholder has agreed in writing, on a form prescribed by the Company, to keep such information confidential. </w:t>
      </w:r>
    </w:p>
    <w:p>
      <w:pPr>
        <w:pStyle w:val="TextBody"/>
        <w:bidi w:val="0"/>
        <w:spacing w:before="36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EFFECTIVE DATE OF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Plan shall become effective upon adoption by the Board and shall be approved by stockholders in accordance with applicable state law and the Company’s articles of incorporation and bylaws within 12 months thereafter. If the stockholders fail to approve the Pla within 12 months after its adoption by the Board of Directors, then any Awards granted or sold under the Plan shall be rescinded and no additional grants or sales shall thereafter be made under the Plan. Subject to such approval by stockholders and to t e requirement that no Shares may be issued hereunder prior to such approval, Stock Options and other Aw ds may be granted hereunder on and after adoption of the Plan by the Board. No grants of Stock Options and other Awards may be made hereunder after the tenth anniversary of the date the Plan is adopted by the Board or the date the Plan is approved by the Company’s stockholders whichever is earlier. </w:t>
      </w:r>
    </w:p>
    <w:p>
      <w:pPr>
        <w:pStyle w:val="TextBody"/>
        <w:bidi w:val="0"/>
        <w:spacing w:before="36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Plan, all Awards and any controversy arising out o or relating to this Plan and all Awards shall be governed b and construed in accordance with the General Corporation Law of the State of Delaware as to matters within the scope thereof, and as to all other matters shall be governed by and construed in accord nee with the internal laws of the Commonwealth of Massachusetts, without regard to conflict of law principles that would result in the application of any law other than the law of the Commonwealth of Massachusetts.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84"/>
        <w:gridCol w:w="128"/>
        <w:gridCol w:w="1574"/>
        <w:gridCol w:w="128"/>
        <w:gridCol w:w="3891"/>
      </w:tblGrid>
      <w:tr>
        <w:trPr/>
        <w:tc>
          <w:tcPr>
            <w:tcW w:w="4484"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3891" w:type="dxa"/>
            <w:tcBorders/>
            <w:vAlign w:val="center"/>
          </w:tcPr>
          <w:p>
            <w:pPr>
              <w:pStyle w:val="TableContents"/>
              <w:bidi w:val="0"/>
              <w:spacing w:before="0" w:after="283"/>
              <w:jc w:val="left"/>
              <w:rPr>
                <w:sz w:val="4"/>
                <w:szCs w:val="4"/>
              </w:rPr>
            </w:pPr>
            <w:r>
              <w:rPr>
                <w:sz w:val="4"/>
                <w:szCs w:val="4"/>
              </w:rPr>
            </w:r>
          </w:p>
        </w:tc>
      </w:tr>
      <w:tr>
        <w:trPr/>
        <w:tc>
          <w:tcPr>
            <w:tcW w:w="4484" w:type="dxa"/>
            <w:tcBorders/>
          </w:tcPr>
          <w:p>
            <w:pPr>
              <w:pStyle w:val="TableContents"/>
              <w:bidi w:val="0"/>
              <w:spacing w:before="0" w:after="283"/>
              <w:jc w:val="left"/>
              <w:rPr/>
            </w:pPr>
            <w:r>
              <w:rPr/>
              <w:t>DATE ADOPTED BY THE BOARD OF DIRECTORS:</w:t>
            </w:r>
          </w:p>
        </w:tc>
        <w:tc>
          <w:tcPr>
            <w:tcW w:w="128" w:type="dxa"/>
            <w:tcBorders/>
            <w:vAlign w:val="bottom"/>
          </w:tcPr>
          <w:p>
            <w:pPr>
              <w:pStyle w:val="TableContents"/>
              <w:bidi w:val="0"/>
              <w:spacing w:before="0" w:after="283"/>
              <w:jc w:val="left"/>
              <w:rPr/>
            </w:pPr>
            <w:r>
              <w:rPr/>
              <w:t>  </w:t>
            </w:r>
          </w:p>
        </w:tc>
        <w:tc>
          <w:tcPr>
            <w:tcW w:w="1574" w:type="dxa"/>
            <w:tcBorders/>
          </w:tcPr>
          <w:p>
            <w:pPr>
              <w:pStyle w:val="TableContents"/>
              <w:bidi w:val="0"/>
              <w:spacing w:before="0" w:after="283"/>
              <w:jc w:val="left"/>
              <w:rPr/>
            </w:pPr>
            <w:r>
              <w:rPr/>
              <w:t>March 23, 2016</w:t>
            </w:r>
          </w:p>
        </w:tc>
        <w:tc>
          <w:tcPr>
            <w:tcW w:w="128" w:type="dxa"/>
            <w:tcBorders/>
            <w:vAlign w:val="bottom"/>
          </w:tcPr>
          <w:p>
            <w:pPr>
              <w:pStyle w:val="TableContents"/>
              <w:bidi w:val="0"/>
              <w:spacing w:before="0" w:after="283"/>
              <w:jc w:val="left"/>
              <w:rPr/>
            </w:pPr>
            <w:r>
              <w:rPr/>
              <w:t>  </w:t>
            </w:r>
          </w:p>
        </w:tc>
        <w:tc>
          <w:tcPr>
            <w:tcW w:w="3891" w:type="dxa"/>
            <w:tcBorders/>
          </w:tcPr>
          <w:p>
            <w:pPr>
              <w:pStyle w:val="TableContents"/>
              <w:bidi w:val="0"/>
              <w:spacing w:before="0" w:after="283"/>
              <w:jc w:val="left"/>
              <w:rPr>
                <w:sz w:val="4"/>
                <w:szCs w:val="4"/>
              </w:rPr>
            </w:pPr>
            <w:r>
              <w:rPr>
                <w:sz w:val="4"/>
                <w:szCs w:val="4"/>
              </w:rPr>
            </w:r>
          </w:p>
        </w:tc>
      </w:tr>
      <w:tr>
        <w:trPr>
          <w:trHeight w:val="240" w:hRule="atLeast"/>
        </w:trPr>
        <w:tc>
          <w:tcPr>
            <w:tcW w:w="4484" w:type="dxa"/>
            <w:tcBorders/>
            <w:vAlign w:val="center"/>
          </w:tcPr>
          <w:p>
            <w:pPr>
              <w:pStyle w:val="TableContents"/>
              <w:bidi w:val="0"/>
              <w:spacing w:before="0" w:after="283"/>
              <w:jc w:val="left"/>
              <w:rPr>
                <w:sz w:val="4"/>
                <w:szCs w:val="4"/>
              </w:rPr>
            </w:pPr>
            <w:r>
              <w:rPr>
                <w:sz w:val="4"/>
                <w:szCs w:val="4"/>
              </w:rPr>
            </w:r>
          </w:p>
        </w:tc>
        <w:tc>
          <w:tcPr>
            <w:tcW w:w="1702" w:type="dxa"/>
            <w:gridSpan w:val="2"/>
            <w:tcBorders/>
            <w:vAlign w:val="center"/>
          </w:tcPr>
          <w:p>
            <w:pPr>
              <w:pStyle w:val="TableContents"/>
              <w:bidi w:val="0"/>
              <w:spacing w:before="0" w:after="283"/>
              <w:jc w:val="left"/>
              <w:rPr>
                <w:sz w:val="4"/>
                <w:szCs w:val="4"/>
              </w:rPr>
            </w:pPr>
            <w:r>
              <w:rPr>
                <w:sz w:val="4"/>
                <w:szCs w:val="4"/>
              </w:rPr>
            </w:r>
          </w:p>
        </w:tc>
        <w:tc>
          <w:tcPr>
            <w:tcW w:w="4019" w:type="dxa"/>
            <w:gridSpan w:val="2"/>
            <w:tcBorders/>
            <w:vAlign w:val="center"/>
          </w:tcPr>
          <w:p>
            <w:pPr>
              <w:pStyle w:val="TableContents"/>
              <w:bidi w:val="0"/>
              <w:spacing w:before="0" w:after="283"/>
              <w:jc w:val="left"/>
              <w:rPr>
                <w:sz w:val="4"/>
                <w:szCs w:val="4"/>
              </w:rPr>
            </w:pPr>
            <w:r>
              <w:rPr>
                <w:sz w:val="4"/>
                <w:szCs w:val="4"/>
              </w:rPr>
            </w:r>
          </w:p>
        </w:tc>
      </w:tr>
      <w:tr>
        <w:trPr/>
        <w:tc>
          <w:tcPr>
            <w:tcW w:w="4484" w:type="dxa"/>
            <w:tcBorders/>
          </w:tcPr>
          <w:p>
            <w:pPr>
              <w:pStyle w:val="TableContents"/>
              <w:bidi w:val="0"/>
              <w:spacing w:before="0" w:after="283"/>
              <w:jc w:val="left"/>
              <w:rPr/>
            </w:pPr>
            <w:r>
              <w:rPr/>
              <w:t>DATE APPROVED BY THE STOCK HOLDERS:</w:t>
            </w:r>
          </w:p>
        </w:tc>
        <w:tc>
          <w:tcPr>
            <w:tcW w:w="128" w:type="dxa"/>
            <w:tcBorders/>
            <w:vAlign w:val="bottom"/>
          </w:tcPr>
          <w:p>
            <w:pPr>
              <w:pStyle w:val="TableContents"/>
              <w:bidi w:val="0"/>
              <w:spacing w:before="0" w:after="283"/>
              <w:jc w:val="left"/>
              <w:rPr/>
            </w:pPr>
            <w:r>
              <w:rPr/>
              <w:t>  </w:t>
            </w:r>
          </w:p>
        </w:tc>
        <w:tc>
          <w:tcPr>
            <w:tcW w:w="1574" w:type="dxa"/>
            <w:tcBorders/>
          </w:tcPr>
          <w:p>
            <w:pPr>
              <w:pStyle w:val="TableContents"/>
              <w:bidi w:val="0"/>
              <w:spacing w:before="0" w:after="283"/>
              <w:jc w:val="left"/>
              <w:rPr/>
            </w:pPr>
            <w:r>
              <w:rPr/>
              <w:t>March 23, 2016</w:t>
            </w:r>
          </w:p>
        </w:tc>
        <w:tc>
          <w:tcPr>
            <w:tcW w:w="128" w:type="dxa"/>
            <w:tcBorders/>
            <w:vAlign w:val="bottom"/>
          </w:tcPr>
          <w:p>
            <w:pPr>
              <w:pStyle w:val="TableContents"/>
              <w:bidi w:val="0"/>
              <w:spacing w:before="0" w:after="283"/>
              <w:jc w:val="left"/>
              <w:rPr/>
            </w:pPr>
            <w:r>
              <w:rPr/>
              <w:t>  </w:t>
            </w:r>
          </w:p>
        </w:tc>
        <w:tc>
          <w:tcPr>
            <w:tcW w:w="389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INCENTIVE STOCK OPTION GRANT NOTICE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OBSIDIAN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2016 STOCK OPTION AND GRANT PLAN </w:t>
      </w:r>
    </w:p>
    <w:p>
      <w:pPr>
        <w:pStyle w:val="TextBody"/>
        <w:bidi w:val="0"/>
        <w:spacing w:before="240" w:after="0"/>
        <w:jc w:val="left"/>
        <w:rPr>
          <w:rFonts w:ascii="Times New Roman" w:hAnsi="Times New Roman"/>
          <w:sz w:val="20"/>
        </w:rPr>
      </w:pPr>
      <w:r>
        <w:rPr>
          <w:rFonts w:ascii="Times New Roman" w:hAnsi="Times New Roman"/>
          <w:sz w:val="20"/>
        </w:rPr>
        <w:t>Pursuant to the Obsidian Therapeutics, Inc</w:t>
      </w:r>
      <w:r>
        <w:rPr>
          <w:rFonts w:ascii="Times New Roman" w:hAnsi="Times New Roman"/>
          <w:b/>
          <w:sz w:val="20"/>
        </w:rPr>
        <w:t>.</w:t>
      </w:r>
      <w:r>
        <w:rPr>
          <w:rFonts w:ascii="Times New Roman" w:hAnsi="Times New Roman"/>
          <w:sz w:val="20"/>
        </w:rPr>
        <w:t xml:space="preserve"> 2016 Stock Option and Grant Plan (the “Plan”), Obsidian Therapeutics, Inc. a Delaware corporation (together with any successor, the “Company”), has granted to the individual named below, an option (the “Stock Option”) to purchase on or prior to the Expiration Date, or such earlier date as is specified herein, all or any part of the number of shares of Common Stock, par value $0.0001 per share (“Common Stock”), of the Company indicated below (the “Shares”), at the Option Exercise Price per share, subject to the terms and conditions set forth in this Incentive Stock Option Grant Notice (the “Grant Notice”), the attached Incentive Stock Option Agreement (the “Agreement”) and the Plan. This Stock Option is intended to qualify as an “incentive stock option” as defined in Section 422(b) of the Internal Revenue Code of 1986, as amended from time to time (the “Code”). To the extent that any portion of the Stock Option does not so qualify, it shall be deemed a non-qualified stock option.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18"/>
        <w:gridCol w:w="120"/>
        <w:gridCol w:w="7467"/>
      </w:tblGrid>
      <w:tr>
        <w:trPr/>
        <w:tc>
          <w:tcPr>
            <w:tcW w:w="261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467" w:type="dxa"/>
            <w:tcBorders/>
            <w:vAlign w:val="center"/>
          </w:tcPr>
          <w:p>
            <w:pPr>
              <w:pStyle w:val="TableContents"/>
              <w:bidi w:val="0"/>
              <w:spacing w:before="0" w:after="283"/>
              <w:jc w:val="left"/>
              <w:rPr>
                <w:sz w:val="4"/>
                <w:szCs w:val="4"/>
              </w:rPr>
            </w:pPr>
            <w:r>
              <w:rPr>
                <w:sz w:val="4"/>
                <w:szCs w:val="4"/>
              </w:rPr>
            </w:r>
          </w:p>
        </w:tc>
      </w:tr>
      <w:tr>
        <w:trPr/>
        <w:tc>
          <w:tcPr>
            <w:tcW w:w="2618" w:type="dxa"/>
            <w:tcBorders/>
          </w:tcPr>
          <w:p>
            <w:pPr>
              <w:pStyle w:val="TableContents"/>
              <w:bidi w:val="0"/>
              <w:spacing w:before="0" w:after="283"/>
              <w:jc w:val="left"/>
              <w:rPr/>
            </w:pPr>
            <w:r>
              <w:rPr/>
              <w:t>Name of Optionee:</w:t>
            </w:r>
          </w:p>
        </w:tc>
        <w:tc>
          <w:tcPr>
            <w:tcW w:w="120" w:type="dxa"/>
            <w:tcBorders/>
            <w:vAlign w:val="bottom"/>
          </w:tcPr>
          <w:p>
            <w:pPr>
              <w:pStyle w:val="TableContents"/>
              <w:bidi w:val="0"/>
              <w:spacing w:before="0" w:after="283"/>
              <w:jc w:val="left"/>
              <w:rPr/>
            </w:pPr>
            <w:r>
              <w:rPr/>
              <w:t>  </w:t>
            </w:r>
          </w:p>
        </w:tc>
        <w:tc>
          <w:tcPr>
            <w:tcW w:w="7467" w:type="dxa"/>
            <w:tcBorders/>
          </w:tcPr>
          <w:p>
            <w:pPr>
              <w:pStyle w:val="TableContents"/>
              <w:bidi w:val="0"/>
              <w:spacing w:before="0" w:after="283"/>
              <w:jc w:val="left"/>
              <w:rPr/>
            </w:pPr>
            <w:r>
              <w:rPr/>
              <w:t>(the “Optionee”)</w:t>
            </w:r>
          </w:p>
        </w:tc>
      </w:tr>
      <w:tr>
        <w:trPr>
          <w:trHeight w:val="120" w:hRule="atLeast"/>
        </w:trPr>
        <w:tc>
          <w:tcPr>
            <w:tcW w:w="2618" w:type="dxa"/>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r>
      <w:tr>
        <w:trPr/>
        <w:tc>
          <w:tcPr>
            <w:tcW w:w="2618" w:type="dxa"/>
            <w:tcBorders/>
          </w:tcPr>
          <w:p>
            <w:pPr>
              <w:pStyle w:val="TableContents"/>
              <w:bidi w:val="0"/>
              <w:spacing w:before="0" w:after="283"/>
              <w:jc w:val="left"/>
              <w:rPr/>
            </w:pPr>
            <w:r>
              <w:rPr/>
              <w:t>No. of Shares:</w:t>
            </w:r>
          </w:p>
        </w:tc>
        <w:tc>
          <w:tcPr>
            <w:tcW w:w="120" w:type="dxa"/>
            <w:tcBorders/>
            <w:vAlign w:val="bottom"/>
          </w:tcPr>
          <w:p>
            <w:pPr>
              <w:pStyle w:val="TableContents"/>
              <w:bidi w:val="0"/>
              <w:spacing w:before="0" w:after="283"/>
              <w:jc w:val="left"/>
              <w:rPr/>
            </w:pPr>
            <w:r>
              <w:rPr/>
              <w:t>  </w:t>
            </w:r>
          </w:p>
        </w:tc>
        <w:tc>
          <w:tcPr>
            <w:tcW w:w="7467" w:type="dxa"/>
            <w:tcBorders/>
          </w:tcPr>
          <w:p>
            <w:pPr>
              <w:pStyle w:val="TableContents"/>
              <w:bidi w:val="0"/>
              <w:spacing w:before="0" w:after="283"/>
              <w:jc w:val="left"/>
              <w:rPr>
                <w:sz w:val="4"/>
                <w:szCs w:val="4"/>
              </w:rPr>
            </w:pPr>
            <w:r>
              <w:rPr>
                <w:sz w:val="4"/>
                <w:szCs w:val="4"/>
              </w:rPr>
            </w:r>
          </w:p>
        </w:tc>
      </w:tr>
      <w:tr>
        <w:trPr>
          <w:trHeight w:val="120" w:hRule="atLeast"/>
        </w:trPr>
        <w:tc>
          <w:tcPr>
            <w:tcW w:w="2618" w:type="dxa"/>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r>
      <w:tr>
        <w:trPr/>
        <w:tc>
          <w:tcPr>
            <w:tcW w:w="2618" w:type="dxa"/>
            <w:tcBorders/>
          </w:tcPr>
          <w:p>
            <w:pPr>
              <w:pStyle w:val="TableContents"/>
              <w:bidi w:val="0"/>
              <w:spacing w:before="0" w:after="283"/>
              <w:jc w:val="left"/>
              <w:rPr/>
            </w:pPr>
            <w:r>
              <w:rPr/>
              <w:t>Grant Date:</w:t>
            </w:r>
          </w:p>
        </w:tc>
        <w:tc>
          <w:tcPr>
            <w:tcW w:w="120" w:type="dxa"/>
            <w:tcBorders/>
            <w:vAlign w:val="bottom"/>
          </w:tcPr>
          <w:p>
            <w:pPr>
              <w:pStyle w:val="TableContents"/>
              <w:bidi w:val="0"/>
              <w:spacing w:before="0" w:after="283"/>
              <w:jc w:val="left"/>
              <w:rPr/>
            </w:pPr>
            <w:r>
              <w:rPr/>
              <w:t>  </w:t>
            </w:r>
          </w:p>
        </w:tc>
        <w:tc>
          <w:tcPr>
            <w:tcW w:w="7467" w:type="dxa"/>
            <w:tcBorders/>
          </w:tcPr>
          <w:p>
            <w:pPr>
              <w:pStyle w:val="TableContents"/>
              <w:bidi w:val="0"/>
              <w:spacing w:before="0" w:after="283"/>
              <w:jc w:val="left"/>
              <w:rPr>
                <w:sz w:val="4"/>
                <w:szCs w:val="4"/>
              </w:rPr>
            </w:pPr>
            <w:r>
              <w:rPr>
                <w:sz w:val="4"/>
                <w:szCs w:val="4"/>
              </w:rPr>
            </w:r>
          </w:p>
        </w:tc>
      </w:tr>
      <w:tr>
        <w:trPr>
          <w:trHeight w:val="120" w:hRule="atLeast"/>
        </w:trPr>
        <w:tc>
          <w:tcPr>
            <w:tcW w:w="2618" w:type="dxa"/>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r>
      <w:tr>
        <w:trPr/>
        <w:tc>
          <w:tcPr>
            <w:tcW w:w="2618" w:type="dxa"/>
            <w:tcBorders/>
          </w:tcPr>
          <w:p>
            <w:pPr>
              <w:pStyle w:val="TableContents"/>
              <w:bidi w:val="0"/>
              <w:spacing w:before="0" w:after="283"/>
              <w:jc w:val="left"/>
              <w:rPr/>
            </w:pPr>
            <w:r>
              <w:rPr/>
              <w:t>Vesting Commencement Date:</w:t>
            </w:r>
          </w:p>
        </w:tc>
        <w:tc>
          <w:tcPr>
            <w:tcW w:w="120" w:type="dxa"/>
            <w:tcBorders/>
            <w:vAlign w:val="bottom"/>
          </w:tcPr>
          <w:p>
            <w:pPr>
              <w:pStyle w:val="TableContents"/>
              <w:bidi w:val="0"/>
              <w:spacing w:before="0" w:after="283"/>
              <w:jc w:val="left"/>
              <w:rPr/>
            </w:pPr>
            <w:r>
              <w:rPr/>
              <w:t>  </w:t>
            </w:r>
          </w:p>
        </w:tc>
        <w:tc>
          <w:tcPr>
            <w:tcW w:w="7467" w:type="dxa"/>
            <w:tcBorders/>
          </w:tcPr>
          <w:p>
            <w:pPr>
              <w:pStyle w:val="TableContents"/>
              <w:bidi w:val="0"/>
              <w:spacing w:before="0" w:after="283"/>
              <w:jc w:val="left"/>
              <w:rPr/>
            </w:pPr>
            <w:r>
              <w:rPr/>
              <w:t>(the “Vesting Commencement Date”)</w:t>
            </w:r>
          </w:p>
        </w:tc>
      </w:tr>
      <w:tr>
        <w:trPr>
          <w:trHeight w:val="120" w:hRule="atLeast"/>
        </w:trPr>
        <w:tc>
          <w:tcPr>
            <w:tcW w:w="2618" w:type="dxa"/>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r>
      <w:tr>
        <w:trPr/>
        <w:tc>
          <w:tcPr>
            <w:tcW w:w="2618" w:type="dxa"/>
            <w:tcBorders/>
          </w:tcPr>
          <w:p>
            <w:pPr>
              <w:pStyle w:val="TableContents"/>
              <w:bidi w:val="0"/>
              <w:spacing w:before="0" w:after="283"/>
              <w:jc w:val="left"/>
              <w:rPr/>
            </w:pPr>
            <w:r>
              <w:rPr/>
              <w:t>Expiration Date:</w:t>
            </w:r>
          </w:p>
        </w:tc>
        <w:tc>
          <w:tcPr>
            <w:tcW w:w="120" w:type="dxa"/>
            <w:tcBorders/>
            <w:vAlign w:val="bottom"/>
          </w:tcPr>
          <w:p>
            <w:pPr>
              <w:pStyle w:val="TableContents"/>
              <w:bidi w:val="0"/>
              <w:spacing w:before="0" w:after="283"/>
              <w:jc w:val="left"/>
              <w:rPr/>
            </w:pPr>
            <w:r>
              <w:rPr/>
              <w:t>  </w:t>
            </w:r>
          </w:p>
        </w:tc>
        <w:tc>
          <w:tcPr>
            <w:tcW w:w="7467" w:type="dxa"/>
            <w:tcBorders/>
          </w:tcPr>
          <w:p>
            <w:pPr>
              <w:pStyle w:val="TableContents"/>
              <w:bidi w:val="0"/>
              <w:spacing w:before="0" w:after="283"/>
              <w:jc w:val="left"/>
              <w:rPr/>
            </w:pPr>
            <w:r>
              <w:rPr/>
              <w:t>(the “Expiration Date”)</w:t>
            </w:r>
          </w:p>
        </w:tc>
      </w:tr>
      <w:tr>
        <w:trPr>
          <w:trHeight w:val="120" w:hRule="atLeast"/>
        </w:trPr>
        <w:tc>
          <w:tcPr>
            <w:tcW w:w="2618" w:type="dxa"/>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r>
      <w:tr>
        <w:trPr/>
        <w:tc>
          <w:tcPr>
            <w:tcW w:w="2618" w:type="dxa"/>
            <w:tcBorders/>
          </w:tcPr>
          <w:p>
            <w:pPr>
              <w:pStyle w:val="TableContents"/>
              <w:bidi w:val="0"/>
              <w:spacing w:before="0" w:after="283"/>
              <w:jc w:val="left"/>
              <w:rPr/>
            </w:pPr>
            <w:r>
              <w:rPr/>
              <w:t>Option Exercise Price/Share:</w:t>
            </w:r>
          </w:p>
        </w:tc>
        <w:tc>
          <w:tcPr>
            <w:tcW w:w="120" w:type="dxa"/>
            <w:tcBorders/>
            <w:vAlign w:val="bottom"/>
          </w:tcPr>
          <w:p>
            <w:pPr>
              <w:pStyle w:val="TableContents"/>
              <w:bidi w:val="0"/>
              <w:spacing w:before="0" w:after="283"/>
              <w:jc w:val="left"/>
              <w:rPr/>
            </w:pPr>
            <w:r>
              <w:rPr/>
              <w:t>  </w:t>
            </w:r>
          </w:p>
        </w:tc>
        <w:tc>
          <w:tcPr>
            <w:tcW w:w="7467" w:type="dxa"/>
            <w:tcBorders/>
          </w:tcPr>
          <w:p>
            <w:pPr>
              <w:pStyle w:val="TableContents"/>
              <w:bidi w:val="0"/>
              <w:spacing w:before="0" w:after="283"/>
              <w:jc w:val="left"/>
              <w:rPr/>
            </w:pPr>
            <w:r>
              <w:rPr/>
              <w:t>(the “Option Exercise Price”)</w:t>
            </w:r>
          </w:p>
        </w:tc>
      </w:tr>
      <w:tr>
        <w:trPr>
          <w:trHeight w:val="120" w:hRule="atLeast"/>
        </w:trPr>
        <w:tc>
          <w:tcPr>
            <w:tcW w:w="2618" w:type="dxa"/>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r>
      <w:tr>
        <w:trPr/>
        <w:tc>
          <w:tcPr>
            <w:tcW w:w="2618" w:type="dxa"/>
            <w:tcBorders/>
          </w:tcPr>
          <w:p>
            <w:pPr>
              <w:pStyle w:val="TableContents"/>
              <w:bidi w:val="0"/>
              <w:spacing w:before="0" w:after="283"/>
              <w:jc w:val="left"/>
              <w:rPr/>
            </w:pPr>
            <w:r>
              <w:rPr/>
              <w:t>Vesting Schedule:</w:t>
            </w:r>
          </w:p>
        </w:tc>
        <w:tc>
          <w:tcPr>
            <w:tcW w:w="120" w:type="dxa"/>
            <w:tcBorders/>
            <w:vAlign w:val="bottom"/>
          </w:tcPr>
          <w:p>
            <w:pPr>
              <w:pStyle w:val="TableContents"/>
              <w:bidi w:val="0"/>
              <w:spacing w:before="0" w:after="283"/>
              <w:jc w:val="left"/>
              <w:rPr/>
            </w:pPr>
            <w:r>
              <w:rPr/>
              <w:t>  </w:t>
            </w:r>
          </w:p>
        </w:tc>
        <w:tc>
          <w:tcPr>
            <w:tcW w:w="7467" w:type="dxa"/>
            <w:tcBorders/>
          </w:tcPr>
          <w:p>
            <w:pPr>
              <w:pStyle w:val="TableContents"/>
              <w:bidi w:val="0"/>
              <w:spacing w:before="0" w:after="283"/>
              <w:jc w:val="left"/>
              <w:rPr/>
            </w:pPr>
            <w:r>
              <w:rPr/>
              <w:t>25 percent of the Shares shall vest and become exercisable on the first anniversary of the Vesting Commencement Date; provided that the Optionee continues to have a Service Relationship with the Company at such time. Thereafter, the remaining 75 percent of the Shares shall vest and become exercisable in 36 equal monthly installments following the first anniversary of the Vesting Commencement Date, provided the Optionee continues to have a Service Relationship with the Company on each vesting date. Notwithstanding anything in the Agreement to the contrary, in the case of a Sale Event, this Stock Option and the Shares shall be treated as provided in Section 3(c) of the Plan.</w:t>
            </w:r>
          </w:p>
        </w:tc>
      </w:tr>
    </w:tbl>
    <w:p>
      <w:pPr>
        <w:pStyle w:val="TextBody"/>
        <w:bidi w:val="0"/>
        <w:spacing w:before="240" w:after="0"/>
        <w:jc w:val="left"/>
        <w:rPr>
          <w:rFonts w:ascii="Times New Roman" w:hAnsi="Times New Roman"/>
          <w:sz w:val="20"/>
        </w:rPr>
      </w:pPr>
      <w:r>
        <w:rPr>
          <w:rFonts w:ascii="Times New Roman" w:hAnsi="Times New Roman"/>
          <w:b/>
          <w:sz w:val="20"/>
        </w:rPr>
        <w:t>Attachments</w:t>
      </w:r>
      <w:r>
        <w:rPr>
          <w:rFonts w:ascii="Times New Roman" w:hAnsi="Times New Roman"/>
          <w:sz w:val="20"/>
        </w:rPr>
        <w:t xml:space="preserve">: Incentive Stock Option Agreement, 2016 Stock Option and Grant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INCENTIVE STOCK OPTION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OBSIDIAN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2016 STOCK OPTION AND GRANT PLAN </w:t>
      </w:r>
    </w:p>
    <w:p>
      <w:pPr>
        <w:pStyle w:val="TextBody"/>
        <w:bidi w:val="0"/>
        <w:spacing w:before="240" w:after="0"/>
        <w:jc w:val="left"/>
        <w:rPr>
          <w:rFonts w:ascii="Times New Roman" w:hAnsi="Times New Roman"/>
          <w:sz w:val="20"/>
        </w:rPr>
      </w:pPr>
      <w:r>
        <w:rPr>
          <w:rFonts w:ascii="Times New Roman" w:hAnsi="Times New Roman"/>
          <w:sz w:val="20"/>
        </w:rPr>
        <w:t xml:space="preserve">All capitalized terms used herein and not otherwise defined shall have the respective meanings set forth in the Grant Notice and the Plan. </w:t>
      </w:r>
    </w:p>
    <w:p>
      <w:pPr>
        <w:pStyle w:val="TextBody"/>
        <w:bidi w:val="0"/>
        <w:spacing w:before="240" w:after="0"/>
        <w:jc w:val="left"/>
        <w:rPr>
          <w:rFonts w:ascii="Times New Roman" w:hAnsi="Times New Roman"/>
          <w:sz w:val="20"/>
        </w:rPr>
      </w:pPr>
      <w:r>
        <w:rPr>
          <w:rFonts w:ascii="Times New Roman" w:hAnsi="Times New Roman"/>
          <w:sz w:val="20"/>
          <w:u w:val="single"/>
        </w:rPr>
        <w:t>Vesting, Exercisability and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portion of this Stock Option may be exercised until such portion shall have vested and become exercisable.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below, and subject to the determination of the Committee in its sole discretion to accelerate the vesting schedule hereunder, this Stock Option shall be vested and exercisable on the respective dates indicated below: </w:t>
      </w:r>
    </w:p>
    <w:p>
      <w:pPr>
        <w:pStyle w:val="TextBody"/>
        <w:bidi w:val="0"/>
        <w:spacing w:before="120" w:after="0"/>
        <w:jc w:val="left"/>
        <w:rPr>
          <w:rFonts w:ascii="Times New Roman" w:hAnsi="Times New Roman"/>
          <w:sz w:val="20"/>
        </w:rPr>
      </w:pPr>
      <w:r>
        <w:rPr>
          <w:rFonts w:ascii="Times New Roman" w:hAnsi="Times New Roman"/>
          <w:sz w:val="20"/>
        </w:rPr>
        <w:t xml:space="preserve">This Stock Option shall initially be unvested and unexercisable. </w:t>
      </w:r>
    </w:p>
    <w:p>
      <w:pPr>
        <w:pStyle w:val="TextBody"/>
        <w:bidi w:val="0"/>
        <w:spacing w:before="120" w:after="0"/>
        <w:jc w:val="left"/>
        <w:rPr>
          <w:rFonts w:ascii="Times New Roman" w:hAnsi="Times New Roman"/>
          <w:sz w:val="20"/>
        </w:rPr>
      </w:pPr>
      <w:r>
        <w:rPr>
          <w:rFonts w:ascii="Times New Roman" w:hAnsi="Times New Roman"/>
          <w:sz w:val="20"/>
        </w:rPr>
        <w:t xml:space="preserve">This Stock Option shall vest and become exercisable in accordance with the Vesting Schedule set forth in the Grant Notice. </w:t>
      </w:r>
    </w:p>
    <w:p>
      <w:pPr>
        <w:pStyle w:val="TextBody"/>
        <w:bidi w:val="0"/>
        <w:spacing w:before="240" w:after="0"/>
        <w:jc w:val="left"/>
        <w:rPr>
          <w:rFonts w:ascii="Times New Roman" w:hAnsi="Times New Roman"/>
          <w:sz w:val="20"/>
        </w:rPr>
      </w:pPr>
      <w:r>
        <w:rPr>
          <w:rFonts w:ascii="Times New Roman" w:hAnsi="Times New Roman"/>
          <w:sz w:val="20"/>
          <w:u w:val="single"/>
        </w:rPr>
        <w:t>Termination</w:t>
      </w:r>
      <w:r>
        <w:rPr>
          <w:rFonts w:ascii="Times New Roman" w:hAnsi="Times New Roman"/>
          <w:sz w:val="20"/>
        </w:rPr>
        <w:t xml:space="preserve">.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 </w:t>
      </w:r>
    </w:p>
    <w:p>
      <w:pPr>
        <w:pStyle w:val="TextBody"/>
        <w:bidi w:val="0"/>
        <w:spacing w:before="120" w:after="0"/>
        <w:jc w:val="left"/>
        <w:rPr>
          <w:rFonts w:ascii="Times New Roman" w:hAnsi="Times New Roman"/>
          <w:sz w:val="20"/>
        </w:rPr>
      </w:pPr>
      <w:r>
        <w:rPr>
          <w:rFonts w:ascii="Times New Roman" w:hAnsi="Times New Roman"/>
          <w:sz w:val="20"/>
          <w:u w:val="single"/>
        </w:rPr>
        <w:t>Termination Due to Death or Disability</w:t>
      </w:r>
      <w:r>
        <w:rPr>
          <w:rFonts w:ascii="Times New Roman" w:hAnsi="Times New Roman"/>
          <w:sz w:val="20"/>
        </w:rPr>
        <w:t xml:space="preserve">. If the Optionee’s Service Relationship terminates by reason of such Optionee’s death or Disability, this Stock Option may be exercised, to the extent exercisable on the date of such termination, by the Optionee, the Optionee’s legal representative or legatee for a period of 12 months from the date of death or Disability or until the Expiration Date, if earlier. </w:t>
      </w:r>
    </w:p>
    <w:p>
      <w:pPr>
        <w:pStyle w:val="TextBody"/>
        <w:bidi w:val="0"/>
        <w:spacing w:before="120" w:after="0"/>
        <w:jc w:val="left"/>
        <w:rPr>
          <w:rFonts w:ascii="Times New Roman" w:hAnsi="Times New Roman"/>
          <w:sz w:val="20"/>
        </w:rPr>
      </w:pPr>
      <w:r>
        <w:rPr>
          <w:rFonts w:ascii="Times New Roman" w:hAnsi="Times New Roman"/>
          <w:sz w:val="20"/>
          <w:u w:val="single"/>
        </w:rPr>
        <w:t>Other Termination</w:t>
      </w:r>
      <w:r>
        <w:rPr>
          <w:rFonts w:ascii="Times New Roman" w:hAnsi="Times New Roman"/>
          <w:sz w:val="20"/>
        </w:rPr>
        <w:t xml:space="preserve">. If the Optionee’s Service Relationship terminates for any reason other than death or Disability, and unless otherwise determined by the Committee, this Stock Option may be exercised, to the extent exercisable on the date of termination, for a period of 90 days from the date of termination or until the Expiration Date, if earlier;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the Optionee’s Service Relationship is terminated for Cause, this Stock Option shall terminate immediately upon the date of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hereof, the Committee’s determination of the reason for termination of the Optionee’s Service Relationship shall be conclusive and binding on the Optionee and his or her representatives or legatees. Any portion of this Stock Option that is not vested and exercisable on the date of termination of the Service Relationship shall terminate immediately and be null and void.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 is understood and intended that this Stock Option is intended to qualify as an “incentive stock option” as defined in Section 422 of the Code to the extent permitted under applicable law. Accordingly, the Optionee understands that in order to obtain the benefits of an incentive stock option under Section 422 of the Code, no sale or other disposition may be made of Shares for which incentive stock option treatment is desired within the one-year period beginning on the day after the day of the transfer of such Shares to him or her, nor within the two-year period beginning on the day after Grant Date of this Stock Option and further that this Stock Option must be exercised within three months after termination of employment as an employee (or 12 months in the case of death or disability) to qualify as an incentive stock option. If the Optionee disposes (whether by sale, gift, transfer or otherwise) of any such Shares within either of these periods, he or she will notify the Company within 30 days after such disposition. The Optionee also agrees to provide the Company with any information concerning any such dispositions required by the Company for tax purposes. Further, to the extent this Stock Option and any other incentive stock options of the Optionee having an aggregate Fair Market Value in excess of $100,000 (determined as of the Grant Date) first become exercisable in any year, such options will not qualify as incentive stock options. </w:t>
      </w:r>
    </w:p>
    <w:p>
      <w:pPr>
        <w:pStyle w:val="TextBody"/>
        <w:bidi w:val="0"/>
        <w:spacing w:before="240" w:after="0"/>
        <w:jc w:val="left"/>
        <w:rPr>
          <w:rFonts w:ascii="Times New Roman" w:hAnsi="Times New Roman"/>
          <w:sz w:val="20"/>
        </w:rPr>
      </w:pPr>
      <w:r>
        <w:rPr>
          <w:rFonts w:ascii="Times New Roman" w:hAnsi="Times New Roman"/>
          <w:sz w:val="20"/>
          <w:u w:val="single"/>
        </w:rPr>
        <w:t>Exercise of Stock Option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Optionee may exercise this Stock Option only in the following manner: Prior to the Expiration Date, the Optionee may deliver a Stock Option exercise notice (an “Exercise Notice”) in the form of </w:t>
      </w:r>
      <w:r>
        <w:rPr>
          <w:rFonts w:ascii="Times New Roman" w:hAnsi="Times New Roman"/>
          <w:sz w:val="20"/>
          <w:u w:val="single"/>
        </w:rPr>
        <w:t>Appendix A</w:t>
      </w:r>
      <w:r>
        <w:rPr>
          <w:rFonts w:ascii="Times New Roman" w:hAnsi="Times New Roman"/>
          <w:sz w:val="20"/>
        </w:rPr>
        <w:t xml:space="preserve"> hereto indicating his or her election to purchase some or all of the Shares with respect to which this Stock Option is then exercisable. Such notice shall specify the number of Shares to be purchased. Payment of the purchase price may be made by one or more of the methods described in Section 5 of the Plan, subject to the limitations contained in such Section of the Plan, including the requirement that the Committee specifically approve in advance certain payment methods.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hereof or of the Plan, no portion of this Stock Option shall be exercisable after the Expiration Date. </w:t>
      </w:r>
    </w:p>
    <w:p>
      <w:pPr>
        <w:pStyle w:val="TextBody"/>
        <w:bidi w:val="0"/>
        <w:spacing w:before="240" w:after="0"/>
        <w:jc w:val="left"/>
        <w:rPr>
          <w:rFonts w:ascii="Times New Roman" w:hAnsi="Times New Roman"/>
          <w:sz w:val="20"/>
        </w:rPr>
      </w:pPr>
      <w:r>
        <w:rPr>
          <w:rFonts w:ascii="Times New Roman" w:hAnsi="Times New Roman"/>
          <w:sz w:val="20"/>
          <w:u w:val="single"/>
        </w:rPr>
        <w:t>Incorporation of Plan</w:t>
      </w:r>
      <w:r>
        <w:rPr>
          <w:rFonts w:ascii="Times New Roman" w:hAnsi="Times New Roman"/>
          <w:sz w:val="20"/>
        </w:rPr>
        <w:t xml:space="preserve">. Notwithstanding anything herein to the contrary, this Stock Option shall be subject to and governed by all the terms and conditions of the Plan. </w:t>
      </w:r>
    </w:p>
    <w:p>
      <w:pPr>
        <w:pStyle w:val="TextBody"/>
        <w:bidi w:val="0"/>
        <w:spacing w:before="240" w:after="0"/>
        <w:jc w:val="left"/>
        <w:rPr>
          <w:rFonts w:ascii="Times New Roman" w:hAnsi="Times New Roman"/>
          <w:sz w:val="20"/>
        </w:rPr>
      </w:pPr>
      <w:r>
        <w:rPr>
          <w:rFonts w:ascii="Times New Roman" w:hAnsi="Times New Roman"/>
          <w:sz w:val="20"/>
          <w:u w:val="single"/>
        </w:rPr>
        <w:t>Transferability of Stock Option</w:t>
      </w:r>
      <w:r>
        <w:rPr>
          <w:rFonts w:ascii="Times New Roman" w:hAnsi="Times New Roman"/>
          <w:sz w:val="20"/>
        </w:rPr>
        <w:t xml:space="preserve">. This Stock Option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 predeceases the Optionee, the legal representative of the Optionee may exercise this Stock Option to the extent provided herein in the event of the Optionee’s death.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Restrictions on Transfer of Shares</w:t>
      </w:r>
      <w:r>
        <w:rPr>
          <w:rFonts w:ascii="Times New Roman" w:hAnsi="Times New Roman"/>
          <w:sz w:val="20"/>
        </w:rPr>
        <w:t xml:space="preserve">. The Shares acquired upon exercise of the Stock Option shall be subject to certain transfer restrictions and other limitations including, without limitation, the provisions contained in Section 9 of the Plan. </w:t>
      </w:r>
    </w:p>
    <w:p>
      <w:pPr>
        <w:pStyle w:val="TextBody"/>
        <w:bidi w:val="0"/>
        <w:spacing w:before="240" w:after="0"/>
        <w:jc w:val="left"/>
        <w:rPr>
          <w:rFonts w:ascii="Times New Roman" w:hAnsi="Times New Roman"/>
          <w:sz w:val="20"/>
        </w:rPr>
      </w:pP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Equitable Relief</w:t>
      </w:r>
      <w:r>
        <w:rPr>
          <w:rFonts w:ascii="Times New Roman" w:hAnsi="Times New Roman"/>
          <w:sz w:val="20"/>
        </w:rPr>
        <w:t xml:space="preserve">. The parties hereto agree and declare that legal remedies may be inadequate to enforce the provisions of this Agreement and that equitable relief, including specific performance and injunctive relief, may be used to enforce the provisions of this Agreement. </w:t>
      </w:r>
    </w:p>
    <w:p>
      <w:pPr>
        <w:pStyle w:val="TextBody"/>
        <w:bidi w:val="0"/>
        <w:spacing w:before="240" w:after="0"/>
        <w:jc w:val="left"/>
        <w:rPr>
          <w:rFonts w:ascii="Times New Roman" w:hAnsi="Times New Roman"/>
          <w:sz w:val="20"/>
        </w:rPr>
      </w:pPr>
      <w:r>
        <w:rPr>
          <w:rFonts w:ascii="Times New Roman" w:hAnsi="Times New Roman"/>
          <w:sz w:val="20"/>
          <w:u w:val="single"/>
        </w:rPr>
        <w:t>Adjustments for Changes in Capital Structure</w:t>
      </w:r>
      <w:r>
        <w:rPr>
          <w:rFonts w:ascii="Times New Roman" w:hAnsi="Times New Roman"/>
          <w:sz w:val="20"/>
        </w:rPr>
        <w:t xml:space="preserve">.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securities of the Company, the restrictions contained in this Agreement shall apply with equal force to additional and/or substitute securities, if any, received by the Optionee in exchange for, or by virtue of his or her ownership of, this Stock Option or Shares acquired pursuant thereto. </w:t>
      </w:r>
    </w:p>
    <w:p>
      <w:pPr>
        <w:pStyle w:val="TextBody"/>
        <w:bidi w:val="0"/>
        <w:spacing w:before="240" w:after="0"/>
        <w:jc w:val="left"/>
        <w:rPr>
          <w:rFonts w:ascii="Times New Roman" w:hAnsi="Times New Roman"/>
          <w:sz w:val="20"/>
        </w:rPr>
      </w:pPr>
      <w:r>
        <w:rPr>
          <w:rFonts w:ascii="Times New Roman" w:hAnsi="Times New Roman"/>
          <w:sz w:val="20"/>
          <w:u w:val="single"/>
        </w:rPr>
        <w:t>Change and Modifications</w:t>
      </w:r>
      <w:r>
        <w:rPr>
          <w:rFonts w:ascii="Times New Roman" w:hAnsi="Times New Roman"/>
          <w:sz w:val="20"/>
        </w:rPr>
        <w:t xml:space="preserve">. This Agreement may not be orally changed, modified or terminated, nor shall any oral waiver of any of its terms be effective. This Agreement may be changed, modified or terminated only by an agreement in writing signed by the Company and the Optionee. </w:t>
      </w:r>
    </w:p>
    <w:p>
      <w:pPr>
        <w:pStyle w:val="TextBody"/>
        <w:bidi w:val="0"/>
        <w:spacing w:before="240" w:after="0"/>
        <w:jc w:val="left"/>
        <w:rPr>
          <w:rFonts w:ascii="Times New Roman" w:hAnsi="Times New Roman"/>
          <w:sz w:val="20"/>
        </w:rPr>
      </w:pPr>
      <w:r>
        <w:rPr>
          <w:rFonts w:ascii="Times New Roman" w:hAnsi="Times New Roman"/>
          <w:sz w:val="20"/>
          <w:u w:val="single"/>
        </w:rPr>
        <w:t>Governing Law</w:t>
      </w:r>
      <w:r>
        <w:rPr>
          <w:rFonts w:ascii="Times New Roman" w:hAnsi="Times New Roman"/>
          <w:sz w:val="20"/>
        </w:rPr>
        <w:t xml:space="preserve">. This Agreement shall be governed by and construed in accordance with the General Corporation Law of the State of Delaware as to matters within the scope thereof, and as to all other matters shall be governed by and construed in accordance with the internal laws of Commonwealth of Massachusetts, without regard to conflict of law principles that would result in the application of any law other than the law of the State of Commonwealth of Massachusetts. </w:t>
      </w:r>
    </w:p>
    <w:p>
      <w:pPr>
        <w:pStyle w:val="TextBody"/>
        <w:bidi w:val="0"/>
        <w:spacing w:before="240" w:after="0"/>
        <w:jc w:val="left"/>
        <w:rPr>
          <w:rFonts w:ascii="Times New Roman" w:hAnsi="Times New Roman"/>
          <w:sz w:val="20"/>
        </w:rPr>
      </w:pPr>
      <w:r>
        <w:rPr>
          <w:rFonts w:ascii="Times New Roman" w:hAnsi="Times New Roman"/>
          <w:sz w:val="20"/>
          <w:u w:val="single"/>
        </w:rPr>
        <w:t>Headings</w:t>
      </w:r>
      <w:r>
        <w:rPr>
          <w:rFonts w:ascii="Times New Roman" w:hAnsi="Times New Roman"/>
          <w:sz w:val="20"/>
        </w:rPr>
        <w:t xml:space="preserve">. The headings are intended only for convenience in finding the subject matter and do not constitute part of the text of this Agreement and shall not be considered in the interpretation of this Agreement. </w:t>
      </w:r>
    </w:p>
    <w:p>
      <w:pPr>
        <w:pStyle w:val="TextBody"/>
        <w:bidi w:val="0"/>
        <w:spacing w:before="240" w:after="0"/>
        <w:jc w:val="left"/>
        <w:rPr>
          <w:rFonts w:ascii="Times New Roman" w:hAnsi="Times New Roman"/>
          <w:sz w:val="20"/>
        </w:rPr>
      </w:pPr>
      <w:r>
        <w:rPr>
          <w:rFonts w:ascii="Times New Roman" w:hAnsi="Times New Roman"/>
          <w:sz w:val="20"/>
          <w:u w:val="single"/>
        </w:rPr>
        <w:t>Saving Clause</w:t>
      </w:r>
      <w:r>
        <w:rPr>
          <w:rFonts w:ascii="Times New Roman" w:hAnsi="Times New Roman"/>
          <w:sz w:val="20"/>
        </w:rPr>
        <w:t xml:space="preserve">. If any provision(s) of this Agreement shall be determined to be illegal or unenforceable, such determination shall in no manner affect the legality or enforceability of any other provision hereof. </w:t>
      </w:r>
    </w:p>
    <w:p>
      <w:pPr>
        <w:pStyle w:val="TextBody"/>
        <w:bidi w:val="0"/>
        <w:spacing w:before="240" w:after="0"/>
        <w:jc w:val="left"/>
        <w:rPr>
          <w:rFonts w:ascii="Times New Roman" w:hAnsi="Times New Roman"/>
          <w:sz w:val="20"/>
        </w:rPr>
      </w:pPr>
      <w:r>
        <w:rPr>
          <w:rFonts w:ascii="Times New Roman" w:hAnsi="Times New Roman"/>
          <w:sz w:val="20"/>
          <w:u w:val="single"/>
        </w:rPr>
        <w:t>Notices</w:t>
      </w:r>
      <w:r>
        <w:rPr>
          <w:rFonts w:ascii="Times New Roman" w:hAnsi="Times New Roman"/>
          <w:sz w:val="20"/>
        </w:rPr>
        <w:t xml:space="preserve">. All notices, requests, consents and other communications shall be in writing and be deemed given when delivered personally, by telex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 </w:t>
      </w:r>
    </w:p>
    <w:p>
      <w:pPr>
        <w:pStyle w:val="TextBody"/>
        <w:bidi w:val="0"/>
        <w:spacing w:before="240" w:after="0"/>
        <w:jc w:val="left"/>
        <w:rPr>
          <w:rFonts w:ascii="Times New Roman" w:hAnsi="Times New Roman"/>
          <w:sz w:val="20"/>
        </w:rPr>
      </w:pPr>
      <w:r>
        <w:rPr>
          <w:rFonts w:ascii="Times New Roman" w:hAnsi="Times New Roman"/>
          <w:sz w:val="20"/>
          <w:u w:val="single"/>
        </w:rPr>
        <w:t>Benefit and Binding Effect</w:t>
      </w:r>
      <w:r>
        <w:rPr>
          <w:rFonts w:ascii="Times New Roman" w:hAnsi="Times New Roman"/>
          <w:sz w:val="20"/>
        </w:rPr>
        <w:t xml:space="preserve">. This Agreement shall be binding upon and shall inure to the benefit of the parties hereto, their respective successors, assigns, and legal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representatives. The Company has the right to assign this Agreement, and such assignee shall become entitled to all the rights of the Company hereunder to the extent of such assignment. </w:t>
      </w:r>
    </w:p>
    <w:p>
      <w:pPr>
        <w:pStyle w:val="TextBody"/>
        <w:bidi w:val="0"/>
        <w:spacing w:before="240" w:after="0"/>
        <w:jc w:val="left"/>
        <w:rPr>
          <w:rFonts w:ascii="Times New Roman" w:hAnsi="Times New Roman"/>
          <w:sz w:val="20"/>
        </w:rPr>
      </w:pPr>
      <w:r>
        <w:rPr>
          <w:rFonts w:ascii="Times New Roman" w:hAnsi="Times New Roman"/>
          <w:sz w:val="20"/>
          <w:u w:val="single"/>
        </w:rPr>
        <w:t>Counterparts</w:t>
      </w:r>
      <w:r>
        <w:rPr>
          <w:rFonts w:ascii="Times New Roman" w:hAnsi="Times New Roman"/>
          <w:sz w:val="20"/>
        </w:rPr>
        <w:t xml:space="preserve">. For the convenience of the parties and to facilitate execution, this Agreement may be executed in two or more counterparts, each of which shall be deemed an original, but all of which shall constitute one and the same document. </w:t>
      </w:r>
    </w:p>
    <w:p>
      <w:pPr>
        <w:pStyle w:val="TextBody"/>
        <w:bidi w:val="0"/>
        <w:spacing w:before="240" w:after="0"/>
        <w:jc w:val="left"/>
        <w:rPr>
          <w:rFonts w:ascii="Times New Roman" w:hAnsi="Times New Roman"/>
          <w:sz w:val="20"/>
        </w:rPr>
      </w:pPr>
      <w:r>
        <w:rPr>
          <w:rFonts w:ascii="Times New Roman" w:hAnsi="Times New Roman"/>
          <w:sz w:val="20"/>
          <w:u w:val="single"/>
        </w:rPr>
        <w:t>Integration</w:t>
      </w:r>
      <w:r>
        <w:rPr>
          <w:rFonts w:ascii="Times New Roman" w:hAnsi="Times New Roman"/>
          <w:sz w:val="20"/>
        </w:rPr>
        <w:t xml:space="preserve">. This Agreement constitutes the entire agreement between the parties with respect to this Stock Option and supersedes all prior agreements and discussions between the parties concerning such subject matter. </w:t>
      </w:r>
    </w:p>
    <w:p>
      <w:pPr>
        <w:pStyle w:val="TextBody"/>
        <w:bidi w:val="0"/>
        <w:spacing w:before="240" w:after="0"/>
        <w:jc w:val="left"/>
        <w:rPr>
          <w:rFonts w:ascii="Times New Roman" w:hAnsi="Times New Roman"/>
          <w:sz w:val="20"/>
        </w:rPr>
      </w:pPr>
      <w:r>
        <w:rPr>
          <w:rFonts w:ascii="Times New Roman" w:hAnsi="Times New Roman"/>
          <w:sz w:val="20"/>
          <w:u w:val="single"/>
        </w:rPr>
        <w:t>Dispute Resolution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below, any dispute arising out of or relating to the Plan or this Stock Option, this Agreement, or the breach, termination or validity of the Plan, this Stock Option or this Agreement, shall be finally settled by binding arbitration conducted expeditiously in accordance with the J.A.M.S./Endispute Comprehensive Arbitration Rules and Procedures (the “J.A.M.S. Rules”). The arbitration shall be governed by the United States Arbitration Act, 9 U.S.C. Sections 1 16, and judgment upon the award rendered by the arbitrators may be entered by any court having jurisdiction thereof. The place of arbitration shall be Boston, Massachusetts. </w:t>
      </w:r>
    </w:p>
    <w:p>
      <w:pPr>
        <w:pStyle w:val="TextBody"/>
        <w:bidi w:val="0"/>
        <w:spacing w:before="240" w:after="0"/>
        <w:jc w:val="left"/>
        <w:rPr>
          <w:rFonts w:ascii="Times New Roman" w:hAnsi="Times New Roman"/>
          <w:sz w:val="20"/>
        </w:rPr>
      </w:pPr>
      <w:r>
        <w:rPr>
          <w:rFonts w:ascii="Times New Roman" w:hAnsi="Times New Roman"/>
          <w:sz w:val="20"/>
        </w:rPr>
        <w:t xml:space="preserve">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 </w:t>
      </w:r>
    </w:p>
    <w:p>
      <w:pPr>
        <w:pStyle w:val="TextBody"/>
        <w:bidi w:val="0"/>
        <w:spacing w:before="240" w:after="0"/>
        <w:jc w:val="left"/>
        <w:rPr>
          <w:rFonts w:ascii="Times New Roman" w:hAnsi="Times New Roman"/>
          <w:sz w:val="20"/>
        </w:rPr>
      </w:pPr>
      <w:r>
        <w:rPr>
          <w:rFonts w:ascii="Times New Roman" w:hAnsi="Times New Roman"/>
          <w:sz w:val="20"/>
        </w:rPr>
        <w:t xml:space="preserve">The Company, the Optionee, each party to the Agreement and any other holder of Shares issued pursuant to this Agreement (each, a “Party”) covenants and agrees that such party will participate in the arbitration in good faith. This Section 7 applies equally to requests for temporary, preliminary or permanent injunctive relief, except that in the case of temporary or preliminary injunctive relief any party may proceed in court without prior arbitration for the limited purpose of avoiding immediate and irreparable harm. </w:t>
      </w:r>
    </w:p>
    <w:p>
      <w:pPr>
        <w:pStyle w:val="TextBody"/>
        <w:bidi w:val="0"/>
        <w:spacing w:before="240" w:after="0"/>
        <w:jc w:val="left"/>
        <w:rPr>
          <w:rFonts w:ascii="Times New Roman" w:hAnsi="Times New Roman"/>
          <w:sz w:val="20"/>
        </w:rPr>
      </w:pPr>
      <w:r>
        <w:rPr>
          <w:rFonts w:ascii="Times New Roman" w:hAnsi="Times New Roman"/>
          <w:sz w:val="20"/>
        </w:rPr>
        <w:t xml:space="preserve">Each Party (i) hereby irrevocably submits to the jurisdiction of any United States District Court of competent jurisdiction for the purpose of enforcing the award or decision in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Agreement is hereby accepted and the terms and conditions thereof hereby agreed to by the undersigned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5"/>
        <w:gridCol w:w="127"/>
        <w:gridCol w:w="3260"/>
      </w:tblGrid>
      <w:tr>
        <w:trPr/>
        <w:tc>
          <w:tcPr>
            <w:tcW w:w="69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OBSIDIAN THERAPEUTICS, INC.</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pBdr>
                <w:bottom w:val="single" w:sz="2" w:space="1" w:color="000000"/>
              </w:pBdr>
              <w:bidi w:val="0"/>
              <w:spacing w:before="0" w:after="20"/>
              <w:jc w:val="left"/>
              <w:rPr/>
            </w:pPr>
            <w:r>
              <w:rPr/>
              <w:t> </w:t>
            </w:r>
          </w:p>
        </w:tc>
      </w:tr>
      <w:tr>
        <w:trPr/>
        <w:tc>
          <w:tcPr>
            <w:tcW w:w="69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Name:</w:t>
            </w:r>
          </w:p>
        </w:tc>
      </w:tr>
      <w:tr>
        <w:trPr/>
        <w:tc>
          <w:tcPr>
            <w:tcW w:w="69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Title:</w:t>
            </w:r>
          </w:p>
        </w:tc>
      </w:tr>
      <w:tr>
        <w:trPr/>
        <w:tc>
          <w:tcPr>
            <w:tcW w:w="4082" w:type="dxa"/>
            <w:gridSpan w:val="3"/>
            <w:tcBorders/>
          </w:tcPr>
          <w:p>
            <w:pPr>
              <w:pStyle w:val="TableContents"/>
              <w:bidi w:val="0"/>
              <w:spacing w:before="0" w:after="283"/>
              <w:jc w:val="left"/>
              <w:rPr/>
            </w:pPr>
            <w:r>
              <w:rPr/>
              <w:t>Address: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undersigned hereby acknowledges receiving and reviewing a copy of the Plan, including, without limitation, Section 9 thereof, and understands that this Stock Option is subject to the terms of the Plan and of this Agreement. This Agreement is hereby accepted, and the terms and conditions of the Plan, the Grant Notice and this Agreement, SPECIFICALLY INCLUDING THE ARBITRATION PROVISIONS SET FORTH IN SECTION 7 OF THIS AGREEMENT, are hereby agreed to, by the undersigned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OPTIONEE: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left"/>
              <w:rPr>
                <w:rFonts w:ascii="Times New Roman" w:hAnsi="Times New Roman"/>
                <w:sz w:val="20"/>
              </w:rPr>
            </w:pPr>
            <w:r>
              <w:rPr>
                <w:rFonts w:ascii="Times New Roman" w:hAnsi="Times New Roman"/>
                <w:sz w:val="20"/>
              </w:rPr>
              <w:t>Name: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DESIGNATED BENEFICIARY:</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Beneficiary’s Address:</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Appendix A </w:t>
      </w:r>
    </w:p>
    <w:p>
      <w:pPr>
        <w:pStyle w:val="TextBody"/>
        <w:bidi w:val="0"/>
        <w:spacing w:before="240" w:after="0"/>
        <w:jc w:val="center"/>
        <w:rPr>
          <w:rFonts w:ascii="Times New Roman" w:hAnsi="Times New Roman"/>
          <w:b/>
          <w:sz w:val="20"/>
        </w:rPr>
      </w:pPr>
      <w:r>
        <w:rPr>
          <w:rFonts w:ascii="Times New Roman" w:hAnsi="Times New Roman"/>
          <w:b/>
          <w:sz w:val="20"/>
        </w:rPr>
        <w:t xml:space="preserve">STOCK OPTION EXERCISE NOTICE </w:t>
      </w:r>
    </w:p>
    <w:p>
      <w:pPr>
        <w:pStyle w:val="TextBody"/>
        <w:bidi w:val="0"/>
        <w:spacing w:before="240" w:after="0"/>
        <w:jc w:val="left"/>
        <w:rPr>
          <w:rFonts w:ascii="Times New Roman" w:hAnsi="Times New Roman"/>
          <w:sz w:val="20"/>
        </w:rPr>
      </w:pPr>
      <w:r>
        <w:rPr>
          <w:rFonts w:ascii="Times New Roman" w:hAnsi="Times New Roman"/>
          <w:sz w:val="20"/>
        </w:rPr>
        <w:t xml:space="preserve">OBSIDIAN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Attention: Head of Finance </w:t>
      </w:r>
    </w:p>
    <w:p>
      <w:pPr>
        <w:pStyle w:val="TextBody"/>
        <w:bidi w:val="0"/>
        <w:spacing w:before="0" w:after="0"/>
        <w:jc w:val="left"/>
        <w:rPr/>
      </w:pPr>
      <w:r>
        <w:rPr>
          <w:u w:val="single"/>
        </w:rPr>
        <w:t>               </w:t>
      </w:r>
      <w:r>
        <w:rPr/>
        <w:t xml:space="preserve"> </w:t>
      </w:r>
    </w:p>
    <w:p>
      <w:pPr>
        <w:pStyle w:val="TextBody"/>
        <w:bidi w:val="0"/>
        <w:spacing w:before="0" w:after="0"/>
        <w:jc w:val="left"/>
        <w:rPr/>
      </w:pPr>
      <w:r>
        <w:rPr>
          <w:u w:val="single"/>
        </w:rPr>
        <w:t>               </w:t>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grant notice and stock option agreement between the undersigned and Obsidian Therapeutics, Inc. (the “Company”) dated __________ (the “Agreement”) under the Obsidian Therapeutics, Inc. 2016 Stock Option and Grant Plan, I, [Insert Name] ________________, hereby [Circle One] partially/fully exercise such option by including herein payment in the amount of $______ representing Obsidian Therapeutics, Inc. the purchase price for [Fill in number of Shares] _______ Shares. I have chosen the following form(s) of payment: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73"/>
        <w:gridCol w:w="110"/>
        <w:gridCol w:w="244"/>
        <w:gridCol w:w="123"/>
        <w:gridCol w:w="226"/>
        <w:gridCol w:w="123"/>
        <w:gridCol w:w="7006"/>
      </w:tblGrid>
      <w:tr>
        <w:trPr/>
        <w:tc>
          <w:tcPr>
            <w:tcW w:w="2373"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006" w:type="dxa"/>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244" w:type="dxa"/>
            <w:tcBorders/>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26" w:type="dxa"/>
            <w:tcBorders/>
          </w:tcPr>
          <w:p>
            <w:pPr>
              <w:pStyle w:val="TableContents"/>
              <w:bidi w:val="0"/>
              <w:spacing w:before="0" w:after="283"/>
              <w:jc w:val="left"/>
              <w:rPr/>
            </w:pPr>
            <w:r>
              <w:rPr/>
              <w:t>1.</w:t>
            </w:r>
          </w:p>
        </w:tc>
        <w:tc>
          <w:tcPr>
            <w:tcW w:w="123" w:type="dxa"/>
            <w:tcBorders/>
            <w:vAlign w:val="bottom"/>
          </w:tcPr>
          <w:p>
            <w:pPr>
              <w:pStyle w:val="TableContents"/>
              <w:bidi w:val="0"/>
              <w:spacing w:before="0" w:after="283"/>
              <w:jc w:val="left"/>
              <w:rPr/>
            </w:pPr>
            <w:r>
              <w:rPr/>
              <w:t>  </w:t>
            </w:r>
          </w:p>
        </w:tc>
        <w:tc>
          <w:tcPr>
            <w:tcW w:w="7006" w:type="dxa"/>
            <w:tcBorders/>
          </w:tcPr>
          <w:p>
            <w:pPr>
              <w:pStyle w:val="TableContents"/>
              <w:bidi w:val="0"/>
              <w:spacing w:before="0" w:after="283"/>
              <w:jc w:val="left"/>
              <w:rPr/>
            </w:pPr>
            <w:r>
              <w:rPr/>
              <w:t>Cash</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354" w:type="dxa"/>
            <w:gridSpan w:val="2"/>
            <w:tcBorders/>
            <w:vAlign w:val="center"/>
          </w:tcPr>
          <w:p>
            <w:pPr>
              <w:pStyle w:val="TableContents"/>
              <w:bidi w:val="0"/>
              <w:spacing w:before="0" w:after="283"/>
              <w:jc w:val="left"/>
              <w:rPr>
                <w:sz w:val="4"/>
                <w:szCs w:val="4"/>
              </w:rPr>
            </w:pPr>
            <w:r>
              <w:rPr>
                <w:sz w:val="4"/>
                <w:szCs w:val="4"/>
              </w:rPr>
            </w:r>
          </w:p>
        </w:tc>
        <w:tc>
          <w:tcPr>
            <w:tcW w:w="349" w:type="dxa"/>
            <w:gridSpan w:val="2"/>
            <w:tcBorders/>
            <w:vAlign w:val="center"/>
          </w:tcPr>
          <w:p>
            <w:pPr>
              <w:pStyle w:val="TableContents"/>
              <w:bidi w:val="0"/>
              <w:spacing w:before="0" w:after="283"/>
              <w:jc w:val="left"/>
              <w:rPr>
                <w:sz w:val="4"/>
                <w:szCs w:val="4"/>
              </w:rPr>
            </w:pPr>
            <w:r>
              <w:rPr>
                <w:sz w:val="4"/>
                <w:szCs w:val="4"/>
              </w:rPr>
            </w:r>
          </w:p>
        </w:tc>
        <w:tc>
          <w:tcPr>
            <w:tcW w:w="7129"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244" w:type="dxa"/>
            <w:tcBorders/>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26" w:type="dxa"/>
            <w:tcBorders/>
          </w:tcPr>
          <w:p>
            <w:pPr>
              <w:pStyle w:val="TableContents"/>
              <w:bidi w:val="0"/>
              <w:spacing w:before="0" w:after="283"/>
              <w:jc w:val="left"/>
              <w:rPr/>
            </w:pPr>
            <w:r>
              <w:rPr/>
              <w:t>2.</w:t>
            </w:r>
          </w:p>
        </w:tc>
        <w:tc>
          <w:tcPr>
            <w:tcW w:w="123" w:type="dxa"/>
            <w:tcBorders/>
            <w:vAlign w:val="bottom"/>
          </w:tcPr>
          <w:p>
            <w:pPr>
              <w:pStyle w:val="TableContents"/>
              <w:bidi w:val="0"/>
              <w:spacing w:before="0" w:after="283"/>
              <w:jc w:val="left"/>
              <w:rPr/>
            </w:pPr>
            <w:r>
              <w:rPr/>
              <w:t>  </w:t>
            </w:r>
          </w:p>
        </w:tc>
        <w:tc>
          <w:tcPr>
            <w:tcW w:w="7006" w:type="dxa"/>
            <w:tcBorders/>
          </w:tcPr>
          <w:p>
            <w:pPr>
              <w:pStyle w:val="TableContents"/>
              <w:bidi w:val="0"/>
              <w:spacing w:before="0" w:after="283"/>
              <w:jc w:val="left"/>
              <w:rPr/>
            </w:pPr>
            <w:r>
              <w:rPr/>
              <w:t xml:space="preserve">Certified or bank check payable to </w:t>
            </w:r>
            <w:r>
              <w:rPr>
                <w:b/>
              </w:rPr>
              <w:t>Obsidian Therapeutics, Inc.</w:t>
            </w:r>
          </w:p>
        </w:tc>
      </w:tr>
      <w:tr>
        <w:trPr>
          <w:trHeight w:val="120" w:hRule="atLeast"/>
        </w:trPr>
        <w:tc>
          <w:tcPr>
            <w:tcW w:w="2373" w:type="dxa"/>
            <w:tcBorders/>
            <w:vAlign w:val="center"/>
          </w:tcPr>
          <w:p>
            <w:pPr>
              <w:pStyle w:val="TableContents"/>
              <w:bidi w:val="0"/>
              <w:spacing w:before="0" w:after="283"/>
              <w:jc w:val="left"/>
              <w:rPr>
                <w:sz w:val="4"/>
                <w:szCs w:val="4"/>
              </w:rPr>
            </w:pPr>
            <w:r>
              <w:rPr>
                <w:sz w:val="4"/>
                <w:szCs w:val="4"/>
              </w:rPr>
            </w:r>
          </w:p>
        </w:tc>
        <w:tc>
          <w:tcPr>
            <w:tcW w:w="354" w:type="dxa"/>
            <w:gridSpan w:val="2"/>
            <w:tcBorders/>
            <w:vAlign w:val="center"/>
          </w:tcPr>
          <w:p>
            <w:pPr>
              <w:pStyle w:val="TableContents"/>
              <w:bidi w:val="0"/>
              <w:spacing w:before="0" w:after="283"/>
              <w:jc w:val="left"/>
              <w:rPr>
                <w:sz w:val="4"/>
                <w:szCs w:val="4"/>
              </w:rPr>
            </w:pPr>
            <w:r>
              <w:rPr>
                <w:sz w:val="4"/>
                <w:szCs w:val="4"/>
              </w:rPr>
            </w:r>
          </w:p>
        </w:tc>
        <w:tc>
          <w:tcPr>
            <w:tcW w:w="349" w:type="dxa"/>
            <w:gridSpan w:val="2"/>
            <w:tcBorders/>
            <w:vAlign w:val="center"/>
          </w:tcPr>
          <w:p>
            <w:pPr>
              <w:pStyle w:val="TableContents"/>
              <w:bidi w:val="0"/>
              <w:spacing w:before="0" w:after="283"/>
              <w:jc w:val="left"/>
              <w:rPr>
                <w:sz w:val="4"/>
                <w:szCs w:val="4"/>
              </w:rPr>
            </w:pPr>
            <w:r>
              <w:rPr>
                <w:sz w:val="4"/>
                <w:szCs w:val="4"/>
              </w:rPr>
            </w:r>
          </w:p>
        </w:tc>
        <w:tc>
          <w:tcPr>
            <w:tcW w:w="7129" w:type="dxa"/>
            <w:gridSpan w:val="2"/>
            <w:tcBorders/>
            <w:vAlign w:val="center"/>
          </w:tcPr>
          <w:p>
            <w:pPr>
              <w:pStyle w:val="TableContents"/>
              <w:bidi w:val="0"/>
              <w:spacing w:before="0" w:after="283"/>
              <w:jc w:val="left"/>
              <w:rPr>
                <w:sz w:val="4"/>
                <w:szCs w:val="4"/>
              </w:rPr>
            </w:pPr>
            <w:r>
              <w:rPr>
                <w:sz w:val="4"/>
                <w:szCs w:val="4"/>
              </w:rPr>
            </w:r>
          </w:p>
        </w:tc>
      </w:tr>
      <w:tr>
        <w:trPr/>
        <w:tc>
          <w:tcPr>
            <w:tcW w:w="2373"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244" w:type="dxa"/>
            <w:tcBorders/>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26" w:type="dxa"/>
            <w:tcBorders/>
          </w:tcPr>
          <w:p>
            <w:pPr>
              <w:pStyle w:val="TableContents"/>
              <w:bidi w:val="0"/>
              <w:spacing w:before="0" w:after="283"/>
              <w:jc w:val="left"/>
              <w:rPr/>
            </w:pPr>
            <w:r>
              <w:rPr/>
              <w:t>3.</w:t>
            </w:r>
          </w:p>
        </w:tc>
        <w:tc>
          <w:tcPr>
            <w:tcW w:w="123" w:type="dxa"/>
            <w:tcBorders/>
            <w:vAlign w:val="bottom"/>
          </w:tcPr>
          <w:p>
            <w:pPr>
              <w:pStyle w:val="TableContents"/>
              <w:bidi w:val="0"/>
              <w:spacing w:before="0" w:after="283"/>
              <w:jc w:val="left"/>
              <w:rPr/>
            </w:pPr>
            <w:r>
              <w:rPr/>
              <w:t>  </w:t>
            </w:r>
          </w:p>
        </w:tc>
        <w:tc>
          <w:tcPr>
            <w:tcW w:w="7006" w:type="dxa"/>
            <w:tcBorders/>
          </w:tcPr>
          <w:p>
            <w:pPr>
              <w:pStyle w:val="TableContents"/>
              <w:bidi w:val="0"/>
              <w:spacing w:before="0" w:after="0"/>
              <w:jc w:val="left"/>
              <w:rPr>
                <w:rFonts w:ascii="Times New Roman" w:hAnsi="Times New Roman"/>
                <w:sz w:val="20"/>
              </w:rPr>
            </w:pPr>
            <w:r>
              <w:rPr>
                <w:rFonts w:ascii="Times New Roman" w:hAnsi="Times New Roman"/>
                <w:sz w:val="20"/>
              </w:rPr>
              <w:t>Other (as referenced in the Agreement and described in the Plan (please describe))</w:t>
            </w:r>
          </w:p>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my exercise of the option as set forth above, I hereby represent and warrant to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I am purchasing the Shares for my own account for investment only, and not for resale or with a view to the distribution thereof. </w:t>
      </w:r>
    </w:p>
    <w:p>
      <w:pPr>
        <w:pStyle w:val="TextBody"/>
        <w:bidi w:val="0"/>
        <w:spacing w:before="120" w:after="0"/>
        <w:jc w:val="left"/>
        <w:rPr>
          <w:rFonts w:ascii="Times New Roman" w:hAnsi="Times New Roman"/>
          <w:sz w:val="20"/>
        </w:rPr>
      </w:pPr>
      <w:r>
        <w:rPr>
          <w:rFonts w:ascii="Times New Roman" w:hAnsi="Times New Roman"/>
          <w:sz w:val="20"/>
        </w:rPr>
        <w:t xml:space="preserve">I have had such an opportunity as I have deemed adequate to obtain from the Company such information as is necessary to permit me to evaluate the merits and risks of my investment in the Company and have consulted with my own advisers with respect to my investment in the Company. </w:t>
      </w:r>
    </w:p>
    <w:p>
      <w:pPr>
        <w:pStyle w:val="TextBody"/>
        <w:bidi w:val="0"/>
        <w:spacing w:before="120" w:after="0"/>
        <w:jc w:val="left"/>
        <w:rPr>
          <w:rFonts w:ascii="Times New Roman" w:hAnsi="Times New Roman"/>
          <w:sz w:val="20"/>
        </w:rPr>
      </w:pPr>
      <w:r>
        <w:rPr>
          <w:rFonts w:ascii="Times New Roman" w:hAnsi="Times New Roman"/>
          <w:sz w:val="20"/>
        </w:rPr>
        <w:t xml:space="preserve">I have sufficient experience in business, financial and investment matters to be able to evaluate the risks involved in the purchase of the Shares and to make an informed investment decision with respect to such purchase. </w:t>
      </w:r>
    </w:p>
    <w:p>
      <w:pPr>
        <w:pStyle w:val="TextBody"/>
        <w:bidi w:val="0"/>
        <w:spacing w:before="120" w:after="0"/>
        <w:jc w:val="left"/>
        <w:rPr>
          <w:rFonts w:ascii="Times New Roman" w:hAnsi="Times New Roman"/>
          <w:sz w:val="20"/>
        </w:rPr>
      </w:pPr>
      <w:r>
        <w:rPr>
          <w:rFonts w:ascii="Times New Roman" w:hAnsi="Times New Roman"/>
          <w:sz w:val="20"/>
        </w:rPr>
        <w:t xml:space="preserve">I can afford a complete loss of the value of the Shares and am able to bear the economic risk of holding such Shares for an indefinite period of time. </w:t>
      </w:r>
    </w:p>
    <w:p>
      <w:pPr>
        <w:pStyle w:val="TextBody"/>
        <w:bidi w:val="0"/>
        <w:spacing w:before="120" w:after="0"/>
        <w:jc w:val="left"/>
        <w:rPr>
          <w:rFonts w:ascii="Times New Roman" w:hAnsi="Times New Roman"/>
          <w:sz w:val="20"/>
        </w:rPr>
      </w:pPr>
      <w:r>
        <w:rPr>
          <w:rFonts w:ascii="Times New Roman" w:hAnsi="Times New Roman"/>
          <w:sz w:val="20"/>
        </w:rPr>
        <w:t xml:space="preserve">I understand that the Shares may not be registered under the Securities Act of 1933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Securities Act of 1933 and under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state securities or “blue sky” laws (or exemptions from the registration requirement thereof). I further acknowledge that certificates representing Shares will bear restrictive legends reflecting the foregoing and/or that book entries for uncertificated Shares will include similar restrictive notations. </w:t>
      </w:r>
    </w:p>
    <w:p>
      <w:pPr>
        <w:pStyle w:val="TextBody"/>
        <w:bidi w:val="0"/>
        <w:spacing w:before="120" w:after="0"/>
        <w:jc w:val="left"/>
        <w:rPr>
          <w:rFonts w:ascii="Times New Roman" w:hAnsi="Times New Roman"/>
          <w:sz w:val="20"/>
        </w:rPr>
      </w:pPr>
      <w:r>
        <w:rPr>
          <w:rFonts w:ascii="Times New Roman" w:hAnsi="Times New Roman"/>
          <w:sz w:val="20"/>
        </w:rPr>
        <w:t xml:space="preserve">I have read and understand the Plan and acknowledge and agree that the Shares are subject to all of the relevant terms of the Plan, including without limitation, the transfer restrictions set forth in Section 9 of the Plan. </w:t>
      </w:r>
    </w:p>
    <w:p>
      <w:pPr>
        <w:pStyle w:val="TextBody"/>
        <w:bidi w:val="0"/>
        <w:spacing w:before="120" w:after="0"/>
        <w:jc w:val="left"/>
        <w:rPr>
          <w:rFonts w:ascii="Times New Roman" w:hAnsi="Times New Roman"/>
          <w:sz w:val="20"/>
        </w:rPr>
      </w:pPr>
      <w:r>
        <w:rPr>
          <w:rFonts w:ascii="Times New Roman" w:hAnsi="Times New Roman"/>
          <w:sz w:val="20"/>
        </w:rPr>
        <w:t xml:space="preserve">I understand and agree that the Company has a right of first refusal with respect to the Shares pursuant to Section 9(b) of the Plan. </w:t>
      </w:r>
    </w:p>
    <w:p>
      <w:pPr>
        <w:pStyle w:val="TextBody"/>
        <w:bidi w:val="0"/>
        <w:spacing w:before="120" w:after="0"/>
        <w:jc w:val="left"/>
        <w:rPr>
          <w:rFonts w:ascii="Times New Roman" w:hAnsi="Times New Roman"/>
          <w:sz w:val="20"/>
        </w:rPr>
      </w:pPr>
      <w:r>
        <w:rPr>
          <w:rFonts w:ascii="Times New Roman" w:hAnsi="Times New Roman"/>
          <w:sz w:val="20"/>
        </w:rPr>
        <w:t xml:space="preserve">I understand and agree that the Company has certain repurchase rights with respect to the Shares pursuant to Section 9(c) of the Plan. </w:t>
      </w:r>
    </w:p>
    <w:p>
      <w:pPr>
        <w:pStyle w:val="TextBody"/>
        <w:bidi w:val="0"/>
        <w:spacing w:before="120" w:after="0"/>
        <w:jc w:val="left"/>
        <w:rPr>
          <w:rFonts w:ascii="Times New Roman" w:hAnsi="Times New Roman"/>
          <w:sz w:val="20"/>
        </w:rPr>
      </w:pPr>
      <w:r>
        <w:rPr>
          <w:rFonts w:ascii="Times New Roman" w:hAnsi="Times New Roman"/>
          <w:sz w:val="20"/>
        </w:rPr>
        <w:t xml:space="preserve">I understand and agree that I may not sell or otherwise transfer or dispose of the Shares for a period of time following the effective date of a public offering by the Company as described in Section 9(f) of the Plan. </w:t>
      </w:r>
    </w:p>
    <w:p>
      <w:pPr>
        <w:pStyle w:val="TextBody"/>
        <w:bidi w:val="0"/>
        <w:spacing w:before="0" w:after="0"/>
        <w:jc w:val="left"/>
        <w:rPr/>
      </w:pPr>
      <w:r>
        <w:rPr/>
        <w:t> </w:t>
      </w:r>
    </w:p>
    <w:tbl>
      <w:tblPr>
        <w:tblW w:w="5300" w:type="dxa"/>
        <w:jc w:val="right"/>
        <w:tblInd w:w="0" w:type="dxa"/>
        <w:tblLayout w:type="fixed"/>
        <w:tblCellMar>
          <w:top w:w="0" w:type="dxa"/>
          <w:left w:w="0" w:type="dxa"/>
          <w:bottom w:w="0" w:type="dxa"/>
          <w:right w:w="0" w:type="dxa"/>
        </w:tblCellMar>
      </w:tblPr>
      <w:tblGrid>
        <w:gridCol w:w="5300"/>
      </w:tblGrid>
      <w:tr>
        <w:trPr/>
        <w:tc>
          <w:tcPr>
            <w:tcW w:w="5300" w:type="dxa"/>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bidi w:val="0"/>
              <w:spacing w:before="0" w:after="283"/>
              <w:jc w:val="left"/>
              <w:rPr/>
            </w:pPr>
            <w:r>
              <w:rPr/>
              <w:t>Sincerely yours,</w:t>
            </w:r>
          </w:p>
        </w:tc>
      </w:tr>
      <w:tr>
        <w:trPr>
          <w:trHeight w:val="240" w:hRule="atLeast"/>
        </w:trPr>
        <w:tc>
          <w:tcPr>
            <w:tcW w:w="5300" w:type="dxa"/>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left"/>
              <w:rPr>
                <w:rFonts w:ascii="Times New Roman" w:hAnsi="Times New Roman"/>
                <w:sz w:val="20"/>
              </w:rPr>
            </w:pPr>
            <w:r>
              <w:rPr>
                <w:rFonts w:ascii="Times New Roman" w:hAnsi="Times New Roman"/>
                <w:sz w:val="20"/>
              </w:rPr>
              <w:t>Name:</w:t>
            </w:r>
          </w:p>
        </w:tc>
      </w:tr>
      <w:tr>
        <w:trPr>
          <w:trHeight w:val="240" w:hRule="atLeast"/>
        </w:trPr>
        <w:tc>
          <w:tcPr>
            <w:tcW w:w="5300" w:type="dxa"/>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bidi w:val="0"/>
              <w:spacing w:before="0" w:after="283"/>
              <w:jc w:val="left"/>
              <w:rPr/>
            </w:pPr>
            <w:r>
              <w:rPr/>
              <w:t>Address:</w:t>
            </w:r>
          </w:p>
        </w:tc>
      </w:tr>
      <w:tr>
        <w:trPr>
          <w:trHeight w:val="240" w:hRule="atLeast"/>
        </w:trPr>
        <w:tc>
          <w:tcPr>
            <w:tcW w:w="5300" w:type="dxa"/>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pBdr>
                <w:bottom w:val="single" w:sz="2" w:space="1" w:color="000000"/>
              </w:pBdr>
              <w:bidi w:val="0"/>
              <w:spacing w:before="0" w:after="20"/>
              <w:jc w:val="left"/>
              <w:rPr/>
            </w:pPr>
            <w:r>
              <w:rPr/>
              <w:t> </w:t>
            </w:r>
          </w:p>
        </w:tc>
      </w:tr>
      <w:tr>
        <w:trPr>
          <w:trHeight w:val="240" w:hRule="atLeast"/>
        </w:trPr>
        <w:tc>
          <w:tcPr>
            <w:tcW w:w="5300" w:type="dxa"/>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pBdr>
                <w:bottom w:val="single" w:sz="2" w:space="1" w:color="000000"/>
              </w:pBdr>
              <w:bidi w:val="0"/>
              <w:spacing w:before="0" w:after="20"/>
              <w:jc w:val="left"/>
              <w:rPr/>
            </w:pPr>
            <w:r>
              <w:rPr/>
              <w:t> </w:t>
            </w:r>
          </w:p>
        </w:tc>
      </w:tr>
      <w:tr>
        <w:trPr>
          <w:trHeight w:val="240" w:hRule="atLeast"/>
        </w:trPr>
        <w:tc>
          <w:tcPr>
            <w:tcW w:w="5300" w:type="dxa"/>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pBdr>
                <w:bottom w:val="single" w:sz="2" w:space="1" w:color="000000"/>
              </w:pBdr>
              <w:bidi w:val="0"/>
              <w:spacing w:before="0" w:after="20"/>
              <w:jc w:val="left"/>
              <w:rPr/>
            </w:pPr>
            <w:r>
              <w:rPr/>
              <w:t> </w:t>
            </w:r>
          </w:p>
        </w:tc>
      </w:tr>
      <w:tr>
        <w:trPr>
          <w:trHeight w:val="240" w:hRule="atLeast"/>
        </w:trPr>
        <w:tc>
          <w:tcPr>
            <w:tcW w:w="5300" w:type="dxa"/>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bidi w:val="0"/>
              <w:spacing w:before="0" w:after="283"/>
              <w:jc w:val="left"/>
              <w:rPr/>
            </w:pPr>
            <w:r>
              <w:rPr/>
              <w:t>Date: </w:t>
            </w:r>
            <w:r>
              <w:rPr>
                <w:u w:val="single"/>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NON-QUALIFIED STOCK OPTION GRANT NOTICE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OBSIDIAN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2016 STOCK OPTION AND GRANT PLAN </w:t>
      </w:r>
    </w:p>
    <w:p>
      <w:pPr>
        <w:pStyle w:val="TextBody"/>
        <w:bidi w:val="0"/>
        <w:spacing w:before="240" w:after="0"/>
        <w:jc w:val="left"/>
        <w:rPr>
          <w:rFonts w:ascii="Times New Roman" w:hAnsi="Times New Roman"/>
          <w:sz w:val="20"/>
        </w:rPr>
      </w:pPr>
      <w:r>
        <w:rPr>
          <w:rFonts w:ascii="Times New Roman" w:hAnsi="Times New Roman"/>
          <w:sz w:val="20"/>
        </w:rPr>
        <w:t>Pursuant to the Obsidian Therapeutics, Inc</w:t>
      </w:r>
      <w:r>
        <w:rPr>
          <w:rFonts w:ascii="Times New Roman" w:hAnsi="Times New Roman"/>
          <w:b/>
          <w:sz w:val="20"/>
        </w:rPr>
        <w:t>.</w:t>
      </w:r>
      <w:r>
        <w:rPr>
          <w:rFonts w:ascii="Times New Roman" w:hAnsi="Times New Roman"/>
          <w:sz w:val="20"/>
        </w:rPr>
        <w:t xml:space="preserve"> 2016 Stock Option and Grant Plan (the “Plan”), Obsidian Therapeutics, Inc. a Delaware corporation (together with any successor, the “Company”), has granted to the individual named below, an option (the “Stock Option”) to purchase on or prior to the Expiration Date, or such earlier date as is specified herein, all or any part of the number of shares of Common Stock, par value $0.0001 per share (“Common Stock”), of the Company indicated below (the “Shares”), at the Option Exercise Price per share, subject to the terms and conditions set forth in this Non-Qualified Stock Option Grant Notice (the “Grant Notice”), the attached Non-Qualified Stock Option Agreement (the “Agreement”) and the Plan. This Stock Option is not intended to qualify as an “incentive stock option” as defined in Section 422(b) of the Internal Revenue Code of 1986, as amended from time to time (the “Code”).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18"/>
        <w:gridCol w:w="120"/>
        <w:gridCol w:w="7467"/>
      </w:tblGrid>
      <w:tr>
        <w:trPr/>
        <w:tc>
          <w:tcPr>
            <w:tcW w:w="261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467" w:type="dxa"/>
            <w:tcBorders/>
            <w:vAlign w:val="center"/>
          </w:tcPr>
          <w:p>
            <w:pPr>
              <w:pStyle w:val="TableContents"/>
              <w:bidi w:val="0"/>
              <w:spacing w:before="0" w:after="283"/>
              <w:jc w:val="left"/>
              <w:rPr>
                <w:sz w:val="4"/>
                <w:szCs w:val="4"/>
              </w:rPr>
            </w:pPr>
            <w:r>
              <w:rPr>
                <w:sz w:val="4"/>
                <w:szCs w:val="4"/>
              </w:rPr>
            </w:r>
          </w:p>
        </w:tc>
      </w:tr>
      <w:tr>
        <w:trPr/>
        <w:tc>
          <w:tcPr>
            <w:tcW w:w="2618" w:type="dxa"/>
            <w:tcBorders/>
          </w:tcPr>
          <w:p>
            <w:pPr>
              <w:pStyle w:val="TableContents"/>
              <w:bidi w:val="0"/>
              <w:spacing w:before="0" w:after="283"/>
              <w:jc w:val="left"/>
              <w:rPr/>
            </w:pPr>
            <w:r>
              <w:rPr/>
              <w:t>Name of Optionee:</w:t>
            </w:r>
          </w:p>
        </w:tc>
        <w:tc>
          <w:tcPr>
            <w:tcW w:w="120" w:type="dxa"/>
            <w:tcBorders/>
            <w:vAlign w:val="bottom"/>
          </w:tcPr>
          <w:p>
            <w:pPr>
              <w:pStyle w:val="TableContents"/>
              <w:bidi w:val="0"/>
              <w:spacing w:before="0" w:after="283"/>
              <w:jc w:val="left"/>
              <w:rPr/>
            </w:pPr>
            <w:r>
              <w:rPr/>
              <w:t>  </w:t>
            </w:r>
          </w:p>
        </w:tc>
        <w:tc>
          <w:tcPr>
            <w:tcW w:w="7467" w:type="dxa"/>
            <w:tcBorders/>
          </w:tcPr>
          <w:p>
            <w:pPr>
              <w:pStyle w:val="TableContents"/>
              <w:bidi w:val="0"/>
              <w:spacing w:before="0" w:after="283"/>
              <w:jc w:val="left"/>
              <w:rPr/>
            </w:pPr>
            <w:r>
              <w:rPr/>
              <w:t>(the “Optionee”)</w:t>
            </w:r>
          </w:p>
        </w:tc>
      </w:tr>
      <w:tr>
        <w:trPr>
          <w:trHeight w:val="120" w:hRule="atLeast"/>
        </w:trPr>
        <w:tc>
          <w:tcPr>
            <w:tcW w:w="2618" w:type="dxa"/>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r>
      <w:tr>
        <w:trPr/>
        <w:tc>
          <w:tcPr>
            <w:tcW w:w="2618" w:type="dxa"/>
            <w:tcBorders/>
          </w:tcPr>
          <w:p>
            <w:pPr>
              <w:pStyle w:val="TableContents"/>
              <w:bidi w:val="0"/>
              <w:spacing w:before="0" w:after="283"/>
              <w:jc w:val="left"/>
              <w:rPr/>
            </w:pPr>
            <w:r>
              <w:rPr/>
              <w:t>No. of Shares:</w:t>
            </w:r>
          </w:p>
        </w:tc>
        <w:tc>
          <w:tcPr>
            <w:tcW w:w="120" w:type="dxa"/>
            <w:tcBorders/>
            <w:vAlign w:val="bottom"/>
          </w:tcPr>
          <w:p>
            <w:pPr>
              <w:pStyle w:val="TableContents"/>
              <w:bidi w:val="0"/>
              <w:spacing w:before="0" w:after="283"/>
              <w:jc w:val="left"/>
              <w:rPr/>
            </w:pPr>
            <w:r>
              <w:rPr/>
              <w:t>  </w:t>
            </w:r>
          </w:p>
        </w:tc>
        <w:tc>
          <w:tcPr>
            <w:tcW w:w="7467" w:type="dxa"/>
            <w:tcBorders/>
          </w:tcPr>
          <w:p>
            <w:pPr>
              <w:pStyle w:val="TableContents"/>
              <w:bidi w:val="0"/>
              <w:spacing w:before="0" w:after="283"/>
              <w:jc w:val="left"/>
              <w:rPr/>
            </w:pPr>
            <w:r>
              <w:rPr/>
              <w:t>Shares of Common Stock</w:t>
            </w:r>
          </w:p>
        </w:tc>
      </w:tr>
      <w:tr>
        <w:trPr>
          <w:trHeight w:val="120" w:hRule="atLeast"/>
        </w:trPr>
        <w:tc>
          <w:tcPr>
            <w:tcW w:w="2618" w:type="dxa"/>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r>
      <w:tr>
        <w:trPr/>
        <w:tc>
          <w:tcPr>
            <w:tcW w:w="2618" w:type="dxa"/>
            <w:tcBorders/>
          </w:tcPr>
          <w:p>
            <w:pPr>
              <w:pStyle w:val="TableContents"/>
              <w:bidi w:val="0"/>
              <w:spacing w:before="0" w:after="283"/>
              <w:jc w:val="left"/>
              <w:rPr/>
            </w:pPr>
            <w:r>
              <w:rPr/>
              <w:t>Grant Date:</w:t>
            </w:r>
          </w:p>
        </w:tc>
        <w:tc>
          <w:tcPr>
            <w:tcW w:w="120" w:type="dxa"/>
            <w:tcBorders/>
            <w:vAlign w:val="bottom"/>
          </w:tcPr>
          <w:p>
            <w:pPr>
              <w:pStyle w:val="TableContents"/>
              <w:bidi w:val="0"/>
              <w:spacing w:before="0" w:after="283"/>
              <w:jc w:val="left"/>
              <w:rPr/>
            </w:pPr>
            <w:r>
              <w:rPr/>
              <w:t>  </w:t>
            </w:r>
          </w:p>
        </w:tc>
        <w:tc>
          <w:tcPr>
            <w:tcW w:w="7467" w:type="dxa"/>
            <w:tcBorders/>
          </w:tcPr>
          <w:p>
            <w:pPr>
              <w:pStyle w:val="TableContents"/>
              <w:bidi w:val="0"/>
              <w:spacing w:before="0" w:after="283"/>
              <w:jc w:val="left"/>
              <w:rPr>
                <w:sz w:val="4"/>
                <w:szCs w:val="4"/>
              </w:rPr>
            </w:pPr>
            <w:r>
              <w:rPr>
                <w:sz w:val="4"/>
                <w:szCs w:val="4"/>
              </w:rPr>
            </w:r>
          </w:p>
        </w:tc>
      </w:tr>
      <w:tr>
        <w:trPr>
          <w:trHeight w:val="120" w:hRule="atLeast"/>
        </w:trPr>
        <w:tc>
          <w:tcPr>
            <w:tcW w:w="2618" w:type="dxa"/>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r>
      <w:tr>
        <w:trPr/>
        <w:tc>
          <w:tcPr>
            <w:tcW w:w="2618" w:type="dxa"/>
            <w:tcBorders/>
          </w:tcPr>
          <w:p>
            <w:pPr>
              <w:pStyle w:val="TableContents"/>
              <w:bidi w:val="0"/>
              <w:spacing w:before="0" w:after="283"/>
              <w:jc w:val="left"/>
              <w:rPr/>
            </w:pPr>
            <w:r>
              <w:rPr/>
              <w:t>Vesting Commencement Date:</w:t>
            </w:r>
          </w:p>
        </w:tc>
        <w:tc>
          <w:tcPr>
            <w:tcW w:w="120" w:type="dxa"/>
            <w:tcBorders/>
            <w:vAlign w:val="bottom"/>
          </w:tcPr>
          <w:p>
            <w:pPr>
              <w:pStyle w:val="TableContents"/>
              <w:bidi w:val="0"/>
              <w:spacing w:before="0" w:after="283"/>
              <w:jc w:val="left"/>
              <w:rPr/>
            </w:pPr>
            <w:r>
              <w:rPr/>
              <w:t>  </w:t>
            </w:r>
          </w:p>
        </w:tc>
        <w:tc>
          <w:tcPr>
            <w:tcW w:w="7467" w:type="dxa"/>
            <w:tcBorders/>
          </w:tcPr>
          <w:p>
            <w:pPr>
              <w:pStyle w:val="TableContents"/>
              <w:bidi w:val="0"/>
              <w:spacing w:before="0" w:after="283"/>
              <w:jc w:val="left"/>
              <w:rPr/>
            </w:pPr>
            <w:r>
              <w:rPr/>
              <w:t>(the “Vesting Commencement Date”)</w:t>
            </w:r>
          </w:p>
        </w:tc>
      </w:tr>
      <w:tr>
        <w:trPr>
          <w:trHeight w:val="120" w:hRule="atLeast"/>
        </w:trPr>
        <w:tc>
          <w:tcPr>
            <w:tcW w:w="2618" w:type="dxa"/>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r>
      <w:tr>
        <w:trPr/>
        <w:tc>
          <w:tcPr>
            <w:tcW w:w="2618" w:type="dxa"/>
            <w:tcBorders/>
          </w:tcPr>
          <w:p>
            <w:pPr>
              <w:pStyle w:val="TableContents"/>
              <w:bidi w:val="0"/>
              <w:spacing w:before="0" w:after="283"/>
              <w:jc w:val="left"/>
              <w:rPr/>
            </w:pPr>
            <w:r>
              <w:rPr/>
              <w:t>Expiration Date:</w:t>
            </w:r>
          </w:p>
        </w:tc>
        <w:tc>
          <w:tcPr>
            <w:tcW w:w="120" w:type="dxa"/>
            <w:tcBorders/>
            <w:vAlign w:val="bottom"/>
          </w:tcPr>
          <w:p>
            <w:pPr>
              <w:pStyle w:val="TableContents"/>
              <w:bidi w:val="0"/>
              <w:spacing w:before="0" w:after="283"/>
              <w:jc w:val="left"/>
              <w:rPr/>
            </w:pPr>
            <w:r>
              <w:rPr/>
              <w:t>  </w:t>
            </w:r>
          </w:p>
        </w:tc>
        <w:tc>
          <w:tcPr>
            <w:tcW w:w="7467" w:type="dxa"/>
            <w:tcBorders/>
          </w:tcPr>
          <w:p>
            <w:pPr>
              <w:pStyle w:val="TableContents"/>
              <w:bidi w:val="0"/>
              <w:spacing w:before="0" w:after="283"/>
              <w:jc w:val="left"/>
              <w:rPr/>
            </w:pPr>
            <w:r>
              <w:rPr/>
              <w:t>(the “Expiration Date”)</w:t>
            </w:r>
          </w:p>
        </w:tc>
      </w:tr>
      <w:tr>
        <w:trPr>
          <w:trHeight w:val="120" w:hRule="atLeast"/>
        </w:trPr>
        <w:tc>
          <w:tcPr>
            <w:tcW w:w="2618" w:type="dxa"/>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r>
      <w:tr>
        <w:trPr/>
        <w:tc>
          <w:tcPr>
            <w:tcW w:w="2618" w:type="dxa"/>
            <w:tcBorders/>
          </w:tcPr>
          <w:p>
            <w:pPr>
              <w:pStyle w:val="TableContents"/>
              <w:bidi w:val="0"/>
              <w:spacing w:before="0" w:after="283"/>
              <w:jc w:val="left"/>
              <w:rPr/>
            </w:pPr>
            <w:r>
              <w:rPr/>
              <w:t>Option Exercise Price/Share:</w:t>
            </w:r>
          </w:p>
        </w:tc>
        <w:tc>
          <w:tcPr>
            <w:tcW w:w="120" w:type="dxa"/>
            <w:tcBorders/>
            <w:vAlign w:val="bottom"/>
          </w:tcPr>
          <w:p>
            <w:pPr>
              <w:pStyle w:val="TableContents"/>
              <w:bidi w:val="0"/>
              <w:spacing w:before="0" w:after="283"/>
              <w:jc w:val="left"/>
              <w:rPr/>
            </w:pPr>
            <w:r>
              <w:rPr/>
              <w:t>  </w:t>
            </w:r>
          </w:p>
        </w:tc>
        <w:tc>
          <w:tcPr>
            <w:tcW w:w="7467" w:type="dxa"/>
            <w:tcBorders/>
          </w:tcPr>
          <w:p>
            <w:pPr>
              <w:pStyle w:val="TableContents"/>
              <w:bidi w:val="0"/>
              <w:spacing w:before="0" w:after="283"/>
              <w:jc w:val="left"/>
              <w:rPr/>
            </w:pPr>
            <w:r>
              <w:rPr/>
              <w:t>$0.0001 (the “Option Exercise Price”)</w:t>
            </w:r>
          </w:p>
        </w:tc>
      </w:tr>
      <w:tr>
        <w:trPr>
          <w:trHeight w:val="120" w:hRule="atLeast"/>
        </w:trPr>
        <w:tc>
          <w:tcPr>
            <w:tcW w:w="2618" w:type="dxa"/>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r>
      <w:tr>
        <w:trPr/>
        <w:tc>
          <w:tcPr>
            <w:tcW w:w="2618" w:type="dxa"/>
            <w:tcBorders/>
          </w:tcPr>
          <w:p>
            <w:pPr>
              <w:pStyle w:val="TableContents"/>
              <w:bidi w:val="0"/>
              <w:spacing w:before="0" w:after="283"/>
              <w:jc w:val="left"/>
              <w:rPr/>
            </w:pPr>
            <w:r>
              <w:rPr/>
              <w:t>Vesting Schedule:</w:t>
            </w:r>
          </w:p>
        </w:tc>
        <w:tc>
          <w:tcPr>
            <w:tcW w:w="120" w:type="dxa"/>
            <w:tcBorders/>
            <w:vAlign w:val="bottom"/>
          </w:tcPr>
          <w:p>
            <w:pPr>
              <w:pStyle w:val="TableContents"/>
              <w:bidi w:val="0"/>
              <w:spacing w:before="0" w:after="283"/>
              <w:jc w:val="left"/>
              <w:rPr/>
            </w:pPr>
            <w:r>
              <w:rPr/>
              <w:t>  </w:t>
            </w:r>
          </w:p>
        </w:tc>
        <w:tc>
          <w:tcPr>
            <w:tcW w:w="7467" w:type="dxa"/>
            <w:tcBorders/>
          </w:tcPr>
          <w:p>
            <w:pPr>
              <w:pStyle w:val="TableContents"/>
              <w:bidi w:val="0"/>
              <w:spacing w:before="0" w:after="283"/>
              <w:jc w:val="left"/>
              <w:rPr/>
            </w:pPr>
            <w:r>
              <w:rPr/>
              <w:t>The Shares shall vest and become exercisable in 48 equal monthly installments on the last date of each month subsequent to the Vesting Commencement Date, such that all of the Shares shall be fully vested and exercisable on 0 , provided that the Optionee continues to have a Service Relationship with the Company [on each vesting date]. Notwithstanding anything in the Agreement to the contrary, in the case of a Sale Event, this Stock Option and the Shares shall be treated as provided in Section 3(c) of the Plan.</w:t>
            </w:r>
          </w:p>
        </w:tc>
      </w:tr>
    </w:tbl>
    <w:p>
      <w:pPr>
        <w:pStyle w:val="TextBody"/>
        <w:bidi w:val="0"/>
        <w:spacing w:before="240" w:after="0"/>
        <w:jc w:val="left"/>
        <w:rPr>
          <w:rFonts w:ascii="Times New Roman" w:hAnsi="Times New Roman"/>
          <w:sz w:val="20"/>
        </w:rPr>
      </w:pPr>
      <w:r>
        <w:rPr>
          <w:rFonts w:ascii="Times New Roman" w:hAnsi="Times New Roman"/>
          <w:b/>
          <w:sz w:val="20"/>
        </w:rPr>
        <w:t>Attachments</w:t>
      </w:r>
      <w:r>
        <w:rPr>
          <w:rFonts w:ascii="Times New Roman" w:hAnsi="Times New Roman"/>
          <w:sz w:val="20"/>
        </w:rPr>
        <w:t xml:space="preserve">: Non-Qualified Stock Option Agreement, 2016 Stock Option and Grant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NON-QUALIFIED STOCK OPTION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OBSIDIAN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2016 STOCK OPTION AND GRANT PLAN </w:t>
      </w:r>
    </w:p>
    <w:p>
      <w:pPr>
        <w:pStyle w:val="TextBody"/>
        <w:bidi w:val="0"/>
        <w:spacing w:before="240" w:after="0"/>
        <w:jc w:val="left"/>
        <w:rPr>
          <w:rFonts w:ascii="Times New Roman" w:hAnsi="Times New Roman"/>
          <w:sz w:val="20"/>
        </w:rPr>
      </w:pPr>
      <w:r>
        <w:rPr>
          <w:rFonts w:ascii="Times New Roman" w:hAnsi="Times New Roman"/>
          <w:sz w:val="20"/>
        </w:rPr>
        <w:t xml:space="preserve">All capitalized terms used herein and not otherwise defined shall have the respective meanings set forth in the Grant Notice and the Plan. </w:t>
      </w:r>
    </w:p>
    <w:p>
      <w:pPr>
        <w:pStyle w:val="TextBody"/>
        <w:bidi w:val="0"/>
        <w:spacing w:before="240" w:after="0"/>
        <w:jc w:val="left"/>
        <w:rPr>
          <w:rFonts w:ascii="Times New Roman" w:hAnsi="Times New Roman"/>
          <w:sz w:val="20"/>
        </w:rPr>
      </w:pPr>
      <w:r>
        <w:rPr>
          <w:rFonts w:ascii="Times New Roman" w:hAnsi="Times New Roman"/>
          <w:sz w:val="20"/>
          <w:u w:val="single"/>
        </w:rPr>
        <w:t>Vesting, Exercisability and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portion of this Stock Option may be exercised until such portion shall have vested and become exercisable.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below, and subject to the determination of the Committee in its sole discretion to accelerate the vesting schedule hereunder, this Stock Option shall be vested and exercisable on the respective dates indicated below: </w:t>
      </w:r>
    </w:p>
    <w:p>
      <w:pPr>
        <w:pStyle w:val="TextBody"/>
        <w:bidi w:val="0"/>
        <w:spacing w:before="120" w:after="0"/>
        <w:jc w:val="left"/>
        <w:rPr>
          <w:rFonts w:ascii="Times New Roman" w:hAnsi="Times New Roman"/>
          <w:sz w:val="20"/>
        </w:rPr>
      </w:pPr>
      <w:r>
        <w:rPr>
          <w:rFonts w:ascii="Times New Roman" w:hAnsi="Times New Roman"/>
          <w:sz w:val="20"/>
        </w:rPr>
        <w:t xml:space="preserve">This Stock Option shall initially be unvested and unexercisable. </w:t>
      </w:r>
    </w:p>
    <w:p>
      <w:pPr>
        <w:pStyle w:val="TextBody"/>
        <w:bidi w:val="0"/>
        <w:spacing w:before="120" w:after="0"/>
        <w:jc w:val="left"/>
        <w:rPr>
          <w:rFonts w:ascii="Times New Roman" w:hAnsi="Times New Roman"/>
          <w:sz w:val="20"/>
        </w:rPr>
      </w:pPr>
      <w:r>
        <w:rPr>
          <w:rFonts w:ascii="Times New Roman" w:hAnsi="Times New Roman"/>
          <w:sz w:val="20"/>
        </w:rPr>
        <w:t xml:space="preserve">This Stock Option shall vest and become exercisable in accordance with the Vesting Schedule set forth in the Grant Notice. </w:t>
      </w:r>
    </w:p>
    <w:p>
      <w:pPr>
        <w:pStyle w:val="TextBody"/>
        <w:bidi w:val="0"/>
        <w:spacing w:before="240" w:after="0"/>
        <w:jc w:val="left"/>
        <w:rPr>
          <w:rFonts w:ascii="Times New Roman" w:hAnsi="Times New Roman"/>
          <w:sz w:val="20"/>
        </w:rPr>
      </w:pPr>
      <w:r>
        <w:rPr>
          <w:rFonts w:ascii="Times New Roman" w:hAnsi="Times New Roman"/>
          <w:sz w:val="20"/>
          <w:u w:val="single"/>
        </w:rPr>
        <w:t>Termination</w:t>
      </w:r>
      <w:r>
        <w:rPr>
          <w:rFonts w:ascii="Times New Roman" w:hAnsi="Times New Roman"/>
          <w:sz w:val="20"/>
        </w:rPr>
        <w:t xml:space="preserve">.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 </w:t>
      </w:r>
    </w:p>
    <w:p>
      <w:pPr>
        <w:pStyle w:val="TextBody"/>
        <w:bidi w:val="0"/>
        <w:spacing w:before="120" w:after="0"/>
        <w:jc w:val="left"/>
        <w:rPr>
          <w:rFonts w:ascii="Times New Roman" w:hAnsi="Times New Roman"/>
          <w:sz w:val="20"/>
        </w:rPr>
      </w:pPr>
      <w:r>
        <w:rPr>
          <w:rFonts w:ascii="Times New Roman" w:hAnsi="Times New Roman"/>
          <w:sz w:val="20"/>
          <w:u w:val="single"/>
        </w:rPr>
        <w:t>Termination Due to Death or Disability</w:t>
      </w:r>
      <w:r>
        <w:rPr>
          <w:rFonts w:ascii="Times New Roman" w:hAnsi="Times New Roman"/>
          <w:sz w:val="20"/>
        </w:rPr>
        <w:t xml:space="preserve">. If the Optionee’s Service Relationship terminates by reason of such Optionee’s death or Disability, this Stock Option may be exercised, to the extent exercisable on the date of such termination, by the Optionee, the Optionee’s legal representative or legatee for a period of 12 months from the date of death or Disability or until the Expiration Date, if earlier. </w:t>
      </w:r>
    </w:p>
    <w:p>
      <w:pPr>
        <w:pStyle w:val="TextBody"/>
        <w:bidi w:val="0"/>
        <w:spacing w:before="120" w:after="0"/>
        <w:jc w:val="left"/>
        <w:rPr>
          <w:rFonts w:ascii="Times New Roman" w:hAnsi="Times New Roman"/>
          <w:sz w:val="20"/>
        </w:rPr>
      </w:pPr>
      <w:r>
        <w:rPr>
          <w:rFonts w:ascii="Times New Roman" w:hAnsi="Times New Roman"/>
          <w:sz w:val="20"/>
          <w:u w:val="single"/>
        </w:rPr>
        <w:t>Other Termination</w:t>
      </w:r>
      <w:r>
        <w:rPr>
          <w:rFonts w:ascii="Times New Roman" w:hAnsi="Times New Roman"/>
          <w:sz w:val="20"/>
        </w:rPr>
        <w:t xml:space="preserve">. If the Optionee’s Service Relationship terminates for any reason other than death or Disability, and unless otherwise determined by the Committee, this Stock Option may be exercised, to the extent exercisable on the date of termination, for a period of 90 days from the date of termination or until the Expiration Date, if earlier;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the Optionee’s Service Relationship is terminated for Cause, this Stock Option shall terminate immediately upon the date of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hereof, the Committee’s determination of the reason for termination of the Optionee’s Service Relationship shall be conclusive and binding on the Optionee and his or her representatives or legatees and any Permitted Transferee. Any portion of this Stock Option that is not vested and exercisable on the date of termination of the Service Relationship shall terminate immediately and be null and void.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Exercise of Stock Option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Optionee may exercise this Stock Option only in the following manner: Prior to the Expiration Date, the Optionee may deliver a Stock Option exercise notice (an “Exercise Notice”) in the form of </w:t>
      </w:r>
      <w:r>
        <w:rPr>
          <w:rFonts w:ascii="Times New Roman" w:hAnsi="Times New Roman"/>
          <w:sz w:val="20"/>
          <w:u w:val="single"/>
        </w:rPr>
        <w:t>Appendix A</w:t>
      </w:r>
      <w:r>
        <w:rPr>
          <w:rFonts w:ascii="Times New Roman" w:hAnsi="Times New Roman"/>
          <w:sz w:val="20"/>
        </w:rPr>
        <w:t xml:space="preserve"> hereto indicating his or her election to purchase some or all of the Shares with respect to which this Stock Option is then exercisable. Such notice shall specify the number of Shares to be purchased. Payment of the purchase price may be made by one or more of the methods described in Section 5 of the Plan, subject to the limitations contained in such Section of the Plan, including the requirement that the Committee specifically approve in advance certain payment methods.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hereof or of the Plan, no portion of this Stock Option shall be exercisable after the Expiration Date. </w:t>
      </w:r>
    </w:p>
    <w:p>
      <w:pPr>
        <w:pStyle w:val="TextBody"/>
        <w:bidi w:val="0"/>
        <w:spacing w:before="240" w:after="0"/>
        <w:jc w:val="left"/>
        <w:rPr>
          <w:rFonts w:ascii="Times New Roman" w:hAnsi="Times New Roman"/>
          <w:sz w:val="20"/>
        </w:rPr>
      </w:pPr>
      <w:r>
        <w:rPr>
          <w:rFonts w:ascii="Times New Roman" w:hAnsi="Times New Roman"/>
          <w:sz w:val="20"/>
          <w:u w:val="single"/>
        </w:rPr>
        <w:t>Incorporation of Plan</w:t>
      </w:r>
      <w:r>
        <w:rPr>
          <w:rFonts w:ascii="Times New Roman" w:hAnsi="Times New Roman"/>
          <w:sz w:val="20"/>
        </w:rPr>
        <w:t xml:space="preserve">. Notwithstanding anything herein to the contrary, this Stock Option shall be subject to and governed by all the terms and conditions of the Plan. </w:t>
      </w:r>
    </w:p>
    <w:p>
      <w:pPr>
        <w:pStyle w:val="TextBody"/>
        <w:bidi w:val="0"/>
        <w:spacing w:before="240" w:after="0"/>
        <w:jc w:val="left"/>
        <w:rPr>
          <w:rFonts w:ascii="Times New Roman" w:hAnsi="Times New Roman"/>
          <w:sz w:val="20"/>
        </w:rPr>
      </w:pPr>
      <w:r>
        <w:rPr>
          <w:rFonts w:ascii="Times New Roman" w:hAnsi="Times New Roman"/>
          <w:sz w:val="20"/>
          <w:u w:val="single"/>
        </w:rPr>
        <w:t>Transferability of Stock Option</w:t>
      </w:r>
      <w:r>
        <w:rPr>
          <w:rFonts w:ascii="Times New Roman" w:hAnsi="Times New Roman"/>
          <w:sz w:val="20"/>
        </w:rPr>
        <w:t xml:space="preserve">. This Stock Option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 predeceases the Optionee, the legal representative of the Optionee may exercise this Stock Option to the extent provided herein in the event of the Optionee’s death. </w:t>
      </w:r>
    </w:p>
    <w:p>
      <w:pPr>
        <w:pStyle w:val="TextBody"/>
        <w:bidi w:val="0"/>
        <w:spacing w:before="240" w:after="0"/>
        <w:jc w:val="left"/>
        <w:rPr>
          <w:rFonts w:ascii="Times New Roman" w:hAnsi="Times New Roman"/>
          <w:sz w:val="20"/>
        </w:rPr>
      </w:pPr>
      <w:r>
        <w:rPr>
          <w:rFonts w:ascii="Times New Roman" w:hAnsi="Times New Roman"/>
          <w:sz w:val="20"/>
          <w:u w:val="single"/>
        </w:rPr>
        <w:t>Restrictions on Transfer of Shares</w:t>
      </w:r>
      <w:r>
        <w:rPr>
          <w:rFonts w:ascii="Times New Roman" w:hAnsi="Times New Roman"/>
          <w:sz w:val="20"/>
        </w:rPr>
        <w:t xml:space="preserve">. The Shares acquired upon exercise of the Stock Option shall be subject to certain transfer restrictions and other limitations including, without limitation, the provisions contained in Section 9 of the Plan. </w:t>
      </w:r>
    </w:p>
    <w:p>
      <w:pPr>
        <w:pStyle w:val="TextBody"/>
        <w:bidi w:val="0"/>
        <w:spacing w:before="240" w:after="0"/>
        <w:jc w:val="left"/>
        <w:rPr>
          <w:rFonts w:ascii="Times New Roman" w:hAnsi="Times New Roman"/>
          <w:sz w:val="20"/>
        </w:rPr>
      </w:pP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Equitable Relief</w:t>
      </w:r>
      <w:r>
        <w:rPr>
          <w:rFonts w:ascii="Times New Roman" w:hAnsi="Times New Roman"/>
          <w:sz w:val="20"/>
        </w:rPr>
        <w:t xml:space="preserve">. The parties hereto agree and declare that legal remedies may be inadequate to enforce the provisions of this Agreement and that equitable relief, including specific performance and injunctive relief, may be used to enforce the provisions of this Agreement. </w:t>
      </w:r>
    </w:p>
    <w:p>
      <w:pPr>
        <w:pStyle w:val="TextBody"/>
        <w:bidi w:val="0"/>
        <w:spacing w:before="240" w:after="0"/>
        <w:jc w:val="left"/>
        <w:rPr>
          <w:rFonts w:ascii="Times New Roman" w:hAnsi="Times New Roman"/>
          <w:sz w:val="20"/>
        </w:rPr>
      </w:pPr>
      <w:r>
        <w:rPr>
          <w:rFonts w:ascii="Times New Roman" w:hAnsi="Times New Roman"/>
          <w:sz w:val="20"/>
          <w:u w:val="single"/>
        </w:rPr>
        <w:t>Adjustments for Changes in Capital Structure</w:t>
      </w:r>
      <w:r>
        <w:rPr>
          <w:rFonts w:ascii="Times New Roman" w:hAnsi="Times New Roman"/>
          <w:sz w:val="20"/>
        </w:rPr>
        <w:t xml:space="preserve">.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securities of the Company, the restrictions contained in this Agreement shall apply with equal force to additional and/or substitute securities, if any, received by the Optionee in exchange for, or by virtue of his or her ownership of, this Stock Option or Shares acquired pursuant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Change and Modifications</w:t>
      </w:r>
      <w:r>
        <w:rPr>
          <w:rFonts w:ascii="Times New Roman" w:hAnsi="Times New Roman"/>
          <w:sz w:val="20"/>
        </w:rPr>
        <w:t xml:space="preserve">. This Agreement may not be orally changed, modified or terminated, nor shall any oral waiver of any of its terms be effective. This Agreement may be changed, modified or terminated only by an agreement in writing signed by the Company and the Optionee. </w:t>
      </w:r>
    </w:p>
    <w:p>
      <w:pPr>
        <w:pStyle w:val="TextBody"/>
        <w:bidi w:val="0"/>
        <w:spacing w:before="240" w:after="0"/>
        <w:jc w:val="left"/>
        <w:rPr>
          <w:rFonts w:ascii="Times New Roman" w:hAnsi="Times New Roman"/>
          <w:sz w:val="20"/>
        </w:rPr>
      </w:pPr>
      <w:r>
        <w:rPr>
          <w:rFonts w:ascii="Times New Roman" w:hAnsi="Times New Roman"/>
          <w:sz w:val="20"/>
          <w:u w:val="single"/>
        </w:rPr>
        <w:t>Governing Law</w:t>
      </w:r>
      <w:r>
        <w:rPr>
          <w:rFonts w:ascii="Times New Roman" w:hAnsi="Times New Roman"/>
          <w:sz w:val="20"/>
        </w:rPr>
        <w:t xml:space="preserve">. This Agreement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without regard to conflict of law principles that would result in the application of any law other than the law of the Commonwealth of Massachusetts. </w:t>
      </w:r>
    </w:p>
    <w:p>
      <w:pPr>
        <w:pStyle w:val="TextBody"/>
        <w:bidi w:val="0"/>
        <w:spacing w:before="240" w:after="0"/>
        <w:jc w:val="left"/>
        <w:rPr>
          <w:rFonts w:ascii="Times New Roman" w:hAnsi="Times New Roman"/>
          <w:sz w:val="20"/>
        </w:rPr>
      </w:pPr>
      <w:r>
        <w:rPr>
          <w:rFonts w:ascii="Times New Roman" w:hAnsi="Times New Roman"/>
          <w:sz w:val="20"/>
          <w:u w:val="single"/>
        </w:rPr>
        <w:t>Headings</w:t>
      </w:r>
      <w:r>
        <w:rPr>
          <w:rFonts w:ascii="Times New Roman" w:hAnsi="Times New Roman"/>
          <w:sz w:val="20"/>
        </w:rPr>
        <w:t xml:space="preserve">. The headings are intended only for convenience in finding the subject matter and do not constitute part of the text of this Agreement and shall not be considered in the interpretation of this Agreement. </w:t>
      </w:r>
    </w:p>
    <w:p>
      <w:pPr>
        <w:pStyle w:val="TextBody"/>
        <w:bidi w:val="0"/>
        <w:spacing w:before="240" w:after="0"/>
        <w:jc w:val="left"/>
        <w:rPr>
          <w:rFonts w:ascii="Times New Roman" w:hAnsi="Times New Roman"/>
          <w:sz w:val="20"/>
        </w:rPr>
      </w:pPr>
      <w:r>
        <w:rPr>
          <w:rFonts w:ascii="Times New Roman" w:hAnsi="Times New Roman"/>
          <w:sz w:val="20"/>
          <w:u w:val="single"/>
        </w:rPr>
        <w:t>Saving Clause</w:t>
      </w:r>
      <w:r>
        <w:rPr>
          <w:rFonts w:ascii="Times New Roman" w:hAnsi="Times New Roman"/>
          <w:sz w:val="20"/>
        </w:rPr>
        <w:t xml:space="preserve">. If any provision(s) of this Agreement shall be determined to be illegal or unenforceable, such determination shall in no manner affect the legality or enforceability of any other provision hereof. </w:t>
      </w:r>
    </w:p>
    <w:p>
      <w:pPr>
        <w:pStyle w:val="TextBody"/>
        <w:bidi w:val="0"/>
        <w:spacing w:before="240" w:after="0"/>
        <w:jc w:val="left"/>
        <w:rPr>
          <w:rFonts w:ascii="Times New Roman" w:hAnsi="Times New Roman"/>
          <w:sz w:val="20"/>
        </w:rPr>
      </w:pPr>
      <w:r>
        <w:rPr>
          <w:rFonts w:ascii="Times New Roman" w:hAnsi="Times New Roman"/>
          <w:sz w:val="20"/>
          <w:u w:val="single"/>
        </w:rPr>
        <w:t>Notices</w:t>
      </w:r>
      <w:r>
        <w:rPr>
          <w:rFonts w:ascii="Times New Roman" w:hAnsi="Times New Roman"/>
          <w:sz w:val="20"/>
        </w:rPr>
        <w:t xml:space="preserve">. All notices, requests, consents and other communications shall be in writing and be deemed given when delivered personally, by telex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 </w:t>
      </w:r>
    </w:p>
    <w:p>
      <w:pPr>
        <w:pStyle w:val="TextBody"/>
        <w:bidi w:val="0"/>
        <w:spacing w:before="240" w:after="0"/>
        <w:jc w:val="left"/>
        <w:rPr>
          <w:rFonts w:ascii="Times New Roman" w:hAnsi="Times New Roman"/>
          <w:sz w:val="20"/>
        </w:rPr>
      </w:pPr>
      <w:r>
        <w:rPr>
          <w:rFonts w:ascii="Times New Roman" w:hAnsi="Times New Roman"/>
          <w:sz w:val="20"/>
          <w:u w:val="single"/>
        </w:rPr>
        <w:t>Benefit and Binding Effect</w:t>
      </w:r>
      <w:r>
        <w:rPr>
          <w:rFonts w:ascii="Times New Roman" w:hAnsi="Times New Roman"/>
          <w:sz w:val="20"/>
        </w:rPr>
        <w:t xml:space="preserve">.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 </w:t>
      </w:r>
    </w:p>
    <w:p>
      <w:pPr>
        <w:pStyle w:val="TextBody"/>
        <w:bidi w:val="0"/>
        <w:spacing w:before="240" w:after="0"/>
        <w:jc w:val="left"/>
        <w:rPr>
          <w:rFonts w:ascii="Times New Roman" w:hAnsi="Times New Roman"/>
          <w:sz w:val="20"/>
        </w:rPr>
      </w:pPr>
      <w:r>
        <w:rPr>
          <w:rFonts w:ascii="Times New Roman" w:hAnsi="Times New Roman"/>
          <w:sz w:val="20"/>
          <w:u w:val="single"/>
        </w:rPr>
        <w:t>Counterparts</w:t>
      </w:r>
      <w:r>
        <w:rPr>
          <w:rFonts w:ascii="Times New Roman" w:hAnsi="Times New Roman"/>
          <w:sz w:val="20"/>
        </w:rPr>
        <w:t xml:space="preserve">. For the convenience of the parties and to facilitate execution, this Agreement may be executed in two or more counterparts, each of which shall be deemed an original, but all of which shall constitute one and the same document. </w:t>
      </w:r>
    </w:p>
    <w:p>
      <w:pPr>
        <w:pStyle w:val="TextBody"/>
        <w:bidi w:val="0"/>
        <w:spacing w:before="240" w:after="0"/>
        <w:jc w:val="left"/>
        <w:rPr>
          <w:rFonts w:ascii="Times New Roman" w:hAnsi="Times New Roman"/>
          <w:sz w:val="20"/>
        </w:rPr>
      </w:pPr>
      <w:r>
        <w:rPr>
          <w:rFonts w:ascii="Times New Roman" w:hAnsi="Times New Roman"/>
          <w:sz w:val="20"/>
          <w:u w:val="single"/>
        </w:rPr>
        <w:t>Integration</w:t>
      </w:r>
      <w:r>
        <w:rPr>
          <w:rFonts w:ascii="Times New Roman" w:hAnsi="Times New Roman"/>
          <w:sz w:val="20"/>
        </w:rPr>
        <w:t xml:space="preserve">. This Agreement constitutes the entire agreement between the parties with respect to this Stock Option and supersedes all prior agreements and discussions between the parties concerning such subject matter. </w:t>
      </w:r>
    </w:p>
    <w:p>
      <w:pPr>
        <w:pStyle w:val="TextBody"/>
        <w:bidi w:val="0"/>
        <w:spacing w:before="240" w:after="0"/>
        <w:jc w:val="left"/>
        <w:rPr>
          <w:rFonts w:ascii="Times New Roman" w:hAnsi="Times New Roman"/>
          <w:sz w:val="20"/>
        </w:rPr>
      </w:pPr>
      <w:r>
        <w:rPr>
          <w:rFonts w:ascii="Times New Roman" w:hAnsi="Times New Roman"/>
          <w:sz w:val="20"/>
          <w:u w:val="single"/>
        </w:rPr>
        <w:t>Dispute Resolution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below, any dispute arising out of or relating to the Plan or this Stock Option, this Agreement, or the breach, termination or validity of the Plan, this Stock Option or this Agreement, shall be finally settled by binding arbitration conducted expeditiously in accordance with the J.A.M.S./Endispute Comprehensive Arbitration Rules and Procedures (the “J.A.M.S. Rules”). The arbitration shall be governed by the United States Arbitration Act, 9 U.S.C. Sections 1-16, and judgment upon the award rendered by the arbitrators may be entered by any court having jurisdiction thereof. The place of arbitration shall be Boston, Massachusetts.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 </w:t>
      </w:r>
    </w:p>
    <w:p>
      <w:pPr>
        <w:pStyle w:val="TextBody"/>
        <w:bidi w:val="0"/>
        <w:spacing w:before="240" w:after="0"/>
        <w:jc w:val="left"/>
        <w:rPr>
          <w:rFonts w:ascii="Times New Roman" w:hAnsi="Times New Roman"/>
          <w:sz w:val="20"/>
        </w:rPr>
      </w:pPr>
      <w:r>
        <w:rPr>
          <w:rFonts w:ascii="Times New Roman" w:hAnsi="Times New Roman"/>
          <w:sz w:val="20"/>
        </w:rPr>
        <w:t xml:space="preserve">The Company, the Optionee, each party to the Agreement and any other holder of Shares issued pursuant to this Agreement (each, a “Party”) covenants and agrees that such party will participate in the arbitration in good faith. This Section 7 applies equally to requests for temporary, preliminary or permanent injunctive relief, except that in the case of temporary or preliminary injunctive relief any party may proceed in court without prior arbitration for the limited purpose of avoiding immediate and irreparable harm. </w:t>
      </w:r>
    </w:p>
    <w:p>
      <w:pPr>
        <w:pStyle w:val="TextBody"/>
        <w:bidi w:val="0"/>
        <w:spacing w:before="240" w:after="0"/>
        <w:jc w:val="left"/>
        <w:rPr>
          <w:rFonts w:ascii="Times New Roman" w:hAnsi="Times New Roman"/>
          <w:sz w:val="20"/>
        </w:rPr>
      </w:pPr>
      <w:r>
        <w:rPr>
          <w:rFonts w:ascii="Times New Roman" w:hAnsi="Times New Roman"/>
          <w:sz w:val="20"/>
        </w:rPr>
        <w:t xml:space="preserve">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Agreement is hereby accepted and the terms and conditions thereof hereby agreed to by the undersigned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5"/>
        <w:gridCol w:w="127"/>
        <w:gridCol w:w="3260"/>
      </w:tblGrid>
      <w:tr>
        <w:trPr/>
        <w:tc>
          <w:tcPr>
            <w:tcW w:w="69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OBSIDIAN THERAPEUTICS, INC.</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pBdr>
                <w:bottom w:val="single" w:sz="2" w:space="1" w:color="000000"/>
              </w:pBdr>
              <w:bidi w:val="0"/>
              <w:spacing w:before="0" w:after="20"/>
              <w:jc w:val="left"/>
              <w:rPr/>
            </w:pPr>
            <w:r>
              <w:rPr/>
              <w:t> </w:t>
            </w:r>
          </w:p>
        </w:tc>
      </w:tr>
      <w:tr>
        <w:trPr/>
        <w:tc>
          <w:tcPr>
            <w:tcW w:w="69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Name:</w:t>
            </w:r>
          </w:p>
        </w:tc>
      </w:tr>
      <w:tr>
        <w:trPr/>
        <w:tc>
          <w:tcPr>
            <w:tcW w:w="69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undersigned hereby acknowledges receiving and reviewing a copy of the Plan, including, without limitation, Section 9 thereof, and understands that this Stock Option is subject to the terms of the Plan and of this Agreement. This Agreement is hereby accepted, and the terms and conditions of the Plan, the Grant Notice and this Agreement, SPECIFICALLY INCLUDING THE ARBITRATION PROVISIONS SET FORTH IN SECTION 7 OF THIS AGREEMENT, are hereby agreed to, by the undersigned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OPTIONEE: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Name: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DESIGNATED BENEFICIARY: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Beneficiary’s Address: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Appendix A </w:t>
      </w:r>
    </w:p>
    <w:p>
      <w:pPr>
        <w:pStyle w:val="TextBody"/>
        <w:bidi w:val="0"/>
        <w:spacing w:before="240" w:after="0"/>
        <w:jc w:val="center"/>
        <w:rPr>
          <w:rFonts w:ascii="Times New Roman" w:hAnsi="Times New Roman"/>
          <w:b/>
          <w:sz w:val="20"/>
        </w:rPr>
      </w:pPr>
      <w:r>
        <w:rPr>
          <w:rFonts w:ascii="Times New Roman" w:hAnsi="Times New Roman"/>
          <w:b/>
          <w:sz w:val="20"/>
        </w:rPr>
        <w:t xml:space="preserve">STOCK OPTION EXERCISE NOTICE </w:t>
      </w:r>
    </w:p>
    <w:p>
      <w:pPr>
        <w:pStyle w:val="TextBody"/>
        <w:bidi w:val="0"/>
        <w:spacing w:before="240" w:after="0"/>
        <w:jc w:val="left"/>
        <w:rPr>
          <w:rFonts w:ascii="Times New Roman" w:hAnsi="Times New Roman"/>
          <w:sz w:val="20"/>
        </w:rPr>
      </w:pPr>
      <w:r>
        <w:rPr>
          <w:rFonts w:ascii="Times New Roman" w:hAnsi="Times New Roman"/>
          <w:sz w:val="20"/>
        </w:rPr>
        <w:t xml:space="preserve">OBSIDIAN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Attention: Head of Finance </w:t>
      </w:r>
    </w:p>
    <w:p>
      <w:pPr>
        <w:pStyle w:val="TextBody"/>
        <w:bidi w:val="0"/>
        <w:spacing w:before="80" w:after="0"/>
        <w:jc w:val="left"/>
        <w:rPr>
          <w:rFonts w:ascii="Times New Roman" w:hAnsi="Times New Roman"/>
          <w:sz w:val="20"/>
        </w:rPr>
      </w:pPr>
      <w:r>
        <w:rPr>
          <w:rFonts w:ascii="Times New Roman" w:hAnsi="Times New Roman"/>
          <w:sz w:val="20"/>
        </w:rPr>
        <w:t xml:space="preserve">_____________________________ </w:t>
      </w:r>
    </w:p>
    <w:p>
      <w:pPr>
        <w:pStyle w:val="TextBody"/>
        <w:bidi w:val="0"/>
        <w:spacing w:before="80" w:after="0"/>
        <w:jc w:val="left"/>
        <w:rPr>
          <w:rFonts w:ascii="Times New Roman" w:hAnsi="Times New Roman"/>
          <w:sz w:val="20"/>
        </w:rPr>
      </w:pPr>
      <w:r>
        <w:rPr>
          <w:rFonts w:ascii="Times New Roman" w:hAnsi="Times New Roman"/>
          <w:sz w:val="20"/>
        </w:rPr>
        <w:t xml:space="preserve">_____________________________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grant notice and stock option agreement between the undersigned and Obsidian Therapeutics, Inc. (the “Company”) dated __________ (the “Agreement”) under the Obsidian Therapeutics, Inc.2016 Stock Option and Grant Plan, I, [Insert Name] ________________, hereby [Circle One] partially/fully exercise such option by including herein payment in the amount of $______ representing the purchase price for [Fill in number of Shares] _______ Shares. I have chosen the following form(s) of payment: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1"/>
        <w:gridCol w:w="110"/>
        <w:gridCol w:w="243"/>
        <w:gridCol w:w="122"/>
        <w:gridCol w:w="225"/>
        <w:gridCol w:w="122"/>
        <w:gridCol w:w="8642"/>
      </w:tblGrid>
      <w:tr>
        <w:trPr/>
        <w:tc>
          <w:tcPr>
            <w:tcW w:w="741"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642" w:type="dxa"/>
            <w:tcBorders/>
            <w:vAlign w:val="center"/>
          </w:tcPr>
          <w:p>
            <w:pPr>
              <w:pStyle w:val="TableContents"/>
              <w:bidi w:val="0"/>
              <w:spacing w:before="0" w:after="283"/>
              <w:jc w:val="left"/>
              <w:rPr>
                <w:sz w:val="4"/>
                <w:szCs w:val="4"/>
              </w:rPr>
            </w:pPr>
            <w:r>
              <w:rPr>
                <w:sz w:val="4"/>
                <w:szCs w:val="4"/>
              </w:rPr>
            </w:r>
          </w:p>
        </w:tc>
      </w:tr>
      <w:tr>
        <w:trPr/>
        <w:tc>
          <w:tcPr>
            <w:tcW w:w="741"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243" w:type="dxa"/>
            <w:tcBorders/>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25" w:type="dxa"/>
            <w:tcBorders/>
          </w:tcPr>
          <w:p>
            <w:pPr>
              <w:pStyle w:val="TableContents"/>
              <w:bidi w:val="0"/>
              <w:spacing w:before="0" w:after="283"/>
              <w:jc w:val="left"/>
              <w:rPr/>
            </w:pPr>
            <w:r>
              <w:rPr/>
              <w:t>1.</w:t>
            </w:r>
          </w:p>
        </w:tc>
        <w:tc>
          <w:tcPr>
            <w:tcW w:w="122" w:type="dxa"/>
            <w:tcBorders/>
            <w:vAlign w:val="bottom"/>
          </w:tcPr>
          <w:p>
            <w:pPr>
              <w:pStyle w:val="TableContents"/>
              <w:bidi w:val="0"/>
              <w:spacing w:before="0" w:after="283"/>
              <w:jc w:val="left"/>
              <w:rPr/>
            </w:pPr>
            <w:r>
              <w:rPr/>
              <w:t>  </w:t>
            </w:r>
          </w:p>
        </w:tc>
        <w:tc>
          <w:tcPr>
            <w:tcW w:w="8642" w:type="dxa"/>
            <w:tcBorders/>
          </w:tcPr>
          <w:p>
            <w:pPr>
              <w:pStyle w:val="TableContents"/>
              <w:bidi w:val="0"/>
              <w:spacing w:before="0" w:after="283"/>
              <w:jc w:val="left"/>
              <w:rPr/>
            </w:pPr>
            <w:r>
              <w:rPr/>
              <w:t>Cash</w:t>
            </w:r>
          </w:p>
        </w:tc>
      </w:tr>
      <w:tr>
        <w:trPr/>
        <w:tc>
          <w:tcPr>
            <w:tcW w:w="741" w:type="dxa"/>
            <w:tcBorders/>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43" w:type="dxa"/>
            <w:tcBorders/>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25" w:type="dxa"/>
            <w:tcBorders/>
          </w:tcPr>
          <w:p>
            <w:pPr>
              <w:pStyle w:val="TableContents"/>
              <w:bidi w:val="0"/>
              <w:spacing w:before="0" w:after="283"/>
              <w:jc w:val="left"/>
              <w:rPr/>
            </w:pPr>
            <w:r>
              <w:rPr/>
              <w:t>2.</w:t>
            </w:r>
          </w:p>
        </w:tc>
        <w:tc>
          <w:tcPr>
            <w:tcW w:w="122" w:type="dxa"/>
            <w:tcBorders/>
            <w:vAlign w:val="bottom"/>
          </w:tcPr>
          <w:p>
            <w:pPr>
              <w:pStyle w:val="TableContents"/>
              <w:bidi w:val="0"/>
              <w:spacing w:before="0" w:after="283"/>
              <w:jc w:val="left"/>
              <w:rPr/>
            </w:pPr>
            <w:r>
              <w:rPr/>
              <w:t>  </w:t>
            </w:r>
          </w:p>
        </w:tc>
        <w:tc>
          <w:tcPr>
            <w:tcW w:w="8642" w:type="dxa"/>
            <w:tcBorders/>
          </w:tcPr>
          <w:p>
            <w:pPr>
              <w:pStyle w:val="TableContents"/>
              <w:bidi w:val="0"/>
              <w:spacing w:before="0" w:after="283"/>
              <w:jc w:val="left"/>
              <w:rPr/>
            </w:pPr>
            <w:r>
              <w:rPr/>
              <w:t>Certified or bank check payable to Obsidian Therapeutics, Inc.</w:t>
            </w:r>
          </w:p>
        </w:tc>
      </w:tr>
      <w:tr>
        <w:trPr/>
        <w:tc>
          <w:tcPr>
            <w:tcW w:w="741"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243" w:type="dxa"/>
            <w:tcBorders/>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25" w:type="dxa"/>
            <w:tcBorders/>
          </w:tcPr>
          <w:p>
            <w:pPr>
              <w:pStyle w:val="TableContents"/>
              <w:bidi w:val="0"/>
              <w:spacing w:before="0" w:after="283"/>
              <w:jc w:val="left"/>
              <w:rPr/>
            </w:pPr>
            <w:r>
              <w:rPr/>
              <w:t>3.</w:t>
            </w:r>
          </w:p>
        </w:tc>
        <w:tc>
          <w:tcPr>
            <w:tcW w:w="122" w:type="dxa"/>
            <w:tcBorders/>
            <w:vAlign w:val="bottom"/>
          </w:tcPr>
          <w:p>
            <w:pPr>
              <w:pStyle w:val="TableContents"/>
              <w:bidi w:val="0"/>
              <w:spacing w:before="0" w:after="283"/>
              <w:jc w:val="left"/>
              <w:rPr/>
            </w:pPr>
            <w:r>
              <w:rPr/>
              <w:t>  </w:t>
            </w:r>
          </w:p>
        </w:tc>
        <w:tc>
          <w:tcPr>
            <w:tcW w:w="8642" w:type="dxa"/>
            <w:tcBorders/>
          </w:tcPr>
          <w:p>
            <w:pPr>
              <w:pStyle w:val="TableContents"/>
              <w:bidi w:val="0"/>
              <w:spacing w:before="0" w:after="283"/>
              <w:jc w:val="left"/>
              <w:rPr/>
            </w:pPr>
            <w:r>
              <w:rPr/>
              <w:t>Other (as referenced in the Agreement and described in the Plan (please describe))</w:t>
            </w:r>
          </w:p>
        </w:tc>
      </w:tr>
      <w:tr>
        <w:trPr/>
        <w:tc>
          <w:tcPr>
            <w:tcW w:w="741"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24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642"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my exercise of the option as set forth above, I hereby represent and warrant to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I am purchasing the Shares for my own account for investment only, and not for resale or with a view to the distribution thereof. </w:t>
      </w:r>
    </w:p>
    <w:p>
      <w:pPr>
        <w:pStyle w:val="TextBody"/>
        <w:bidi w:val="0"/>
        <w:spacing w:before="120" w:after="0"/>
        <w:jc w:val="left"/>
        <w:rPr>
          <w:rFonts w:ascii="Times New Roman" w:hAnsi="Times New Roman"/>
          <w:sz w:val="20"/>
        </w:rPr>
      </w:pPr>
      <w:r>
        <w:rPr>
          <w:rFonts w:ascii="Times New Roman" w:hAnsi="Times New Roman"/>
          <w:sz w:val="20"/>
        </w:rPr>
        <w:t xml:space="preserve">I have had such an opportunity as I have deemed adequate to obtain from the Company such information as is necessary to permit me to evaluate the merits and risks of my investment in the Company and have consulted with my own advisers with respect to my investment in the Company. </w:t>
      </w:r>
    </w:p>
    <w:p>
      <w:pPr>
        <w:pStyle w:val="TextBody"/>
        <w:bidi w:val="0"/>
        <w:spacing w:before="120" w:after="0"/>
        <w:jc w:val="left"/>
        <w:rPr>
          <w:rFonts w:ascii="Times New Roman" w:hAnsi="Times New Roman"/>
          <w:sz w:val="20"/>
        </w:rPr>
      </w:pPr>
      <w:r>
        <w:rPr>
          <w:rFonts w:ascii="Times New Roman" w:hAnsi="Times New Roman"/>
          <w:sz w:val="20"/>
        </w:rPr>
        <w:t xml:space="preserve">I have sufficient experience in business, financial and investment matters to be able to evaluate the risks involved in the purchase of the Shares and to make an informed investment decision with respect to such purchase. </w:t>
      </w:r>
    </w:p>
    <w:p>
      <w:pPr>
        <w:pStyle w:val="TextBody"/>
        <w:bidi w:val="0"/>
        <w:spacing w:before="120" w:after="0"/>
        <w:jc w:val="left"/>
        <w:rPr>
          <w:rFonts w:ascii="Times New Roman" w:hAnsi="Times New Roman"/>
          <w:sz w:val="20"/>
        </w:rPr>
      </w:pPr>
      <w:r>
        <w:rPr>
          <w:rFonts w:ascii="Times New Roman" w:hAnsi="Times New Roman"/>
          <w:sz w:val="20"/>
        </w:rPr>
        <w:t xml:space="preserve">I can afford a complete loss of the value of the Shares and am able to bear the economic risk of holding such Shares for an indefinite period of time. </w:t>
      </w:r>
    </w:p>
    <w:p>
      <w:pPr>
        <w:pStyle w:val="TextBody"/>
        <w:bidi w:val="0"/>
        <w:spacing w:before="120" w:after="0"/>
        <w:jc w:val="left"/>
        <w:rPr>
          <w:rFonts w:ascii="Times New Roman" w:hAnsi="Times New Roman"/>
          <w:sz w:val="20"/>
        </w:rPr>
      </w:pPr>
      <w:r>
        <w:rPr>
          <w:rFonts w:ascii="Times New Roman" w:hAnsi="Times New Roman"/>
          <w:sz w:val="20"/>
        </w:rPr>
        <w:t xml:space="preserve">I understand that the Shares may not be registered under the Securities Act of 1933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Securities Act of 1933 and under any applicable state securities or “blue sky” laws (or exemptions from the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requirement thereof). I further acknowledge that certificates representing Shares will bear restrictive legends reflecting the foregoing and/or that book entries for uncertificated Shares will include similar restrictive notations. </w:t>
      </w:r>
    </w:p>
    <w:p>
      <w:pPr>
        <w:pStyle w:val="TextBody"/>
        <w:bidi w:val="0"/>
        <w:spacing w:before="120" w:after="0"/>
        <w:jc w:val="left"/>
        <w:rPr>
          <w:rFonts w:ascii="Times New Roman" w:hAnsi="Times New Roman"/>
          <w:sz w:val="20"/>
        </w:rPr>
      </w:pPr>
      <w:r>
        <w:rPr>
          <w:rFonts w:ascii="Times New Roman" w:hAnsi="Times New Roman"/>
          <w:sz w:val="20"/>
        </w:rPr>
        <w:t xml:space="preserve">I have read and understand the Plan and acknowledge and agree that the Shares are subject to all of the relevant terms of the Plan, including without limitation, the transfer restrictions set forth in Section 9 of the Plan. </w:t>
      </w:r>
    </w:p>
    <w:p>
      <w:pPr>
        <w:pStyle w:val="TextBody"/>
        <w:bidi w:val="0"/>
        <w:spacing w:before="120" w:after="0"/>
        <w:jc w:val="left"/>
        <w:rPr>
          <w:rFonts w:ascii="Times New Roman" w:hAnsi="Times New Roman"/>
          <w:sz w:val="20"/>
        </w:rPr>
      </w:pPr>
      <w:r>
        <w:rPr>
          <w:rFonts w:ascii="Times New Roman" w:hAnsi="Times New Roman"/>
          <w:sz w:val="20"/>
        </w:rPr>
        <w:t xml:space="preserve">I understand and agree that the Company has a right of first refusal with respect to the Shares pursuant to Section 9(b) of the Plan. </w:t>
      </w:r>
    </w:p>
    <w:p>
      <w:pPr>
        <w:pStyle w:val="TextBody"/>
        <w:bidi w:val="0"/>
        <w:spacing w:before="120" w:after="0"/>
        <w:jc w:val="left"/>
        <w:rPr>
          <w:rFonts w:ascii="Times New Roman" w:hAnsi="Times New Roman"/>
          <w:sz w:val="20"/>
        </w:rPr>
      </w:pPr>
      <w:r>
        <w:rPr>
          <w:rFonts w:ascii="Times New Roman" w:hAnsi="Times New Roman"/>
          <w:sz w:val="20"/>
        </w:rPr>
        <w:t xml:space="preserve">I understand and agree that the Company has certain repurchase rights with respect to the Shares pursuant to Section 9(c) of the Plan. </w:t>
      </w:r>
    </w:p>
    <w:p>
      <w:pPr>
        <w:pStyle w:val="TextBody"/>
        <w:bidi w:val="0"/>
        <w:spacing w:before="120" w:after="0"/>
        <w:jc w:val="left"/>
        <w:rPr>
          <w:rFonts w:ascii="Times New Roman" w:hAnsi="Times New Roman"/>
          <w:sz w:val="20"/>
        </w:rPr>
      </w:pPr>
      <w:r>
        <w:rPr>
          <w:rFonts w:ascii="Times New Roman" w:hAnsi="Times New Roman"/>
          <w:sz w:val="20"/>
        </w:rPr>
        <w:t xml:space="preserve">I understand and agree that I may not sell or otherwise transfer or dispose of the Shares for a period of time following the effective date of a public offering by the Company as described in Section 9(f) of the Plan.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72"/>
        <w:gridCol w:w="60"/>
        <w:gridCol w:w="3450"/>
      </w:tblGrid>
      <w:tr>
        <w:trPr/>
        <w:tc>
          <w:tcPr>
            <w:tcW w:w="5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Sincerely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572" w:type="dxa"/>
            <w:tcBorders/>
            <w:vAlign w:val="center"/>
          </w:tcPr>
          <w:p>
            <w:pPr>
              <w:pStyle w:val="TableContents"/>
              <w:bidi w:val="0"/>
              <w:spacing w:before="0" w:after="283"/>
              <w:jc w:val="left"/>
              <w:rPr>
                <w:sz w:val="4"/>
                <w:szCs w:val="4"/>
              </w:rPr>
            </w:pPr>
            <w:r>
              <w:rPr>
                <w:sz w:val="4"/>
                <w:szCs w:val="4"/>
              </w:rPr>
            </w:r>
          </w:p>
        </w:tc>
        <w:tc>
          <w:tcPr>
            <w:tcW w:w="3510" w:type="dxa"/>
            <w:gridSpan w:val="2"/>
            <w:tcBorders/>
            <w:vAlign w:val="center"/>
          </w:tcPr>
          <w:p>
            <w:pPr>
              <w:pStyle w:val="TableContents"/>
              <w:bidi w:val="0"/>
              <w:spacing w:before="0" w:after="283"/>
              <w:jc w:val="left"/>
              <w:rPr>
                <w:sz w:val="4"/>
                <w:szCs w:val="4"/>
              </w:rPr>
            </w:pPr>
            <w:r>
              <w:rPr>
                <w:sz w:val="4"/>
                <w:szCs w:val="4"/>
              </w:rPr>
            </w:r>
          </w:p>
        </w:tc>
      </w:tr>
      <w:tr>
        <w:trPr/>
        <w:tc>
          <w:tcPr>
            <w:tcW w:w="572" w:type="dxa"/>
            <w:tcBorders/>
          </w:tcPr>
          <w:p>
            <w:pPr>
              <w:pStyle w:val="TableContents"/>
              <w:bidi w:val="0"/>
              <w:spacing w:before="0" w:after="283"/>
              <w:jc w:val="left"/>
              <w:rPr/>
            </w:pPr>
            <w:r>
              <w:rPr/>
              <w:t>Date:</w:t>
            </w:r>
          </w:p>
        </w:tc>
        <w:tc>
          <w:tcPr>
            <w:tcW w:w="60" w:type="dxa"/>
            <w:tcBorders/>
            <w:vAlign w:val="bottom"/>
          </w:tcPr>
          <w:p>
            <w:pPr>
              <w:pStyle w:val="TableContents"/>
              <w:bidi w:val="0"/>
              <w:spacing w:before="0" w:after="283"/>
              <w:jc w:val="left"/>
              <w:rPr/>
            </w:pPr>
            <w:r>
              <w:rPr/>
              <w:t> </w:t>
            </w:r>
          </w:p>
        </w:tc>
        <w:tc>
          <w:tcPr>
            <w:tcW w:w="3450"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AWARD NOTICE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OBSIDIAN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2016 STOCK OPTION AND GRANT PLAN </w:t>
      </w:r>
    </w:p>
    <w:p>
      <w:pPr>
        <w:pStyle w:val="TextBody"/>
        <w:bidi w:val="0"/>
        <w:spacing w:before="240" w:after="0"/>
        <w:jc w:val="left"/>
        <w:rPr>
          <w:rFonts w:ascii="Times New Roman" w:hAnsi="Times New Roman"/>
          <w:sz w:val="20"/>
        </w:rPr>
      </w:pPr>
      <w:r>
        <w:rPr>
          <w:rFonts w:ascii="Times New Roman" w:hAnsi="Times New Roman"/>
          <w:sz w:val="20"/>
        </w:rPr>
        <w:t>Pursuant to the Obsidian Therapeutics, Inc. 2016 Stock Option and Grant Plan (the “Plan”), Obsidian Therapeutics, Inc., a Delaware corporation (together with any successor, the “Company”), hereby grants, sells and issues to the individual named below, the Shares at the Per Share Purchase Price, subject to the terms and conditions set forth in this Restricted Stock Award Notice (the “Award Notice”), the attached Restricted Stock Agreement (the “Agreement”) and the Plan. The Grantee agrees to the provisions set forth herein and acknowledges that each such provision is a material condition of the Company’s agreement to issue and sell the Shares to him or her. The Company hereby acknowledges receipt of $</w:t>
      </w:r>
      <w:r>
        <w:rPr>
          <w:rFonts w:ascii="Times New Roman" w:hAnsi="Times New Roman"/>
          <w:b/>
          <w:sz w:val="20"/>
        </w:rPr>
        <w:t>[_______]</w:t>
      </w:r>
      <w:r>
        <w:rPr>
          <w:rFonts w:ascii="Times New Roman" w:hAnsi="Times New Roman"/>
          <w:sz w:val="20"/>
        </w:rPr>
        <w:t xml:space="preserve"> in full payment for the Shares. All references to share prices and amounts herein shall be equitably adjusted to reflect stock splits, stock dividends, recapitalizations, mergers, reorganizations and similar changes affecting the capital stock of the Company, and any shares of capital stock of the Company received on or in respect of Shares in connection with any such event (including any shares of capital stock or any right, option or warrant to receive the same or any security convertible into or exchangeable for any such shares or received upon conversion of any such shares) shall be subject to this Agreement on the same basis and extent at the relevant time as the Shares in respect of which they were issued, and shall be deemed Shares as if and to the same extent they were issued at the date hereof.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78"/>
        <w:gridCol w:w="126"/>
        <w:gridCol w:w="7201"/>
      </w:tblGrid>
      <w:tr>
        <w:trPr/>
        <w:tc>
          <w:tcPr>
            <w:tcW w:w="287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201" w:type="dxa"/>
            <w:tcBorders/>
            <w:vAlign w:val="center"/>
          </w:tcPr>
          <w:p>
            <w:pPr>
              <w:pStyle w:val="TableContents"/>
              <w:bidi w:val="0"/>
              <w:spacing w:before="0" w:after="283"/>
              <w:jc w:val="left"/>
              <w:rPr>
                <w:sz w:val="4"/>
                <w:szCs w:val="4"/>
              </w:rPr>
            </w:pPr>
            <w:r>
              <w:rPr>
                <w:sz w:val="4"/>
                <w:szCs w:val="4"/>
              </w:rPr>
            </w:r>
          </w:p>
        </w:tc>
      </w:tr>
      <w:tr>
        <w:trPr/>
        <w:tc>
          <w:tcPr>
            <w:tcW w:w="2878" w:type="dxa"/>
            <w:tcBorders/>
          </w:tcPr>
          <w:p>
            <w:pPr>
              <w:pStyle w:val="TableContents"/>
              <w:bidi w:val="0"/>
              <w:spacing w:before="0" w:after="283"/>
              <w:jc w:val="left"/>
              <w:rPr/>
            </w:pPr>
            <w:r>
              <w:rPr/>
              <w:t>Name of Grantee:</w:t>
            </w:r>
          </w:p>
        </w:tc>
        <w:tc>
          <w:tcPr>
            <w:tcW w:w="126" w:type="dxa"/>
            <w:tcBorders/>
            <w:vAlign w:val="bottom"/>
          </w:tcPr>
          <w:p>
            <w:pPr>
              <w:pStyle w:val="TableContents"/>
              <w:bidi w:val="0"/>
              <w:spacing w:before="0" w:after="283"/>
              <w:jc w:val="left"/>
              <w:rPr/>
            </w:pPr>
            <w:r>
              <w:rPr/>
              <w:t>  </w:t>
            </w:r>
          </w:p>
        </w:tc>
        <w:tc>
          <w:tcPr>
            <w:tcW w:w="7201" w:type="dxa"/>
            <w:tcBorders/>
          </w:tcPr>
          <w:p>
            <w:pPr>
              <w:pStyle w:val="TableContents"/>
              <w:bidi w:val="0"/>
              <w:spacing w:before="0" w:after="283"/>
              <w:jc w:val="left"/>
              <w:rPr/>
            </w:pPr>
            <w:r>
              <w:rPr/>
              <w:t>_________________ (the “Grantee”)</w:t>
            </w:r>
          </w:p>
        </w:tc>
      </w:tr>
      <w:tr>
        <w:trPr>
          <w:trHeight w:val="120" w:hRule="atLeast"/>
        </w:trPr>
        <w:tc>
          <w:tcPr>
            <w:tcW w:w="2878" w:type="dxa"/>
            <w:tcBorders/>
            <w:vAlign w:val="center"/>
          </w:tcPr>
          <w:p>
            <w:pPr>
              <w:pStyle w:val="TableContents"/>
              <w:bidi w:val="0"/>
              <w:spacing w:before="0" w:after="283"/>
              <w:jc w:val="left"/>
              <w:rPr>
                <w:sz w:val="4"/>
                <w:szCs w:val="4"/>
              </w:rPr>
            </w:pPr>
            <w:r>
              <w:rPr>
                <w:sz w:val="4"/>
                <w:szCs w:val="4"/>
              </w:rPr>
            </w:r>
          </w:p>
        </w:tc>
        <w:tc>
          <w:tcPr>
            <w:tcW w:w="7327" w:type="dxa"/>
            <w:gridSpan w:val="2"/>
            <w:tcBorders/>
            <w:vAlign w:val="center"/>
          </w:tcPr>
          <w:p>
            <w:pPr>
              <w:pStyle w:val="TableContents"/>
              <w:bidi w:val="0"/>
              <w:spacing w:before="0" w:after="283"/>
              <w:jc w:val="left"/>
              <w:rPr>
                <w:sz w:val="4"/>
                <w:szCs w:val="4"/>
              </w:rPr>
            </w:pPr>
            <w:r>
              <w:rPr>
                <w:sz w:val="4"/>
                <w:szCs w:val="4"/>
              </w:rPr>
            </w:r>
          </w:p>
        </w:tc>
      </w:tr>
      <w:tr>
        <w:trPr/>
        <w:tc>
          <w:tcPr>
            <w:tcW w:w="2878" w:type="dxa"/>
            <w:tcBorders/>
          </w:tcPr>
          <w:p>
            <w:pPr>
              <w:pStyle w:val="TableContents"/>
              <w:bidi w:val="0"/>
              <w:spacing w:before="0" w:after="283"/>
              <w:jc w:val="left"/>
              <w:rPr/>
            </w:pPr>
            <w:r>
              <w:rPr/>
              <w:t>No. of Shares:</w:t>
            </w:r>
          </w:p>
        </w:tc>
        <w:tc>
          <w:tcPr>
            <w:tcW w:w="126" w:type="dxa"/>
            <w:tcBorders/>
            <w:vAlign w:val="bottom"/>
          </w:tcPr>
          <w:p>
            <w:pPr>
              <w:pStyle w:val="TableContents"/>
              <w:bidi w:val="0"/>
              <w:spacing w:before="0" w:after="283"/>
              <w:jc w:val="left"/>
              <w:rPr/>
            </w:pPr>
            <w:r>
              <w:rPr/>
              <w:t>  </w:t>
            </w:r>
          </w:p>
        </w:tc>
        <w:tc>
          <w:tcPr>
            <w:tcW w:w="7201" w:type="dxa"/>
            <w:tcBorders/>
          </w:tcPr>
          <w:p>
            <w:pPr>
              <w:pStyle w:val="TableContents"/>
              <w:bidi w:val="0"/>
              <w:spacing w:before="0" w:after="283"/>
              <w:jc w:val="left"/>
              <w:rPr/>
            </w:pPr>
            <w:r>
              <w:rPr/>
              <w:t>_________ Shares of Common Stock (the “Shares”)</w:t>
            </w:r>
          </w:p>
        </w:tc>
      </w:tr>
      <w:tr>
        <w:trPr>
          <w:trHeight w:val="120" w:hRule="atLeast"/>
        </w:trPr>
        <w:tc>
          <w:tcPr>
            <w:tcW w:w="2878" w:type="dxa"/>
            <w:tcBorders/>
            <w:vAlign w:val="center"/>
          </w:tcPr>
          <w:p>
            <w:pPr>
              <w:pStyle w:val="TableContents"/>
              <w:bidi w:val="0"/>
              <w:spacing w:before="0" w:after="283"/>
              <w:jc w:val="left"/>
              <w:rPr>
                <w:sz w:val="4"/>
                <w:szCs w:val="4"/>
              </w:rPr>
            </w:pPr>
            <w:r>
              <w:rPr>
                <w:sz w:val="4"/>
                <w:szCs w:val="4"/>
              </w:rPr>
            </w:r>
          </w:p>
        </w:tc>
        <w:tc>
          <w:tcPr>
            <w:tcW w:w="7327" w:type="dxa"/>
            <w:gridSpan w:val="2"/>
            <w:tcBorders/>
            <w:vAlign w:val="center"/>
          </w:tcPr>
          <w:p>
            <w:pPr>
              <w:pStyle w:val="TableContents"/>
              <w:bidi w:val="0"/>
              <w:spacing w:before="0" w:after="283"/>
              <w:jc w:val="left"/>
              <w:rPr>
                <w:sz w:val="4"/>
                <w:szCs w:val="4"/>
              </w:rPr>
            </w:pPr>
            <w:r>
              <w:rPr>
                <w:sz w:val="4"/>
                <w:szCs w:val="4"/>
              </w:rPr>
            </w:r>
          </w:p>
        </w:tc>
      </w:tr>
      <w:tr>
        <w:trPr/>
        <w:tc>
          <w:tcPr>
            <w:tcW w:w="2878" w:type="dxa"/>
            <w:tcBorders/>
          </w:tcPr>
          <w:p>
            <w:pPr>
              <w:pStyle w:val="TableContents"/>
              <w:bidi w:val="0"/>
              <w:spacing w:before="0" w:after="283"/>
              <w:jc w:val="left"/>
              <w:rPr/>
            </w:pPr>
            <w:r>
              <w:rPr/>
              <w:t>Grant Date:</w:t>
            </w:r>
          </w:p>
        </w:tc>
        <w:tc>
          <w:tcPr>
            <w:tcW w:w="126" w:type="dxa"/>
            <w:tcBorders/>
            <w:vAlign w:val="bottom"/>
          </w:tcPr>
          <w:p>
            <w:pPr>
              <w:pStyle w:val="TableContents"/>
              <w:bidi w:val="0"/>
              <w:spacing w:before="0" w:after="283"/>
              <w:jc w:val="left"/>
              <w:rPr/>
            </w:pPr>
            <w:r>
              <w:rPr/>
              <w:t>  </w:t>
            </w:r>
          </w:p>
        </w:tc>
        <w:tc>
          <w:tcPr>
            <w:tcW w:w="7201" w:type="dxa"/>
            <w:tcBorders/>
          </w:tcPr>
          <w:p>
            <w:pPr>
              <w:pStyle w:val="TableContents"/>
              <w:bidi w:val="0"/>
              <w:spacing w:before="0" w:after="283"/>
              <w:jc w:val="left"/>
              <w:rPr/>
            </w:pPr>
            <w:r>
              <w:rPr/>
              <w:t>____________ __, ____</w:t>
            </w:r>
          </w:p>
        </w:tc>
      </w:tr>
      <w:tr>
        <w:trPr>
          <w:trHeight w:val="120" w:hRule="atLeast"/>
        </w:trPr>
        <w:tc>
          <w:tcPr>
            <w:tcW w:w="2878" w:type="dxa"/>
            <w:tcBorders/>
            <w:vAlign w:val="center"/>
          </w:tcPr>
          <w:p>
            <w:pPr>
              <w:pStyle w:val="TableContents"/>
              <w:bidi w:val="0"/>
              <w:spacing w:before="0" w:after="283"/>
              <w:jc w:val="left"/>
              <w:rPr>
                <w:sz w:val="4"/>
                <w:szCs w:val="4"/>
              </w:rPr>
            </w:pPr>
            <w:r>
              <w:rPr>
                <w:sz w:val="4"/>
                <w:szCs w:val="4"/>
              </w:rPr>
            </w:r>
          </w:p>
        </w:tc>
        <w:tc>
          <w:tcPr>
            <w:tcW w:w="7327" w:type="dxa"/>
            <w:gridSpan w:val="2"/>
            <w:tcBorders/>
            <w:vAlign w:val="center"/>
          </w:tcPr>
          <w:p>
            <w:pPr>
              <w:pStyle w:val="TableContents"/>
              <w:bidi w:val="0"/>
              <w:spacing w:before="0" w:after="283"/>
              <w:jc w:val="left"/>
              <w:rPr>
                <w:sz w:val="4"/>
                <w:szCs w:val="4"/>
              </w:rPr>
            </w:pPr>
            <w:r>
              <w:rPr>
                <w:sz w:val="4"/>
                <w:szCs w:val="4"/>
              </w:rPr>
            </w:r>
          </w:p>
        </w:tc>
      </w:tr>
      <w:tr>
        <w:trPr/>
        <w:tc>
          <w:tcPr>
            <w:tcW w:w="2878" w:type="dxa"/>
            <w:tcBorders/>
          </w:tcPr>
          <w:p>
            <w:pPr>
              <w:pStyle w:val="TableContents"/>
              <w:bidi w:val="0"/>
              <w:spacing w:before="0" w:after="283"/>
              <w:jc w:val="left"/>
              <w:rPr/>
            </w:pPr>
            <w:r>
              <w:rPr/>
              <w:t>Date of Purchase of Shares:</w:t>
            </w:r>
          </w:p>
        </w:tc>
        <w:tc>
          <w:tcPr>
            <w:tcW w:w="126" w:type="dxa"/>
            <w:tcBorders/>
            <w:vAlign w:val="bottom"/>
          </w:tcPr>
          <w:p>
            <w:pPr>
              <w:pStyle w:val="TableContents"/>
              <w:bidi w:val="0"/>
              <w:spacing w:before="0" w:after="283"/>
              <w:jc w:val="left"/>
              <w:rPr/>
            </w:pPr>
            <w:r>
              <w:rPr/>
              <w:t>  </w:t>
            </w:r>
          </w:p>
        </w:tc>
        <w:tc>
          <w:tcPr>
            <w:tcW w:w="7201" w:type="dxa"/>
            <w:tcBorders/>
          </w:tcPr>
          <w:p>
            <w:pPr>
              <w:pStyle w:val="TableContents"/>
              <w:bidi w:val="0"/>
              <w:spacing w:before="0" w:after="283"/>
              <w:jc w:val="left"/>
              <w:rPr/>
            </w:pPr>
            <w:r>
              <w:rPr/>
              <w:t>____________ __, ____</w:t>
            </w:r>
          </w:p>
        </w:tc>
      </w:tr>
      <w:tr>
        <w:trPr>
          <w:trHeight w:val="120" w:hRule="atLeast"/>
        </w:trPr>
        <w:tc>
          <w:tcPr>
            <w:tcW w:w="2878" w:type="dxa"/>
            <w:tcBorders/>
            <w:vAlign w:val="center"/>
          </w:tcPr>
          <w:p>
            <w:pPr>
              <w:pStyle w:val="TableContents"/>
              <w:bidi w:val="0"/>
              <w:spacing w:before="0" w:after="283"/>
              <w:jc w:val="left"/>
              <w:rPr>
                <w:sz w:val="4"/>
                <w:szCs w:val="4"/>
              </w:rPr>
            </w:pPr>
            <w:r>
              <w:rPr>
                <w:sz w:val="4"/>
                <w:szCs w:val="4"/>
              </w:rPr>
            </w:r>
          </w:p>
        </w:tc>
        <w:tc>
          <w:tcPr>
            <w:tcW w:w="7327" w:type="dxa"/>
            <w:gridSpan w:val="2"/>
            <w:tcBorders/>
            <w:vAlign w:val="center"/>
          </w:tcPr>
          <w:p>
            <w:pPr>
              <w:pStyle w:val="TableContents"/>
              <w:bidi w:val="0"/>
              <w:spacing w:before="0" w:after="283"/>
              <w:jc w:val="left"/>
              <w:rPr>
                <w:sz w:val="4"/>
                <w:szCs w:val="4"/>
              </w:rPr>
            </w:pPr>
            <w:r>
              <w:rPr>
                <w:sz w:val="4"/>
                <w:szCs w:val="4"/>
              </w:rPr>
            </w:r>
          </w:p>
        </w:tc>
      </w:tr>
      <w:tr>
        <w:trPr/>
        <w:tc>
          <w:tcPr>
            <w:tcW w:w="2878" w:type="dxa"/>
            <w:tcBorders/>
          </w:tcPr>
          <w:p>
            <w:pPr>
              <w:pStyle w:val="TableContents"/>
              <w:bidi w:val="0"/>
              <w:spacing w:before="0" w:after="283"/>
              <w:jc w:val="left"/>
              <w:rPr/>
            </w:pPr>
            <w:r>
              <w:rPr/>
              <w:t>Vesting Commencement Date:</w:t>
            </w:r>
          </w:p>
        </w:tc>
        <w:tc>
          <w:tcPr>
            <w:tcW w:w="126" w:type="dxa"/>
            <w:tcBorders/>
            <w:vAlign w:val="bottom"/>
          </w:tcPr>
          <w:p>
            <w:pPr>
              <w:pStyle w:val="TableContents"/>
              <w:bidi w:val="0"/>
              <w:spacing w:before="0" w:after="283"/>
              <w:jc w:val="left"/>
              <w:rPr/>
            </w:pPr>
            <w:r>
              <w:rPr/>
              <w:t>  </w:t>
            </w:r>
          </w:p>
        </w:tc>
        <w:tc>
          <w:tcPr>
            <w:tcW w:w="7201" w:type="dxa"/>
            <w:tcBorders/>
          </w:tcPr>
          <w:p>
            <w:pPr>
              <w:pStyle w:val="TableContents"/>
              <w:bidi w:val="0"/>
              <w:spacing w:before="0" w:after="283"/>
              <w:jc w:val="left"/>
              <w:rPr/>
            </w:pPr>
            <w:r>
              <w:rPr/>
              <w:t>____________ __, ____ (the “Vesting Commencement Date”)</w:t>
            </w:r>
          </w:p>
        </w:tc>
      </w:tr>
      <w:tr>
        <w:trPr>
          <w:trHeight w:val="120" w:hRule="atLeast"/>
        </w:trPr>
        <w:tc>
          <w:tcPr>
            <w:tcW w:w="2878" w:type="dxa"/>
            <w:tcBorders/>
            <w:vAlign w:val="center"/>
          </w:tcPr>
          <w:p>
            <w:pPr>
              <w:pStyle w:val="TableContents"/>
              <w:bidi w:val="0"/>
              <w:spacing w:before="0" w:after="283"/>
              <w:jc w:val="left"/>
              <w:rPr>
                <w:sz w:val="4"/>
                <w:szCs w:val="4"/>
              </w:rPr>
            </w:pPr>
            <w:r>
              <w:rPr>
                <w:sz w:val="4"/>
                <w:szCs w:val="4"/>
              </w:rPr>
            </w:r>
          </w:p>
        </w:tc>
        <w:tc>
          <w:tcPr>
            <w:tcW w:w="7327" w:type="dxa"/>
            <w:gridSpan w:val="2"/>
            <w:tcBorders/>
            <w:vAlign w:val="center"/>
          </w:tcPr>
          <w:p>
            <w:pPr>
              <w:pStyle w:val="TableContents"/>
              <w:bidi w:val="0"/>
              <w:spacing w:before="0" w:after="283"/>
              <w:jc w:val="left"/>
              <w:rPr>
                <w:sz w:val="4"/>
                <w:szCs w:val="4"/>
              </w:rPr>
            </w:pPr>
            <w:r>
              <w:rPr>
                <w:sz w:val="4"/>
                <w:szCs w:val="4"/>
              </w:rPr>
            </w:r>
          </w:p>
        </w:tc>
      </w:tr>
      <w:tr>
        <w:trPr/>
        <w:tc>
          <w:tcPr>
            <w:tcW w:w="2878" w:type="dxa"/>
            <w:tcBorders/>
          </w:tcPr>
          <w:p>
            <w:pPr>
              <w:pStyle w:val="TableContents"/>
              <w:bidi w:val="0"/>
              <w:spacing w:before="0" w:after="283"/>
              <w:jc w:val="left"/>
              <w:rPr/>
            </w:pPr>
            <w:r>
              <w:rPr/>
              <w:t>Per Share Purchase Price:</w:t>
            </w:r>
          </w:p>
        </w:tc>
        <w:tc>
          <w:tcPr>
            <w:tcW w:w="126" w:type="dxa"/>
            <w:tcBorders/>
            <w:vAlign w:val="bottom"/>
          </w:tcPr>
          <w:p>
            <w:pPr>
              <w:pStyle w:val="TableContents"/>
              <w:bidi w:val="0"/>
              <w:spacing w:before="0" w:after="283"/>
              <w:jc w:val="left"/>
              <w:rPr/>
            </w:pPr>
            <w:r>
              <w:rPr/>
              <w:t>  </w:t>
            </w:r>
          </w:p>
        </w:tc>
        <w:tc>
          <w:tcPr>
            <w:tcW w:w="7201" w:type="dxa"/>
            <w:tcBorders/>
          </w:tcPr>
          <w:p>
            <w:pPr>
              <w:pStyle w:val="TableContents"/>
              <w:bidi w:val="0"/>
              <w:spacing w:before="0" w:after="283"/>
              <w:jc w:val="left"/>
              <w:rPr/>
            </w:pPr>
            <w:r>
              <w:rPr/>
              <w:t>$________ (the “Per Share Purchase Price”)</w:t>
            </w:r>
          </w:p>
        </w:tc>
      </w:tr>
      <w:tr>
        <w:trPr>
          <w:trHeight w:val="120" w:hRule="atLeast"/>
        </w:trPr>
        <w:tc>
          <w:tcPr>
            <w:tcW w:w="2878" w:type="dxa"/>
            <w:tcBorders/>
            <w:vAlign w:val="center"/>
          </w:tcPr>
          <w:p>
            <w:pPr>
              <w:pStyle w:val="TableContents"/>
              <w:bidi w:val="0"/>
              <w:spacing w:before="0" w:after="283"/>
              <w:jc w:val="left"/>
              <w:rPr>
                <w:sz w:val="4"/>
                <w:szCs w:val="4"/>
              </w:rPr>
            </w:pPr>
            <w:r>
              <w:rPr>
                <w:sz w:val="4"/>
                <w:szCs w:val="4"/>
              </w:rPr>
            </w:r>
          </w:p>
        </w:tc>
        <w:tc>
          <w:tcPr>
            <w:tcW w:w="7327" w:type="dxa"/>
            <w:gridSpan w:val="2"/>
            <w:tcBorders/>
            <w:vAlign w:val="center"/>
          </w:tcPr>
          <w:p>
            <w:pPr>
              <w:pStyle w:val="TableContents"/>
              <w:bidi w:val="0"/>
              <w:spacing w:before="0" w:after="283"/>
              <w:jc w:val="left"/>
              <w:rPr>
                <w:sz w:val="4"/>
                <w:szCs w:val="4"/>
              </w:rPr>
            </w:pPr>
            <w:r>
              <w:rPr>
                <w:sz w:val="4"/>
                <w:szCs w:val="4"/>
              </w:rPr>
            </w:r>
          </w:p>
        </w:tc>
      </w:tr>
      <w:tr>
        <w:trPr/>
        <w:tc>
          <w:tcPr>
            <w:tcW w:w="2878" w:type="dxa"/>
            <w:tcBorders/>
          </w:tcPr>
          <w:p>
            <w:pPr>
              <w:pStyle w:val="TableContents"/>
              <w:bidi w:val="0"/>
              <w:spacing w:before="0" w:after="283"/>
              <w:jc w:val="left"/>
              <w:rPr/>
            </w:pPr>
            <w:r>
              <w:rPr/>
              <w:t>Vesting Schedule:</w:t>
            </w:r>
          </w:p>
        </w:tc>
        <w:tc>
          <w:tcPr>
            <w:tcW w:w="126" w:type="dxa"/>
            <w:tcBorders/>
            <w:vAlign w:val="bottom"/>
          </w:tcPr>
          <w:p>
            <w:pPr>
              <w:pStyle w:val="TableContents"/>
              <w:bidi w:val="0"/>
              <w:spacing w:before="0" w:after="283"/>
              <w:jc w:val="left"/>
              <w:rPr/>
            </w:pPr>
            <w:r>
              <w:rPr/>
              <w:t>  </w:t>
            </w:r>
          </w:p>
        </w:tc>
        <w:tc>
          <w:tcPr>
            <w:tcW w:w="7201" w:type="dxa"/>
            <w:tcBorders/>
          </w:tcPr>
          <w:p>
            <w:pPr>
              <w:pStyle w:val="TableContents"/>
              <w:bidi w:val="0"/>
              <w:spacing w:before="0" w:after="283"/>
              <w:jc w:val="left"/>
              <w:rPr/>
            </w:pPr>
            <w:r>
              <w:rPr/>
              <w:t>[25] percent of the Shares shall vest on the [first] anniversary of the Vesting Commencement Date; provided that the Grantee continues to have a Service Relationship with the Company at such time. Thereafter, the remaining [75] percent of the Shares shall vest in [36] equal monthly installments following the first anniversary of the Vesting Commencement Date, provided the Grantee continues to have a Service Relationship with the Company at such time. Notwithstanding anything in the Agreement to the contrary in the case of a Sale Event, the Shares of Restricted Stock shall be treated as provided in Section 3(c)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244"/>
        <w:gridCol w:w="101"/>
        <w:gridCol w:w="7860"/>
      </w:tblGrid>
      <w:tr>
        <w:trPr/>
        <w:tc>
          <w:tcPr>
            <w:tcW w:w="224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860" w:type="dxa"/>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860" w:type="dxa"/>
            <w:tcBorders/>
          </w:tcPr>
          <w:p>
            <w:pPr>
              <w:pStyle w:val="TableContents"/>
              <w:bidi w:val="0"/>
              <w:spacing w:before="0" w:after="283"/>
              <w:jc w:val="left"/>
              <w:rPr/>
            </w:pPr>
            <w:r>
              <w:rPr/>
              <w:t xml:space="preserve">of the Plan </w:t>
            </w:r>
            <w:r>
              <w:rPr>
                <w:b/>
              </w:rPr>
              <w:t>[provided; however INSERT ANY ACCELERATED VESTING PROVISION HERE]</w:t>
            </w: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Attachments: Restricted Stock Agreement, 2016 Stock Option and Grant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OBSIDIAN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2016 STOCK OPTION AND GRANT PLAN </w:t>
      </w:r>
    </w:p>
    <w:p>
      <w:pPr>
        <w:pStyle w:val="TextBody"/>
        <w:bidi w:val="0"/>
        <w:spacing w:before="240" w:after="0"/>
        <w:jc w:val="left"/>
        <w:rPr>
          <w:rFonts w:ascii="Times New Roman" w:hAnsi="Times New Roman"/>
          <w:sz w:val="20"/>
        </w:rPr>
      </w:pPr>
      <w:r>
        <w:rPr>
          <w:rFonts w:ascii="Times New Roman" w:hAnsi="Times New Roman"/>
          <w:sz w:val="20"/>
        </w:rPr>
        <w:t xml:space="preserve">All capitalized terms used herein and not otherwise defined shall have the respective meanings set forth in the Award Notice and the Plan. </w:t>
      </w:r>
    </w:p>
    <w:p>
      <w:pPr>
        <w:pStyle w:val="TextBody"/>
        <w:bidi w:val="0"/>
        <w:spacing w:before="240" w:after="0"/>
        <w:jc w:val="left"/>
        <w:rPr>
          <w:rFonts w:ascii="Times New Roman" w:hAnsi="Times New Roman"/>
          <w:sz w:val="20"/>
        </w:rPr>
      </w:pPr>
      <w:r>
        <w:rPr>
          <w:rFonts w:ascii="Times New Roman" w:hAnsi="Times New Roman"/>
          <w:sz w:val="20"/>
          <w:u w:val="single"/>
        </w:rPr>
        <w:t>Purchase and Sale of Shares; Vesting; Investment Representations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Purchase and Sale</w:t>
      </w:r>
      <w:r>
        <w:rPr>
          <w:rFonts w:ascii="Times New Roman" w:hAnsi="Times New Roman"/>
          <w:sz w:val="20"/>
        </w:rPr>
        <w:t xml:space="preserve">. The Company hereby sells to the Grantee, and the Grantee hereby purchases from the Company, the number of Shares set forth in the Award Notice for the Per Share Purchase Price. </w:t>
      </w:r>
    </w:p>
    <w:p>
      <w:pPr>
        <w:pStyle w:val="TextBody"/>
        <w:bidi w:val="0"/>
        <w:spacing w:before="240" w:after="0"/>
        <w:jc w:val="left"/>
        <w:rPr>
          <w:rFonts w:ascii="Times New Roman" w:hAnsi="Times New Roman"/>
          <w:sz w:val="20"/>
        </w:rPr>
      </w:pPr>
      <w:r>
        <w:rPr>
          <w:rFonts w:ascii="Times New Roman" w:hAnsi="Times New Roman"/>
          <w:sz w:val="20"/>
          <w:u w:val="single"/>
        </w:rPr>
        <w:t>Vesting</w:t>
      </w:r>
      <w:r>
        <w:rPr>
          <w:rFonts w:ascii="Times New Roman" w:hAnsi="Times New Roman"/>
          <w:sz w:val="20"/>
        </w:rPr>
        <w:t xml:space="preserve">. Initially, all of the Shares are non-transferable and subject to a substantial risk of forfeiture and are Shares of Restricted Stock. The risk of forfeiture shall lapse with respect to the Shares on the respective dates indicated on the Vesting Schedule set forth in the Award Notice. </w:t>
      </w:r>
    </w:p>
    <w:p>
      <w:pPr>
        <w:pStyle w:val="TextBody"/>
        <w:bidi w:val="0"/>
        <w:spacing w:before="240" w:after="0"/>
        <w:jc w:val="left"/>
        <w:rPr>
          <w:rFonts w:ascii="Times New Roman" w:hAnsi="Times New Roman"/>
          <w:sz w:val="20"/>
        </w:rPr>
      </w:pPr>
      <w:r>
        <w:rPr>
          <w:rFonts w:ascii="Times New Roman" w:hAnsi="Times New Roman"/>
          <w:sz w:val="20"/>
          <w:u w:val="single"/>
        </w:rPr>
        <w:t>Investment Representations</w:t>
      </w:r>
      <w:r>
        <w:rPr>
          <w:rFonts w:ascii="Times New Roman" w:hAnsi="Times New Roman"/>
          <w:sz w:val="20"/>
        </w:rPr>
        <w:t xml:space="preserve">. In connection with the purchase and sale of the Shares contemplated by Section 1(a) above, the Grantee hereby represents and warrants to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Grantee is purchasing the Shares for the Grantee’s own account for investment only, and not for resale or with a view to the distribution thereof. </w:t>
      </w:r>
    </w:p>
    <w:p>
      <w:pPr>
        <w:pStyle w:val="TextBody"/>
        <w:bidi w:val="0"/>
        <w:spacing w:before="120" w:after="0"/>
        <w:jc w:val="left"/>
        <w:rPr>
          <w:rFonts w:ascii="Times New Roman" w:hAnsi="Times New Roman"/>
          <w:sz w:val="20"/>
        </w:rPr>
      </w:pPr>
      <w:r>
        <w:rPr>
          <w:rFonts w:ascii="Times New Roman" w:hAnsi="Times New Roman"/>
          <w:sz w:val="20"/>
        </w:rPr>
        <w:t xml:space="preserve">The Grantee has had such an opportunity as he or she has deemed adequate to obtain from the Company such information as is necessary to permit him or her to evaluate the merits and risks of the Grantee’s investment in the Company and has consulted with the Grantee’s own advisers with respect to the Grantee’s investment in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Grantee has sufficient experience in business, financial and investment matters to be able to evaluate the risks involved in the purchase of the Shares and to make an informed investment decision with respect to such purchase. </w:t>
      </w:r>
    </w:p>
    <w:p>
      <w:pPr>
        <w:pStyle w:val="TextBody"/>
        <w:bidi w:val="0"/>
        <w:spacing w:before="120" w:after="0"/>
        <w:jc w:val="left"/>
        <w:rPr>
          <w:rFonts w:ascii="Times New Roman" w:hAnsi="Times New Roman"/>
          <w:sz w:val="20"/>
        </w:rPr>
      </w:pPr>
      <w:r>
        <w:rPr>
          <w:rFonts w:ascii="Times New Roman" w:hAnsi="Times New Roman"/>
          <w:sz w:val="20"/>
        </w:rPr>
        <w:t xml:space="preserve">The Grantee can afford a complete loss of the value of the Shares and is able to bear the economic risk of holding such Shares for an indefinite period. </w:t>
      </w:r>
    </w:p>
    <w:p>
      <w:pPr>
        <w:pStyle w:val="TextBody"/>
        <w:bidi w:val="0"/>
        <w:spacing w:before="120" w:after="0"/>
        <w:jc w:val="left"/>
        <w:rPr>
          <w:rFonts w:ascii="Times New Roman" w:hAnsi="Times New Roman"/>
          <w:sz w:val="20"/>
        </w:rPr>
      </w:pPr>
      <w:r>
        <w:rPr>
          <w:rFonts w:ascii="Times New Roman" w:hAnsi="Times New Roman"/>
          <w:sz w:val="20"/>
        </w:rPr>
        <w:t xml:space="preserve">The Grantee understands that the Shares are not registered under the Act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Act and under any applicable state securities or “blue sky” laws (or exemptions from the registration requirements thereof). The Grantee further acknowledges that certificates representing the Shares will bear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restrictive legends reflecting the foregoing and/or that book entries for uncertificated Shares will include similar restrictive notations. </w:t>
      </w:r>
    </w:p>
    <w:p>
      <w:pPr>
        <w:pStyle w:val="TextBody"/>
        <w:bidi w:val="0"/>
        <w:spacing w:before="120" w:after="0"/>
        <w:jc w:val="left"/>
        <w:rPr>
          <w:rFonts w:ascii="Times New Roman" w:hAnsi="Times New Roman"/>
          <w:sz w:val="20"/>
        </w:rPr>
      </w:pPr>
      <w:r>
        <w:rPr>
          <w:rFonts w:ascii="Times New Roman" w:hAnsi="Times New Roman"/>
          <w:sz w:val="20"/>
        </w:rPr>
        <w:t xml:space="preserve">The Grantee has read and understands the Plan and acknowledges and agrees that the Shares are subject to all of the relevant terms of the Plan, including without limitation, the transfer restrictions set forth in Section 9 of the Plan. </w:t>
      </w:r>
    </w:p>
    <w:p>
      <w:pPr>
        <w:pStyle w:val="TextBody"/>
        <w:bidi w:val="0"/>
        <w:spacing w:before="120" w:after="0"/>
        <w:jc w:val="left"/>
        <w:rPr>
          <w:rFonts w:ascii="Times New Roman" w:hAnsi="Times New Roman"/>
          <w:sz w:val="20"/>
        </w:rPr>
      </w:pPr>
      <w:r>
        <w:rPr>
          <w:rFonts w:ascii="Times New Roman" w:hAnsi="Times New Roman"/>
          <w:sz w:val="20"/>
        </w:rPr>
        <w:t xml:space="preserve">The Grantee understands and agrees that the Company has a right of first refusal with respect to the Shares pursuant to Section 9(b) of the Plan. </w:t>
      </w:r>
    </w:p>
    <w:p>
      <w:pPr>
        <w:pStyle w:val="TextBody"/>
        <w:bidi w:val="0"/>
        <w:spacing w:before="120" w:after="0"/>
        <w:jc w:val="left"/>
        <w:rPr>
          <w:rFonts w:ascii="Times New Roman" w:hAnsi="Times New Roman"/>
          <w:sz w:val="20"/>
        </w:rPr>
      </w:pPr>
      <w:r>
        <w:rPr>
          <w:rFonts w:ascii="Times New Roman" w:hAnsi="Times New Roman"/>
          <w:sz w:val="20"/>
        </w:rPr>
        <w:t xml:space="preserve">The Grantee understands and agree that the Company has certain repurchase rights with respect to the Shares pursuant to Section 9(c) of the Plan. </w:t>
      </w:r>
    </w:p>
    <w:p>
      <w:pPr>
        <w:pStyle w:val="TextBody"/>
        <w:bidi w:val="0"/>
        <w:spacing w:before="120" w:after="0"/>
        <w:jc w:val="left"/>
        <w:rPr>
          <w:rFonts w:ascii="Times New Roman" w:hAnsi="Times New Roman"/>
          <w:sz w:val="20"/>
        </w:rPr>
      </w:pPr>
      <w:r>
        <w:rPr>
          <w:rFonts w:ascii="Times New Roman" w:hAnsi="Times New Roman"/>
          <w:sz w:val="20"/>
        </w:rPr>
        <w:t xml:space="preserve">The Grantee understands and agrees that the Grantee may not sell or otherwise transfer or dispose of the Shares for a period of time following the effective date of a public offering by the Company as described in Section 9(f) of the Plan. </w:t>
      </w:r>
    </w:p>
    <w:p>
      <w:pPr>
        <w:pStyle w:val="TextBody"/>
        <w:bidi w:val="0"/>
        <w:spacing w:before="240" w:after="0"/>
        <w:jc w:val="left"/>
        <w:rPr>
          <w:rFonts w:ascii="Times New Roman" w:hAnsi="Times New Roman"/>
          <w:sz w:val="20"/>
        </w:rPr>
      </w:pPr>
      <w:r>
        <w:rPr>
          <w:rFonts w:ascii="Times New Roman" w:hAnsi="Times New Roman"/>
          <w:sz w:val="20"/>
          <w:u w:val="single"/>
        </w:rPr>
        <w:t>Repurchase Right</w:t>
      </w:r>
      <w:r>
        <w:rPr>
          <w:rFonts w:ascii="Times New Roman" w:hAnsi="Times New Roman"/>
          <w:sz w:val="20"/>
        </w:rPr>
        <w:t xml:space="preserve">. Upon a Termination Event, the Company shall have the right to repurchase Shares of Restricted Stock that are unvested as of the date of such Termination Event as set forth in Section 9(c) of the Plan. </w:t>
      </w:r>
    </w:p>
    <w:p>
      <w:pPr>
        <w:pStyle w:val="TextBody"/>
        <w:bidi w:val="0"/>
        <w:spacing w:before="240" w:after="0"/>
        <w:jc w:val="left"/>
        <w:rPr>
          <w:rFonts w:ascii="Times New Roman" w:hAnsi="Times New Roman"/>
          <w:sz w:val="20"/>
        </w:rPr>
      </w:pPr>
      <w:r>
        <w:rPr>
          <w:rFonts w:ascii="Times New Roman" w:hAnsi="Times New Roman"/>
          <w:sz w:val="20"/>
          <w:u w:val="single"/>
        </w:rPr>
        <w:t>Restrictions on Transfer of Shares</w:t>
      </w:r>
      <w:r>
        <w:rPr>
          <w:rFonts w:ascii="Times New Roman" w:hAnsi="Times New Roman"/>
          <w:sz w:val="20"/>
        </w:rPr>
        <w:t xml:space="preserve">. The Shares (whether or not vested) shall be subject to certain transfer restrictions and other limitations including, without limitation, the provisions contained in Section 9 of the Plan </w:t>
      </w:r>
    </w:p>
    <w:p>
      <w:pPr>
        <w:pStyle w:val="TextBody"/>
        <w:bidi w:val="0"/>
        <w:spacing w:before="240" w:after="0"/>
        <w:jc w:val="left"/>
        <w:rPr>
          <w:rFonts w:ascii="Times New Roman" w:hAnsi="Times New Roman"/>
          <w:sz w:val="20"/>
        </w:rPr>
      </w:pPr>
      <w:r>
        <w:rPr>
          <w:rFonts w:ascii="Times New Roman" w:hAnsi="Times New Roman"/>
          <w:sz w:val="20"/>
          <w:u w:val="single"/>
        </w:rPr>
        <w:t>Incorporation of Plan</w:t>
      </w:r>
      <w:r>
        <w:rPr>
          <w:rFonts w:ascii="Times New Roman" w:hAnsi="Times New Roman"/>
          <w:sz w:val="20"/>
        </w:rPr>
        <w:t xml:space="preserve">. Notwithstanding anything herein to the contrary, this Restricted Stock Award shall be subject to and governed by all the terms and conditions of the Plan. </w:t>
      </w:r>
    </w:p>
    <w:p>
      <w:pPr>
        <w:pStyle w:val="TextBody"/>
        <w:bidi w:val="0"/>
        <w:spacing w:before="240" w:after="0"/>
        <w:jc w:val="left"/>
        <w:rPr>
          <w:rFonts w:ascii="Times New Roman" w:hAnsi="Times New Roman"/>
          <w:sz w:val="20"/>
        </w:rPr>
      </w:pP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Record Owner; Dividends</w:t>
      </w:r>
      <w:r>
        <w:rPr>
          <w:rFonts w:ascii="Times New Roman" w:hAnsi="Times New Roman"/>
          <w:sz w:val="20"/>
        </w:rPr>
        <w:t xml:space="preserve">. The Grantee and any Permitted Transferees, during the duration of this Agreement, shall be considered the record owners of and shall be entitled to vote the Shares if and to the extent the Shares are entitled to voting rights. The Grantee and any Permitted Transferees shall be entitled to receive all dividends and any other distributions declared on the Shares;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is under no duty to declare any such dividends or to make any such distribution. </w:t>
      </w:r>
    </w:p>
    <w:p>
      <w:pPr>
        <w:pStyle w:val="TextBody"/>
        <w:bidi w:val="0"/>
        <w:spacing w:before="240" w:after="0"/>
        <w:jc w:val="left"/>
        <w:rPr>
          <w:rFonts w:ascii="Times New Roman" w:hAnsi="Times New Roman"/>
          <w:sz w:val="20"/>
        </w:rPr>
      </w:pPr>
      <w:r>
        <w:rPr>
          <w:rFonts w:ascii="Times New Roman" w:hAnsi="Times New Roman"/>
          <w:sz w:val="20"/>
          <w:u w:val="single"/>
        </w:rPr>
        <w:t>Section 83(b) Election</w:t>
      </w:r>
      <w:r>
        <w:rPr>
          <w:rFonts w:ascii="Times New Roman" w:hAnsi="Times New Roman"/>
          <w:sz w:val="20"/>
        </w:rPr>
        <w:t xml:space="preserve">. The Grantee shall consult with the Grantee’s tax advisor to determine whether it would be appropriate for the Grantee to make an election under Section 83(b) of the Code with respect to this Award. Any such election must be filed with the Internal Revenue Service within 30 days of the date of this Award. If the Grantee makes an election under Section 83(b) of the Code, the Grantee shall give prompt notice to the Company (and provide a copy of such election to the Company). </w:t>
      </w:r>
    </w:p>
    <w:p>
      <w:pPr>
        <w:pStyle w:val="TextBody"/>
        <w:bidi w:val="0"/>
        <w:spacing w:before="240" w:after="0"/>
        <w:jc w:val="left"/>
        <w:rPr>
          <w:rFonts w:ascii="Times New Roman" w:hAnsi="Times New Roman"/>
          <w:sz w:val="20"/>
        </w:rPr>
      </w:pPr>
      <w:r>
        <w:rPr>
          <w:rFonts w:ascii="Times New Roman" w:hAnsi="Times New Roman"/>
          <w:sz w:val="20"/>
          <w:u w:val="single"/>
        </w:rPr>
        <w:t>Equitable Relief</w:t>
      </w:r>
      <w:r>
        <w:rPr>
          <w:rFonts w:ascii="Times New Roman" w:hAnsi="Times New Roman"/>
          <w:sz w:val="20"/>
        </w:rPr>
        <w:t xml:space="preserve">. The parties hereto agree and declare that legal remedies may be inadequate to enforce the provisions of this Agreement and that equitable relief, including specific performance and injunctive relief, may be used to enforce the provisions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Change and Modifications</w:t>
      </w:r>
      <w:r>
        <w:rPr>
          <w:rFonts w:ascii="Times New Roman" w:hAnsi="Times New Roman"/>
          <w:sz w:val="20"/>
        </w:rPr>
        <w:t xml:space="preserve">. This Agreement may not be orally changed, modified or terminated, nor shall any oral waiver of any of its terms be effective. This Agreement may be changed, modified or terminated only by an agreement in writing signed by the Company and the Grantee. </w:t>
      </w:r>
    </w:p>
    <w:p>
      <w:pPr>
        <w:pStyle w:val="TextBody"/>
        <w:bidi w:val="0"/>
        <w:spacing w:before="240" w:after="0"/>
        <w:jc w:val="left"/>
        <w:rPr>
          <w:rFonts w:ascii="Times New Roman" w:hAnsi="Times New Roman"/>
          <w:sz w:val="20"/>
        </w:rPr>
      </w:pPr>
      <w:r>
        <w:rPr>
          <w:rFonts w:ascii="Times New Roman" w:hAnsi="Times New Roman"/>
          <w:sz w:val="20"/>
          <w:u w:val="single"/>
        </w:rPr>
        <w:t>Governing Law</w:t>
      </w:r>
      <w:r>
        <w:rPr>
          <w:rFonts w:ascii="Times New Roman" w:hAnsi="Times New Roman"/>
          <w:sz w:val="20"/>
        </w:rPr>
        <w:t xml:space="preserve">. This Agreement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without regard to conflict of law principles that would result in the application of any law other than the law of the Commonwealth of Massachusetts. </w:t>
      </w:r>
    </w:p>
    <w:p>
      <w:pPr>
        <w:pStyle w:val="TextBody"/>
        <w:bidi w:val="0"/>
        <w:spacing w:before="240" w:after="0"/>
        <w:jc w:val="left"/>
        <w:rPr>
          <w:rFonts w:ascii="Times New Roman" w:hAnsi="Times New Roman"/>
          <w:sz w:val="20"/>
        </w:rPr>
      </w:pPr>
      <w:r>
        <w:rPr>
          <w:rFonts w:ascii="Times New Roman" w:hAnsi="Times New Roman"/>
          <w:sz w:val="20"/>
          <w:u w:val="single"/>
        </w:rPr>
        <w:t>Headings</w:t>
      </w:r>
      <w:r>
        <w:rPr>
          <w:rFonts w:ascii="Times New Roman" w:hAnsi="Times New Roman"/>
          <w:sz w:val="20"/>
        </w:rPr>
        <w:t xml:space="preserve">. The headings are intended only for convenience in finding the subject matter and do not constitute part of the text of this Agreement and shall not be considered in the interpretation of this Agreement. </w:t>
      </w:r>
    </w:p>
    <w:p>
      <w:pPr>
        <w:pStyle w:val="TextBody"/>
        <w:bidi w:val="0"/>
        <w:spacing w:before="240" w:after="0"/>
        <w:jc w:val="left"/>
        <w:rPr>
          <w:rFonts w:ascii="Times New Roman" w:hAnsi="Times New Roman"/>
          <w:sz w:val="20"/>
        </w:rPr>
      </w:pPr>
      <w:r>
        <w:rPr>
          <w:rFonts w:ascii="Times New Roman" w:hAnsi="Times New Roman"/>
          <w:sz w:val="20"/>
          <w:u w:val="single"/>
        </w:rPr>
        <w:t>Saving Clause</w:t>
      </w:r>
      <w:r>
        <w:rPr>
          <w:rFonts w:ascii="Times New Roman" w:hAnsi="Times New Roman"/>
          <w:sz w:val="20"/>
        </w:rPr>
        <w:t xml:space="preserve">. If any provision(s) of this Agreement shall be determined to be illegal or unenforceable, such determination shall in no manner affect the legality or enforceability of any other provision hereof. </w:t>
      </w:r>
    </w:p>
    <w:p>
      <w:pPr>
        <w:pStyle w:val="TextBody"/>
        <w:bidi w:val="0"/>
        <w:spacing w:before="240" w:after="0"/>
        <w:jc w:val="left"/>
        <w:rPr>
          <w:rFonts w:ascii="Times New Roman" w:hAnsi="Times New Roman"/>
          <w:sz w:val="20"/>
        </w:rPr>
      </w:pPr>
      <w:r>
        <w:rPr>
          <w:rFonts w:ascii="Times New Roman" w:hAnsi="Times New Roman"/>
          <w:sz w:val="20"/>
          <w:u w:val="single"/>
        </w:rPr>
        <w:t>Notices</w:t>
      </w:r>
      <w:r>
        <w:rPr>
          <w:rFonts w:ascii="Times New Roman" w:hAnsi="Times New Roman"/>
          <w:sz w:val="20"/>
        </w:rPr>
        <w:t xml:space="preserve">. All notices, requests, consents and other communications shall be in writing and be deemed given when delivered personally, by telex or facsimile transmission or when received if mailed by first class registered or certified mail, postage prepaid. Notices to the Company or the Grantee shall be addressed as set forth underneath their signatures below, or to such other address or addresses as may have been furnished by such party in writing to the other. </w:t>
      </w:r>
    </w:p>
    <w:p>
      <w:pPr>
        <w:pStyle w:val="TextBody"/>
        <w:bidi w:val="0"/>
        <w:spacing w:before="240" w:after="0"/>
        <w:jc w:val="left"/>
        <w:rPr>
          <w:rFonts w:ascii="Times New Roman" w:hAnsi="Times New Roman"/>
          <w:sz w:val="20"/>
        </w:rPr>
      </w:pPr>
      <w:r>
        <w:rPr>
          <w:rFonts w:ascii="Times New Roman" w:hAnsi="Times New Roman"/>
          <w:sz w:val="20"/>
          <w:u w:val="single"/>
        </w:rPr>
        <w:t>Benefit and Binding Effect</w:t>
      </w:r>
      <w:r>
        <w:rPr>
          <w:rFonts w:ascii="Times New Roman" w:hAnsi="Times New Roman"/>
          <w:sz w:val="20"/>
        </w:rPr>
        <w:t xml:space="preserve">.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 </w:t>
      </w:r>
    </w:p>
    <w:p>
      <w:pPr>
        <w:pStyle w:val="TextBody"/>
        <w:bidi w:val="0"/>
        <w:spacing w:before="240" w:after="0"/>
        <w:jc w:val="left"/>
        <w:rPr>
          <w:rFonts w:ascii="Times New Roman" w:hAnsi="Times New Roman"/>
          <w:sz w:val="20"/>
        </w:rPr>
      </w:pPr>
      <w:r>
        <w:rPr>
          <w:rFonts w:ascii="Times New Roman" w:hAnsi="Times New Roman"/>
          <w:sz w:val="20"/>
          <w:u w:val="single"/>
        </w:rPr>
        <w:t>Counterparts</w:t>
      </w:r>
      <w:r>
        <w:rPr>
          <w:rFonts w:ascii="Times New Roman" w:hAnsi="Times New Roman"/>
          <w:sz w:val="20"/>
        </w:rPr>
        <w:t xml:space="preserve">. For the convenience of the parties and to facilitate execution, this Agreement may be executed in two or more counterparts, each of which shall be deemed an original, but all of which shall constitute one and the same document. </w:t>
      </w:r>
    </w:p>
    <w:p>
      <w:pPr>
        <w:pStyle w:val="TextBody"/>
        <w:bidi w:val="0"/>
        <w:spacing w:before="240" w:after="0"/>
        <w:jc w:val="left"/>
        <w:rPr>
          <w:rFonts w:ascii="Times New Roman" w:hAnsi="Times New Roman"/>
          <w:sz w:val="20"/>
        </w:rPr>
      </w:pPr>
      <w:r>
        <w:rPr>
          <w:rFonts w:ascii="Times New Roman" w:hAnsi="Times New Roman"/>
          <w:sz w:val="20"/>
          <w:u w:val="single"/>
        </w:rPr>
        <w:t>Integration</w:t>
      </w:r>
      <w:r>
        <w:rPr>
          <w:rFonts w:ascii="Times New Roman" w:hAnsi="Times New Roman"/>
          <w:sz w:val="20"/>
        </w:rPr>
        <w:t xml:space="preserve">. This Agreement constitutes the entire agreement between the parties with respect to this Award and supersedes all prior agreements and discussions between the parties concerning such subject matter. </w:t>
      </w:r>
    </w:p>
    <w:p>
      <w:pPr>
        <w:pStyle w:val="TextBody"/>
        <w:bidi w:val="0"/>
        <w:spacing w:before="240" w:after="0"/>
        <w:jc w:val="left"/>
        <w:rPr>
          <w:rFonts w:ascii="Times New Roman" w:hAnsi="Times New Roman"/>
          <w:sz w:val="20"/>
        </w:rPr>
      </w:pPr>
      <w:r>
        <w:rPr>
          <w:rFonts w:ascii="Times New Roman" w:hAnsi="Times New Roman"/>
          <w:sz w:val="20"/>
          <w:u w:val="single"/>
        </w:rPr>
        <w:t>Dispute Resolution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below, any dispute arising out of or relating to the Plan or the Shares, this Agreement, or the breach, termination or validity of the Plan, the Shares or this Agreement, shall be finally settled by binding arbitration conducted expeditiously in accordance with the J.A.M.S./Endispute Comprehensive Arbitration Rules and Procedures (the “J.A.M.S. Rules”). The arbitration shall be governed by the United States Arbitration Act, 9 U.S.C. Sections 1—16, and judgment upon the award rendered by the arbitrators may be entered by any court having jurisdiction thereof. The place of arbitration shall be Boston, Massachusetts.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 </w:t>
      </w:r>
    </w:p>
    <w:p>
      <w:pPr>
        <w:pStyle w:val="TextBody"/>
        <w:bidi w:val="0"/>
        <w:spacing w:before="240" w:after="0"/>
        <w:jc w:val="left"/>
        <w:rPr>
          <w:rFonts w:ascii="Times New Roman" w:hAnsi="Times New Roman"/>
          <w:sz w:val="20"/>
        </w:rPr>
      </w:pPr>
      <w:r>
        <w:rPr>
          <w:rFonts w:ascii="Times New Roman" w:hAnsi="Times New Roman"/>
          <w:sz w:val="20"/>
        </w:rPr>
        <w:t xml:space="preserve">The Company, the Grantee, each party to the Agreement and any other holder of Shares issued pursuant to this Agreement (each, a “Party”) covenants and agrees that such party will participate in the arbitration in good faith. This Section 6 applies equally to requests for temporary, preliminary or permanent injunctive relief, except that in the case of temporary or preliminary injunctive relief any party may proceed in court without prior arbitration for the limited purpose of avoiding immediate and irreparable harm. </w:t>
      </w:r>
    </w:p>
    <w:p>
      <w:pPr>
        <w:pStyle w:val="TextBody"/>
        <w:bidi w:val="0"/>
        <w:spacing w:before="240" w:after="0"/>
        <w:jc w:val="left"/>
        <w:rPr>
          <w:rFonts w:ascii="Times New Roman" w:hAnsi="Times New Roman"/>
          <w:sz w:val="20"/>
        </w:rPr>
      </w:pPr>
      <w:r>
        <w:rPr>
          <w:rFonts w:ascii="Times New Roman" w:hAnsi="Times New Roman"/>
          <w:sz w:val="20"/>
        </w:rPr>
        <w:t xml:space="preserve">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Restricted Stock Agreement is hereby accepted and the terms and conditions thereof are hereby agreed to by the undersigned as of the date of purchase of Shares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5"/>
        <w:gridCol w:w="127"/>
        <w:gridCol w:w="3260"/>
      </w:tblGrid>
      <w:tr>
        <w:trPr/>
        <w:tc>
          <w:tcPr>
            <w:tcW w:w="69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OBSIDIAN THERAPEUTICS, INC.</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pBdr>
                <w:bottom w:val="single" w:sz="2" w:space="1" w:color="000000"/>
              </w:pBdr>
              <w:bidi w:val="0"/>
              <w:spacing w:before="0" w:after="20"/>
              <w:jc w:val="left"/>
              <w:rPr/>
            </w:pPr>
            <w:r>
              <w:rPr/>
              <w:t>  </w:t>
            </w:r>
          </w:p>
        </w:tc>
      </w:tr>
      <w:tr>
        <w:trPr/>
        <w:tc>
          <w:tcPr>
            <w:tcW w:w="69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Name:</w:t>
            </w:r>
          </w:p>
        </w:tc>
      </w:tr>
      <w:tr>
        <w:trPr/>
        <w:tc>
          <w:tcPr>
            <w:tcW w:w="69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undersigned hereby acknowledges receiving and reviewing a copy of the Plan, including, without limitation, Section 9 thereof and understands that the Shares granted hereby are subject to the terms of the Plan and of this Agreement. This Agreement is hereby accepted, and the terms and conditions of the Plan, the Award Notice and this Agreement, SPECIFICALLY INCLUDING THE ARBITRATION PROVISIONS SET FORTH IN SECTION 6 OF THIS AGREEMENT, are hereby agreed to, by the undersigned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GRANTEE: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Name: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[SPOUSE’S CONSENT1 </w:t>
      </w:r>
    </w:p>
    <w:p>
      <w:pPr>
        <w:pStyle w:val="TextBody"/>
        <w:bidi w:val="0"/>
        <w:spacing w:before="0" w:after="0"/>
        <w:jc w:val="left"/>
        <w:rPr>
          <w:rFonts w:ascii="Times New Roman" w:hAnsi="Times New Roman"/>
          <w:sz w:val="20"/>
        </w:rPr>
      </w:pPr>
      <w:r>
        <w:rPr>
          <w:rFonts w:ascii="Times New Roman" w:hAnsi="Times New Roman"/>
          <w:sz w:val="20"/>
        </w:rPr>
        <w:t xml:space="preserve">I acknowledge that I have read the </w:t>
      </w:r>
    </w:p>
    <w:p>
      <w:pPr>
        <w:pStyle w:val="TextBody"/>
        <w:bidi w:val="0"/>
        <w:spacing w:before="0" w:after="0"/>
        <w:jc w:val="left"/>
        <w:rPr>
          <w:rFonts w:ascii="Times New Roman" w:hAnsi="Times New Roman"/>
          <w:sz w:val="20"/>
        </w:rPr>
      </w:pPr>
      <w:r>
        <w:rPr>
          <w:rFonts w:ascii="Times New Roman" w:hAnsi="Times New Roman"/>
          <w:sz w:val="20"/>
        </w:rPr>
        <w:t xml:space="preserve">foregoing Restricted Stock Agreement </w:t>
      </w:r>
    </w:p>
    <w:p>
      <w:pPr>
        <w:pStyle w:val="TextBody"/>
        <w:bidi w:val="0"/>
        <w:spacing w:before="0" w:after="0"/>
        <w:jc w:val="left"/>
        <w:rPr>
          <w:rFonts w:ascii="Times New Roman" w:hAnsi="Times New Roman"/>
          <w:sz w:val="20"/>
        </w:rPr>
      </w:pPr>
      <w:r>
        <w:rPr>
          <w:rFonts w:ascii="Times New Roman" w:hAnsi="Times New Roman"/>
          <w:sz w:val="20"/>
        </w:rPr>
        <w:t xml:space="preserve">and understand the contents thereof. </w:t>
      </w:r>
    </w:p>
    <w:p>
      <w:pPr>
        <w:pStyle w:val="TextBody"/>
        <w:bidi w:val="0"/>
        <w:spacing w:before="240" w:after="0"/>
        <w:jc w:val="left"/>
        <w:rPr>
          <w:rFonts w:ascii="Times New Roman" w:hAnsi="Times New Roman"/>
          <w:sz w:val="20"/>
        </w:rPr>
      </w:pPr>
      <w:r>
        <w:rPr>
          <w:rFonts w:ascii="Times New Roman" w:hAnsi="Times New Roman"/>
          <w:sz w:val="20"/>
        </w:rPr>
        <w:t xml:space="preserve">____________________________________]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spouse’s consent is required only if the Grantee’s state of residence is one of the following community property states: Arizona, California, Idaho, Louisiana, New Mexico, Nevada, Texas, Washington and Wisconsin.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Plan Amendment </w:t>
      </w:r>
    </w:p>
    <w:p>
      <w:pPr>
        <w:pStyle w:val="TextBody"/>
        <w:bidi w:val="0"/>
        <w:spacing w:before="480" w:after="0"/>
        <w:jc w:val="center"/>
        <w:rPr>
          <w:rFonts w:ascii="Times New Roman" w:hAnsi="Times New Roman"/>
          <w:b/>
          <w:sz w:val="20"/>
        </w:rPr>
      </w:pPr>
      <w:r>
        <w:rPr>
          <w:rFonts w:ascii="Times New Roman" w:hAnsi="Times New Roman"/>
          <w:b/>
          <w:sz w:val="20"/>
        </w:rPr>
        <w:t xml:space="preserve">OBSIDIAN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AMENDMENT NO. 1 TO THE </w:t>
      </w:r>
    </w:p>
    <w:p>
      <w:pPr>
        <w:pStyle w:val="TextBody"/>
        <w:bidi w:val="0"/>
        <w:spacing w:before="0" w:after="0"/>
        <w:jc w:val="center"/>
        <w:rPr>
          <w:rFonts w:ascii="Times New Roman" w:hAnsi="Times New Roman"/>
          <w:b/>
          <w:sz w:val="20"/>
        </w:rPr>
      </w:pPr>
      <w:r>
        <w:rPr>
          <w:rFonts w:ascii="Times New Roman" w:hAnsi="Times New Roman"/>
          <w:b/>
          <w:sz w:val="20"/>
        </w:rPr>
        <w:t xml:space="preserve">2016 STOCK OPTION AND GRANT PLAN </w:t>
      </w:r>
    </w:p>
    <w:p>
      <w:pPr>
        <w:pStyle w:val="TextBody"/>
        <w:bidi w:val="0"/>
        <w:spacing w:before="240" w:after="0"/>
        <w:jc w:val="left"/>
        <w:rPr>
          <w:rFonts w:ascii="Times New Roman" w:hAnsi="Times New Roman"/>
          <w:sz w:val="20"/>
        </w:rPr>
      </w:pPr>
      <w:r>
        <w:rPr>
          <w:rFonts w:ascii="Times New Roman" w:hAnsi="Times New Roman"/>
          <w:sz w:val="20"/>
        </w:rPr>
        <w:t>The Obsidian Therapeutics, Inc. 2016 Stock Option and Grant Plan (the “</w:t>
      </w:r>
      <w:r>
        <w:rPr>
          <w:rFonts w:ascii="Times New Roman" w:hAnsi="Times New Roman"/>
          <w:sz w:val="20"/>
          <w:u w:val="single"/>
        </w:rPr>
        <w:t>Plan</w:t>
      </w:r>
      <w:r>
        <w:rPr>
          <w:rFonts w:ascii="Times New Roman" w:hAnsi="Times New Roman"/>
          <w:sz w:val="20"/>
        </w:rPr>
        <w:t xml:space="preserve">”) is hereby amended by the Board of Directors and stockholders of Obsidian Therapeutics, Inc., a Delaware corporation,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3(a) of the Plan is hereby amended by deleting it and replacing it with the following: </w:t>
      </w:r>
    </w:p>
    <w:p>
      <w:pPr>
        <w:pStyle w:val="TextBody"/>
        <w:bidi w:val="0"/>
        <w:spacing w:before="120" w:after="0"/>
        <w:jc w:val="left"/>
        <w:rPr/>
      </w:pPr>
      <w:r>
        <w:rPr/>
        <w:t>“</w:t>
      </w:r>
      <w:r>
        <w:rPr>
          <w:rFonts w:ascii="Times New Roman" w:hAnsi="Times New Roman"/>
          <w:sz w:val="20"/>
          <w:u w:val="single"/>
        </w:rPr>
        <w:t>Stock Issuable</w:t>
      </w:r>
      <w:r>
        <w:rPr>
          <w:rFonts w:ascii="Times New Roman" w:hAnsi="Times New Roman"/>
          <w:sz w:val="20"/>
        </w:rPr>
        <w:t xml:space="preserve">. The maximum number of Shares reserved and available for issuance under the Plan shall be 3,084,067 Shares, subject to adjustment as provide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hares available for issuance under the Plan. Subject to such overall limitations, Shares may be issued up to such maximum number pursuant to any type or types of Award, and no more than 30,840,670 Shares may be issued pursuant to Incentive Stock Options. The Shares available for issuance under the Plan may be authorized by unissued Shares or Shares reacquired by the Company. Beginning on the date that the Company becomes subject to Section 162(m) of the Code, Options with respect to no more than 3,084,067 Shares shall be granted to any one individual in any calendar year period.”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204"/>
        <w:gridCol w:w="6634"/>
      </w:tblGrid>
      <w:tr>
        <w:trPr/>
        <w:tc>
          <w:tcPr>
            <w:tcW w:w="336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634"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ADOPTED BY BOARD OF DIRECTORS: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November 8, 2016</w:t>
            </w:r>
          </w:p>
        </w:tc>
      </w:tr>
      <w:tr>
        <w:trPr/>
        <w:tc>
          <w:tcPr>
            <w:tcW w:w="3367" w:type="dxa"/>
            <w:tcBorders/>
          </w:tcPr>
          <w:p>
            <w:pPr>
              <w:pStyle w:val="TableContents"/>
              <w:bidi w:val="0"/>
              <w:spacing w:before="0" w:after="283"/>
              <w:jc w:val="left"/>
              <w:rPr/>
            </w:pPr>
            <w:r>
              <w:rPr/>
              <w:t>ADOPTED BY STOCKHOLDERS: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December 1,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OBSIDIAN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AMENDMENT NO. 2 TO THE </w:t>
      </w:r>
    </w:p>
    <w:p>
      <w:pPr>
        <w:pStyle w:val="TextBody"/>
        <w:bidi w:val="0"/>
        <w:spacing w:before="0" w:after="0"/>
        <w:jc w:val="center"/>
        <w:rPr>
          <w:rFonts w:ascii="Times New Roman" w:hAnsi="Times New Roman"/>
          <w:b/>
          <w:sz w:val="20"/>
        </w:rPr>
      </w:pPr>
      <w:r>
        <w:rPr>
          <w:rFonts w:ascii="Times New Roman" w:hAnsi="Times New Roman"/>
          <w:b/>
          <w:sz w:val="20"/>
        </w:rPr>
        <w:t xml:space="preserve">2016 STOCK OPTION AND GRANT PLAN </w:t>
      </w:r>
    </w:p>
    <w:p>
      <w:pPr>
        <w:pStyle w:val="TextBody"/>
        <w:bidi w:val="0"/>
        <w:spacing w:before="240" w:after="0"/>
        <w:jc w:val="left"/>
        <w:rPr>
          <w:rFonts w:ascii="Times New Roman" w:hAnsi="Times New Roman"/>
          <w:sz w:val="20"/>
        </w:rPr>
      </w:pPr>
      <w:r>
        <w:rPr>
          <w:rFonts w:ascii="Times New Roman" w:hAnsi="Times New Roman"/>
          <w:sz w:val="20"/>
        </w:rPr>
        <w:t>The Obsidian Therapeutics, Inc. 2016 Stock Option and Grant Plan (the “</w:t>
      </w:r>
      <w:r>
        <w:rPr>
          <w:rFonts w:ascii="Times New Roman" w:hAnsi="Times New Roman"/>
          <w:sz w:val="20"/>
          <w:u w:val="single"/>
        </w:rPr>
        <w:t>Plan</w:t>
      </w:r>
      <w:r>
        <w:rPr>
          <w:rFonts w:ascii="Times New Roman" w:hAnsi="Times New Roman"/>
          <w:sz w:val="20"/>
        </w:rPr>
        <w:t xml:space="preserve">”) is hereby amended by the Board of Directors and stockholders of Obsidian Therapeutics, Inc., a Delaware corporation,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3(a) of the Plan is hereby amended by deleting it and replacing it with the following: </w:t>
      </w:r>
    </w:p>
    <w:p>
      <w:pPr>
        <w:pStyle w:val="TextBody"/>
        <w:bidi w:val="0"/>
        <w:spacing w:before="120" w:after="0"/>
        <w:jc w:val="left"/>
        <w:rPr/>
      </w:pPr>
      <w:r>
        <w:rPr/>
        <w:t>“</w:t>
      </w:r>
      <w:r>
        <w:rPr>
          <w:rFonts w:ascii="Times New Roman" w:hAnsi="Times New Roman"/>
          <w:sz w:val="20"/>
          <w:u w:val="single"/>
        </w:rPr>
        <w:t>Stock Issuable</w:t>
      </w:r>
      <w:r>
        <w:rPr>
          <w:rFonts w:ascii="Times New Roman" w:hAnsi="Times New Roman"/>
          <w:sz w:val="20"/>
        </w:rPr>
        <w:t xml:space="preserve">. The maximum number of Shares reserved and available for issuance under the Plan shall be 6,822,879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68,228,790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6,822,879 Shares shall be granted to any one individual in any calendar year period.” </w:t>
      </w:r>
    </w:p>
    <w:p>
      <w:pPr>
        <w:pStyle w:val="TextBody"/>
        <w:bidi w:val="0"/>
        <w:spacing w:before="240" w:after="0"/>
        <w:jc w:val="left"/>
        <w:rPr>
          <w:rFonts w:ascii="Times New Roman" w:hAnsi="Times New Roman"/>
          <w:sz w:val="20"/>
        </w:rPr>
      </w:pPr>
      <w:r>
        <w:rPr>
          <w:rFonts w:ascii="Times New Roman" w:hAnsi="Times New Roman"/>
          <w:sz w:val="20"/>
        </w:rPr>
        <w:t xml:space="preserve">Section 9(f) of the Plan is hereby amended by deleting it and replacing it with the following: </w:t>
      </w:r>
    </w:p>
    <w:p>
      <w:pPr>
        <w:pStyle w:val="TextBody"/>
        <w:bidi w:val="0"/>
        <w:spacing w:before="120" w:after="0"/>
        <w:jc w:val="left"/>
        <w:rPr/>
      </w:pPr>
      <w:r>
        <w:rPr/>
        <w:t>“</w:t>
      </w:r>
      <w:r>
        <w:rPr>
          <w:rFonts w:ascii="Times New Roman" w:hAnsi="Times New Roman"/>
          <w:sz w:val="20"/>
          <w:u w:val="single"/>
        </w:rPr>
        <w:t>Lockup Provision</w:t>
      </w:r>
      <w:r>
        <w:rPr>
          <w:rFonts w:ascii="Times New Roman" w:hAnsi="Times New Roman"/>
          <w:sz w:val="20"/>
        </w:rPr>
        <w:t xml:space="preserve">. If requested by the Company, a Holder will not, without the prior written consent of the managing underwriter, during the period commencing on the date of the final prospectus relating to the Company’s initial public offering (the “IPO”) and ending on the date specified by the Company and the managing underwriter (such period not to exceed one hundred eighty (l80) days),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2711(f)(4) or NYSE Rule 472(f)(4), or any successor provisions or amendments thereto), (a) lend, offer, pledge, sell, contract to sell, sell any option or contract to purchase, purchase any option or contract to sell, grant any option, right or warrant to purchase, or otherwise transfer or dispose of, directly or indirectly, any shares of capital stock held immediately prior to the effectiveness of the registration statement for the IPO; or (b) enter into any swap or other arrangement that transfers to another, in whole or in part, any of the economic consequences of ownership of the capital stock, whether any such transaction described in clause (a) or (b) above is to be settled by delivery of capital stock or other securities, in cash or otherwise. The foregoing provisions of this Section 9(f) shall not apply to the sale of any shares to an underwriter pursuant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 underwriting agreement, and shall only be applicable to the Holder if all officers, directors and holders of more than one percent (1%) of the outstanding Common Stock (after giving effect to the conversion into Common Stock of all outstanding Preferred Stock) enter into similar agreements. The underwriters in connection with the IPO are intended third-party beneficiaries of this Section 9(f) and shall have the right, power and authority to enforce the provisions hereof as though they were a party hereto. Each Holder further agrees to execute such agreements as may be reasonably requested by the underwriters in the IPO that are consistent with this Section 9(f) or that are necessary to give further effect thereto.”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44"/>
        <w:gridCol w:w="205"/>
        <w:gridCol w:w="5656"/>
      </w:tblGrid>
      <w:tr>
        <w:trPr/>
        <w:tc>
          <w:tcPr>
            <w:tcW w:w="4344"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5656" w:type="dxa"/>
            <w:tcBorders/>
            <w:vAlign w:val="center"/>
          </w:tcPr>
          <w:p>
            <w:pPr>
              <w:pStyle w:val="TableContents"/>
              <w:bidi w:val="0"/>
              <w:spacing w:before="0" w:after="283"/>
              <w:jc w:val="left"/>
              <w:rPr>
                <w:sz w:val="4"/>
                <w:szCs w:val="4"/>
              </w:rPr>
            </w:pPr>
            <w:r>
              <w:rPr>
                <w:sz w:val="4"/>
                <w:szCs w:val="4"/>
              </w:rPr>
            </w:r>
          </w:p>
        </w:tc>
      </w:tr>
      <w:tr>
        <w:trPr/>
        <w:tc>
          <w:tcPr>
            <w:tcW w:w="4344" w:type="dxa"/>
            <w:tcBorders/>
          </w:tcPr>
          <w:p>
            <w:pPr>
              <w:pStyle w:val="TableContents"/>
              <w:bidi w:val="0"/>
              <w:spacing w:before="0" w:after="283"/>
              <w:jc w:val="left"/>
              <w:rPr/>
            </w:pPr>
            <w:r>
              <w:rPr/>
              <w:t>ADOPTED BY BOARD OF DIRECTORS:  </w:t>
            </w:r>
          </w:p>
        </w:tc>
        <w:tc>
          <w:tcPr>
            <w:tcW w:w="205" w:type="dxa"/>
            <w:tcBorders/>
            <w:vAlign w:val="bottom"/>
          </w:tcPr>
          <w:p>
            <w:pPr>
              <w:pStyle w:val="TableContents"/>
              <w:bidi w:val="0"/>
              <w:spacing w:before="0" w:after="283"/>
              <w:jc w:val="left"/>
              <w:rPr/>
            </w:pPr>
            <w:r>
              <w:rPr/>
              <w:t>  </w:t>
            </w:r>
          </w:p>
        </w:tc>
        <w:tc>
          <w:tcPr>
            <w:tcW w:w="5656" w:type="dxa"/>
            <w:tcBorders/>
          </w:tcPr>
          <w:p>
            <w:pPr>
              <w:pStyle w:val="TableContents"/>
              <w:bidi w:val="0"/>
              <w:spacing w:before="0" w:after="283"/>
              <w:jc w:val="left"/>
              <w:rPr/>
            </w:pPr>
            <w:r>
              <w:rPr/>
              <w:t>November 29, 2017</w:t>
            </w:r>
          </w:p>
        </w:tc>
      </w:tr>
      <w:tr>
        <w:trPr>
          <w:trHeight w:val="120" w:hRule="atLeast"/>
        </w:trPr>
        <w:tc>
          <w:tcPr>
            <w:tcW w:w="4344" w:type="dxa"/>
            <w:tcBorders/>
            <w:vAlign w:val="center"/>
          </w:tcPr>
          <w:p>
            <w:pPr>
              <w:pStyle w:val="TableContents"/>
              <w:bidi w:val="0"/>
              <w:spacing w:before="0" w:after="283"/>
              <w:jc w:val="left"/>
              <w:rPr>
                <w:sz w:val="4"/>
                <w:szCs w:val="4"/>
              </w:rPr>
            </w:pPr>
            <w:r>
              <w:rPr>
                <w:sz w:val="4"/>
                <w:szCs w:val="4"/>
              </w:rPr>
            </w:r>
          </w:p>
        </w:tc>
        <w:tc>
          <w:tcPr>
            <w:tcW w:w="5861" w:type="dxa"/>
            <w:gridSpan w:val="2"/>
            <w:tcBorders/>
            <w:vAlign w:val="center"/>
          </w:tcPr>
          <w:p>
            <w:pPr>
              <w:pStyle w:val="TableContents"/>
              <w:bidi w:val="0"/>
              <w:spacing w:before="0" w:after="283"/>
              <w:jc w:val="left"/>
              <w:rPr>
                <w:sz w:val="4"/>
                <w:szCs w:val="4"/>
              </w:rPr>
            </w:pPr>
            <w:r>
              <w:rPr>
                <w:sz w:val="4"/>
                <w:szCs w:val="4"/>
              </w:rPr>
            </w:r>
          </w:p>
        </w:tc>
      </w:tr>
      <w:tr>
        <w:trPr/>
        <w:tc>
          <w:tcPr>
            <w:tcW w:w="4344" w:type="dxa"/>
            <w:tcBorders/>
          </w:tcPr>
          <w:p>
            <w:pPr>
              <w:pStyle w:val="TableContents"/>
              <w:bidi w:val="0"/>
              <w:spacing w:before="0" w:after="283"/>
              <w:jc w:val="left"/>
              <w:rPr/>
            </w:pPr>
            <w:r>
              <w:rPr/>
              <w:t>ADOPTED BY STOCKHOLDERS:</w:t>
            </w:r>
          </w:p>
        </w:tc>
        <w:tc>
          <w:tcPr>
            <w:tcW w:w="205" w:type="dxa"/>
            <w:tcBorders/>
            <w:vAlign w:val="bottom"/>
          </w:tcPr>
          <w:p>
            <w:pPr>
              <w:pStyle w:val="TableContents"/>
              <w:bidi w:val="0"/>
              <w:spacing w:before="0" w:after="283"/>
              <w:jc w:val="left"/>
              <w:rPr/>
            </w:pPr>
            <w:r>
              <w:rPr/>
              <w:t>  </w:t>
            </w:r>
          </w:p>
        </w:tc>
        <w:tc>
          <w:tcPr>
            <w:tcW w:w="5656" w:type="dxa"/>
            <w:tcBorders/>
          </w:tcPr>
          <w:p>
            <w:pPr>
              <w:pStyle w:val="TableContents"/>
              <w:bidi w:val="0"/>
              <w:spacing w:before="0" w:after="283"/>
              <w:jc w:val="left"/>
              <w:rPr/>
            </w:pPr>
            <w:r>
              <w:rPr/>
              <w:t>November 29, 2017</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OBSIDIAN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AMENDMENT NO. 3 TO THE </w:t>
      </w:r>
    </w:p>
    <w:p>
      <w:pPr>
        <w:pStyle w:val="TextBody"/>
        <w:bidi w:val="0"/>
        <w:spacing w:before="0" w:after="0"/>
        <w:jc w:val="center"/>
        <w:rPr>
          <w:rFonts w:ascii="Times New Roman" w:hAnsi="Times New Roman"/>
          <w:b/>
          <w:sz w:val="20"/>
        </w:rPr>
      </w:pPr>
      <w:r>
        <w:rPr>
          <w:rFonts w:ascii="Times New Roman" w:hAnsi="Times New Roman"/>
          <w:b/>
          <w:sz w:val="20"/>
        </w:rPr>
        <w:t xml:space="preserve">2016 STOCK OPTION AND GRANT PLAN </w:t>
      </w:r>
    </w:p>
    <w:p>
      <w:pPr>
        <w:pStyle w:val="TextBody"/>
        <w:bidi w:val="0"/>
        <w:spacing w:before="240" w:after="0"/>
        <w:jc w:val="left"/>
        <w:rPr>
          <w:rFonts w:ascii="Times New Roman" w:hAnsi="Times New Roman"/>
          <w:sz w:val="20"/>
        </w:rPr>
      </w:pPr>
      <w:r>
        <w:rPr>
          <w:rFonts w:ascii="Times New Roman" w:hAnsi="Times New Roman"/>
          <w:sz w:val="20"/>
        </w:rPr>
        <w:t>The Obsidian Therapeutics, Inc. 2016 Stock Option and Grant Plan (the “</w:t>
      </w:r>
      <w:r>
        <w:rPr>
          <w:rFonts w:ascii="Times New Roman" w:hAnsi="Times New Roman"/>
          <w:sz w:val="20"/>
          <w:u w:val="single"/>
        </w:rPr>
        <w:t>Plan</w:t>
      </w:r>
      <w:r>
        <w:rPr>
          <w:rFonts w:ascii="Times New Roman" w:hAnsi="Times New Roman"/>
          <w:sz w:val="20"/>
        </w:rPr>
        <w:t xml:space="preserve">”) is hereby amended by the Board of Directors and stockholders of Obsidian Therapeutics, Inc., a Delaware corporation,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3(a) of the Plan is hereby amended by deleting it and replacing it with the following: </w:t>
      </w:r>
    </w:p>
    <w:p>
      <w:pPr>
        <w:pStyle w:val="TextBody"/>
        <w:bidi w:val="0"/>
        <w:spacing w:before="120" w:after="0"/>
        <w:jc w:val="left"/>
        <w:rPr/>
      </w:pPr>
      <w:r>
        <w:rPr/>
        <w:t>“</w:t>
      </w:r>
      <w:r>
        <w:rPr>
          <w:rFonts w:ascii="Times New Roman" w:hAnsi="Times New Roman"/>
          <w:sz w:val="20"/>
          <w:u w:val="single"/>
        </w:rPr>
        <w:t>Stock Issuable</w:t>
      </w:r>
      <w:r>
        <w:rPr>
          <w:rFonts w:ascii="Times New Roman" w:hAnsi="Times New Roman"/>
          <w:sz w:val="20"/>
        </w:rPr>
        <w:t xml:space="preserve">. The maximum number of Shares reserved and available for issuance under the Plan shall be 9,377,236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68,228,790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9,377,236 Shares shall be granted to any one individual in any calendar year period.”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67"/>
        <w:gridCol w:w="209"/>
        <w:gridCol w:w="5629"/>
      </w:tblGrid>
      <w:tr>
        <w:trPr/>
        <w:tc>
          <w:tcPr>
            <w:tcW w:w="4367"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5629" w:type="dxa"/>
            <w:tcBorders/>
            <w:vAlign w:val="center"/>
          </w:tcPr>
          <w:p>
            <w:pPr>
              <w:pStyle w:val="TableContents"/>
              <w:bidi w:val="0"/>
              <w:spacing w:before="0" w:after="283"/>
              <w:jc w:val="left"/>
              <w:rPr>
                <w:sz w:val="4"/>
                <w:szCs w:val="4"/>
              </w:rPr>
            </w:pPr>
            <w:r>
              <w:rPr>
                <w:sz w:val="4"/>
                <w:szCs w:val="4"/>
              </w:rPr>
            </w:r>
          </w:p>
        </w:tc>
      </w:tr>
      <w:tr>
        <w:trPr/>
        <w:tc>
          <w:tcPr>
            <w:tcW w:w="4367" w:type="dxa"/>
            <w:tcBorders/>
          </w:tcPr>
          <w:p>
            <w:pPr>
              <w:pStyle w:val="TableContents"/>
              <w:bidi w:val="0"/>
              <w:spacing w:before="0" w:after="283"/>
              <w:jc w:val="left"/>
              <w:rPr/>
            </w:pPr>
            <w:r>
              <w:rPr/>
              <w:t>ADOPTED BY BOARD OF DIRECTORS:  </w:t>
            </w:r>
          </w:p>
        </w:tc>
        <w:tc>
          <w:tcPr>
            <w:tcW w:w="209" w:type="dxa"/>
            <w:tcBorders/>
            <w:vAlign w:val="bottom"/>
          </w:tcPr>
          <w:p>
            <w:pPr>
              <w:pStyle w:val="TableContents"/>
              <w:bidi w:val="0"/>
              <w:spacing w:before="0" w:after="283"/>
              <w:jc w:val="left"/>
              <w:rPr/>
            </w:pPr>
            <w:r>
              <w:rPr/>
              <w:t>  </w:t>
            </w:r>
          </w:p>
        </w:tc>
        <w:tc>
          <w:tcPr>
            <w:tcW w:w="5629" w:type="dxa"/>
            <w:tcBorders/>
          </w:tcPr>
          <w:p>
            <w:pPr>
              <w:pStyle w:val="TableContents"/>
              <w:bidi w:val="0"/>
              <w:spacing w:before="0" w:after="283"/>
              <w:jc w:val="left"/>
              <w:rPr/>
            </w:pPr>
            <w:r>
              <w:rPr/>
              <w:t>May 7, 2019</w:t>
            </w:r>
          </w:p>
        </w:tc>
      </w:tr>
      <w:tr>
        <w:trPr>
          <w:trHeight w:val="120" w:hRule="atLeast"/>
        </w:trPr>
        <w:tc>
          <w:tcPr>
            <w:tcW w:w="4367" w:type="dxa"/>
            <w:tcBorders/>
            <w:vAlign w:val="center"/>
          </w:tcPr>
          <w:p>
            <w:pPr>
              <w:pStyle w:val="TableContents"/>
              <w:bidi w:val="0"/>
              <w:spacing w:before="0" w:after="283"/>
              <w:jc w:val="left"/>
              <w:rPr>
                <w:sz w:val="4"/>
                <w:szCs w:val="4"/>
              </w:rPr>
            </w:pPr>
            <w:r>
              <w:rPr>
                <w:sz w:val="4"/>
                <w:szCs w:val="4"/>
              </w:rPr>
            </w:r>
          </w:p>
        </w:tc>
        <w:tc>
          <w:tcPr>
            <w:tcW w:w="5838" w:type="dxa"/>
            <w:gridSpan w:val="2"/>
            <w:tcBorders/>
            <w:vAlign w:val="center"/>
          </w:tcPr>
          <w:p>
            <w:pPr>
              <w:pStyle w:val="TableContents"/>
              <w:bidi w:val="0"/>
              <w:spacing w:before="0" w:after="283"/>
              <w:jc w:val="left"/>
              <w:rPr>
                <w:sz w:val="4"/>
                <w:szCs w:val="4"/>
              </w:rPr>
            </w:pPr>
            <w:r>
              <w:rPr>
                <w:sz w:val="4"/>
                <w:szCs w:val="4"/>
              </w:rPr>
            </w:r>
          </w:p>
        </w:tc>
      </w:tr>
      <w:tr>
        <w:trPr/>
        <w:tc>
          <w:tcPr>
            <w:tcW w:w="4367" w:type="dxa"/>
            <w:tcBorders/>
          </w:tcPr>
          <w:p>
            <w:pPr>
              <w:pStyle w:val="TableContents"/>
              <w:bidi w:val="0"/>
              <w:spacing w:before="0" w:after="283"/>
              <w:jc w:val="left"/>
              <w:rPr/>
            </w:pPr>
            <w:r>
              <w:rPr/>
              <w:t>ADOPTED BY STOCKHOLDERS:</w:t>
            </w:r>
          </w:p>
        </w:tc>
        <w:tc>
          <w:tcPr>
            <w:tcW w:w="209" w:type="dxa"/>
            <w:tcBorders/>
            <w:vAlign w:val="bottom"/>
          </w:tcPr>
          <w:p>
            <w:pPr>
              <w:pStyle w:val="TableContents"/>
              <w:bidi w:val="0"/>
              <w:spacing w:before="0" w:after="283"/>
              <w:jc w:val="left"/>
              <w:rPr/>
            </w:pPr>
            <w:r>
              <w:rPr/>
              <w:t>  </w:t>
            </w:r>
          </w:p>
        </w:tc>
        <w:tc>
          <w:tcPr>
            <w:tcW w:w="5629" w:type="dxa"/>
            <w:tcBorders/>
          </w:tcPr>
          <w:p>
            <w:pPr>
              <w:pStyle w:val="TableContents"/>
              <w:bidi w:val="0"/>
              <w:spacing w:before="0" w:after="283"/>
              <w:jc w:val="left"/>
              <w:rPr/>
            </w:pPr>
            <w:r>
              <w:rPr/>
              <w:t>June 5, 2019</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OBSIDIAN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AMENDMENT NO. 4 TO THE </w:t>
      </w:r>
    </w:p>
    <w:p>
      <w:pPr>
        <w:pStyle w:val="TextBody"/>
        <w:bidi w:val="0"/>
        <w:spacing w:before="0" w:after="0"/>
        <w:jc w:val="center"/>
        <w:rPr>
          <w:rFonts w:ascii="Times New Roman" w:hAnsi="Times New Roman"/>
          <w:b/>
          <w:sz w:val="20"/>
        </w:rPr>
      </w:pPr>
      <w:r>
        <w:rPr>
          <w:rFonts w:ascii="Times New Roman" w:hAnsi="Times New Roman"/>
          <w:b/>
          <w:sz w:val="20"/>
        </w:rPr>
        <w:t xml:space="preserve">2016 STOCK OPTION AND GRANT PLAN </w:t>
      </w:r>
    </w:p>
    <w:p>
      <w:pPr>
        <w:pStyle w:val="TextBody"/>
        <w:bidi w:val="0"/>
        <w:spacing w:before="240" w:after="0"/>
        <w:jc w:val="left"/>
        <w:rPr>
          <w:rFonts w:ascii="Times New Roman" w:hAnsi="Times New Roman"/>
          <w:sz w:val="20"/>
        </w:rPr>
      </w:pPr>
      <w:r>
        <w:rPr>
          <w:rFonts w:ascii="Times New Roman" w:hAnsi="Times New Roman"/>
          <w:sz w:val="20"/>
        </w:rPr>
        <w:t>The Obsidian Therapeutics, Inc. 2016 Stock Option and Grant Plan (the “</w:t>
      </w:r>
      <w:r>
        <w:rPr>
          <w:rFonts w:ascii="Times New Roman" w:hAnsi="Times New Roman"/>
          <w:sz w:val="20"/>
          <w:u w:val="single"/>
        </w:rPr>
        <w:t>Plan</w:t>
      </w:r>
      <w:r>
        <w:rPr>
          <w:rFonts w:ascii="Times New Roman" w:hAnsi="Times New Roman"/>
          <w:sz w:val="20"/>
        </w:rPr>
        <w:t xml:space="preserve">”) is hereby amended by the Board of Directors and stockholders of Obsidian Therapeutics, Inc., a Delaware corporation,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3(a) of the Plan is hereby amended by deleting it and replacing it with the following: </w:t>
      </w:r>
    </w:p>
    <w:p>
      <w:pPr>
        <w:pStyle w:val="TextBody"/>
        <w:bidi w:val="0"/>
        <w:spacing w:before="120" w:after="0"/>
        <w:jc w:val="left"/>
        <w:rPr/>
      </w:pPr>
      <w:r>
        <w:rPr/>
        <w:t>“</w:t>
      </w:r>
      <w:r>
        <w:rPr>
          <w:rFonts w:ascii="Times New Roman" w:hAnsi="Times New Roman"/>
          <w:sz w:val="20"/>
          <w:u w:val="single"/>
        </w:rPr>
        <w:t>Stock Issuable</w:t>
      </w:r>
      <w:r>
        <w:rPr>
          <w:rFonts w:ascii="Times New Roman" w:hAnsi="Times New Roman"/>
          <w:sz w:val="20"/>
        </w:rPr>
        <w:t xml:space="preserve">. The maximum number of Shares reserved and available for issuance under the Plan shall be 9,600,000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68,228,790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9,600,000 Shares shall be granted to any one individual in any calendar year period.”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13"/>
        <w:gridCol w:w="120"/>
        <w:gridCol w:w="5572"/>
      </w:tblGrid>
      <w:tr>
        <w:trPr/>
        <w:tc>
          <w:tcPr>
            <w:tcW w:w="451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572" w:type="dxa"/>
            <w:tcBorders/>
            <w:vAlign w:val="center"/>
          </w:tcPr>
          <w:p>
            <w:pPr>
              <w:pStyle w:val="TableContents"/>
              <w:bidi w:val="0"/>
              <w:spacing w:before="0" w:after="283"/>
              <w:jc w:val="left"/>
              <w:rPr>
                <w:sz w:val="4"/>
                <w:szCs w:val="4"/>
              </w:rPr>
            </w:pPr>
            <w:r>
              <w:rPr>
                <w:sz w:val="4"/>
                <w:szCs w:val="4"/>
              </w:rPr>
            </w:r>
          </w:p>
        </w:tc>
      </w:tr>
      <w:tr>
        <w:trPr/>
        <w:tc>
          <w:tcPr>
            <w:tcW w:w="4513" w:type="dxa"/>
            <w:tcBorders/>
          </w:tcPr>
          <w:p>
            <w:pPr>
              <w:pStyle w:val="TableContents"/>
              <w:bidi w:val="0"/>
              <w:spacing w:before="0" w:after="283"/>
              <w:jc w:val="left"/>
              <w:rPr/>
            </w:pPr>
            <w:r>
              <w:rPr/>
              <w:t>ADOPTED BY BOARD OF DIRECTORS:   </w:t>
            </w:r>
          </w:p>
        </w:tc>
        <w:tc>
          <w:tcPr>
            <w:tcW w:w="120" w:type="dxa"/>
            <w:tcBorders/>
            <w:vAlign w:val="bottom"/>
          </w:tcPr>
          <w:p>
            <w:pPr>
              <w:pStyle w:val="TableContents"/>
              <w:bidi w:val="0"/>
              <w:spacing w:before="0" w:after="283"/>
              <w:jc w:val="left"/>
              <w:rPr/>
            </w:pPr>
            <w:r>
              <w:rPr/>
              <w:t>  </w:t>
            </w:r>
          </w:p>
        </w:tc>
        <w:tc>
          <w:tcPr>
            <w:tcW w:w="5572" w:type="dxa"/>
            <w:tcBorders/>
          </w:tcPr>
          <w:p>
            <w:pPr>
              <w:pStyle w:val="TableContents"/>
              <w:bidi w:val="0"/>
              <w:spacing w:before="0" w:after="283"/>
              <w:jc w:val="left"/>
              <w:rPr/>
            </w:pPr>
            <w:r>
              <w:rPr/>
              <w:t>November 14, 2019</w:t>
            </w:r>
          </w:p>
        </w:tc>
      </w:tr>
      <w:tr>
        <w:trPr>
          <w:trHeight w:val="120" w:hRule="atLeast"/>
        </w:trPr>
        <w:tc>
          <w:tcPr>
            <w:tcW w:w="4513" w:type="dxa"/>
            <w:tcBorders/>
            <w:vAlign w:val="center"/>
          </w:tcPr>
          <w:p>
            <w:pPr>
              <w:pStyle w:val="TableContents"/>
              <w:bidi w:val="0"/>
              <w:spacing w:before="0" w:after="283"/>
              <w:jc w:val="left"/>
              <w:rPr>
                <w:sz w:val="4"/>
                <w:szCs w:val="4"/>
              </w:rPr>
            </w:pPr>
            <w:r>
              <w:rPr>
                <w:sz w:val="4"/>
                <w:szCs w:val="4"/>
              </w:rPr>
            </w:r>
          </w:p>
        </w:tc>
        <w:tc>
          <w:tcPr>
            <w:tcW w:w="5692" w:type="dxa"/>
            <w:gridSpan w:val="2"/>
            <w:tcBorders/>
            <w:vAlign w:val="center"/>
          </w:tcPr>
          <w:p>
            <w:pPr>
              <w:pStyle w:val="TableContents"/>
              <w:bidi w:val="0"/>
              <w:spacing w:before="0" w:after="283"/>
              <w:jc w:val="left"/>
              <w:rPr>
                <w:sz w:val="4"/>
                <w:szCs w:val="4"/>
              </w:rPr>
            </w:pPr>
            <w:r>
              <w:rPr>
                <w:sz w:val="4"/>
                <w:szCs w:val="4"/>
              </w:rPr>
            </w:r>
          </w:p>
        </w:tc>
      </w:tr>
      <w:tr>
        <w:trPr/>
        <w:tc>
          <w:tcPr>
            <w:tcW w:w="4513" w:type="dxa"/>
            <w:tcBorders/>
          </w:tcPr>
          <w:p>
            <w:pPr>
              <w:pStyle w:val="TableContents"/>
              <w:bidi w:val="0"/>
              <w:spacing w:before="0" w:after="283"/>
              <w:jc w:val="left"/>
              <w:rPr/>
            </w:pPr>
            <w:r>
              <w:rPr/>
              <w:t>ADOPTED BY STOCKHOLDERS:</w:t>
            </w:r>
          </w:p>
        </w:tc>
        <w:tc>
          <w:tcPr>
            <w:tcW w:w="120" w:type="dxa"/>
            <w:tcBorders/>
            <w:vAlign w:val="bottom"/>
          </w:tcPr>
          <w:p>
            <w:pPr>
              <w:pStyle w:val="TableContents"/>
              <w:bidi w:val="0"/>
              <w:spacing w:before="0" w:after="283"/>
              <w:jc w:val="left"/>
              <w:rPr/>
            </w:pPr>
            <w:r>
              <w:rPr/>
              <w:t>  </w:t>
            </w:r>
          </w:p>
        </w:tc>
        <w:tc>
          <w:tcPr>
            <w:tcW w:w="5572" w:type="dxa"/>
            <w:tcBorders/>
          </w:tcPr>
          <w:p>
            <w:pPr>
              <w:pStyle w:val="TableContents"/>
              <w:bidi w:val="0"/>
              <w:spacing w:before="0" w:after="283"/>
              <w:jc w:val="left"/>
              <w:rPr/>
            </w:pPr>
            <w:r>
              <w:rPr/>
              <w:t>November 14, 2019</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OBSIDIAN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AMENDMENT NO. 5 TO THE </w:t>
      </w:r>
    </w:p>
    <w:p>
      <w:pPr>
        <w:pStyle w:val="TextBody"/>
        <w:bidi w:val="0"/>
        <w:spacing w:before="0" w:after="0"/>
        <w:jc w:val="center"/>
        <w:rPr>
          <w:rFonts w:ascii="Times New Roman" w:hAnsi="Times New Roman"/>
          <w:b/>
          <w:sz w:val="20"/>
        </w:rPr>
      </w:pPr>
      <w:r>
        <w:rPr>
          <w:rFonts w:ascii="Times New Roman" w:hAnsi="Times New Roman"/>
          <w:b/>
          <w:sz w:val="20"/>
        </w:rPr>
        <w:t xml:space="preserve">2016 STOCK OPTION AND GRANT PLAN </w:t>
      </w:r>
    </w:p>
    <w:p>
      <w:pPr>
        <w:pStyle w:val="TextBody"/>
        <w:bidi w:val="0"/>
        <w:spacing w:before="240" w:after="0"/>
        <w:jc w:val="left"/>
        <w:rPr>
          <w:rFonts w:ascii="Times New Roman" w:hAnsi="Times New Roman"/>
          <w:sz w:val="20"/>
        </w:rPr>
      </w:pPr>
      <w:r>
        <w:rPr>
          <w:rFonts w:ascii="Times New Roman" w:hAnsi="Times New Roman"/>
          <w:sz w:val="20"/>
        </w:rPr>
        <w:t>The Obsidian Therapeutics, Inc. 2016 Stock Option and Grant Plan (the “</w:t>
      </w:r>
      <w:r>
        <w:rPr>
          <w:rFonts w:ascii="Times New Roman" w:hAnsi="Times New Roman"/>
          <w:sz w:val="20"/>
          <w:u w:val="single"/>
        </w:rPr>
        <w:t>Plan</w:t>
      </w:r>
      <w:r>
        <w:rPr>
          <w:rFonts w:ascii="Times New Roman" w:hAnsi="Times New Roman"/>
          <w:sz w:val="20"/>
        </w:rPr>
        <w:t xml:space="preserve">”) is hereby amended by the Board of Directors and stockholders of Obsidian Therapeutics, Inc., a Delaware corporation,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3(a) of the Plan is hereby amended by deleting it and replacing it with the following: </w:t>
      </w:r>
    </w:p>
    <w:p>
      <w:pPr>
        <w:pStyle w:val="TextBody"/>
        <w:bidi w:val="0"/>
        <w:spacing w:before="120" w:after="0"/>
        <w:jc w:val="left"/>
        <w:rPr/>
      </w:pPr>
      <w:r>
        <w:rPr/>
        <w:t>“</w:t>
      </w:r>
      <w:r>
        <w:rPr>
          <w:rFonts w:ascii="Times New Roman" w:hAnsi="Times New Roman"/>
          <w:sz w:val="20"/>
          <w:u w:val="single"/>
        </w:rPr>
        <w:t>Stock Issuable</w:t>
      </w:r>
      <w:r>
        <w:rPr>
          <w:rFonts w:ascii="Times New Roman" w:hAnsi="Times New Roman"/>
          <w:sz w:val="20"/>
        </w:rPr>
        <w:t xml:space="preserve">. The maximum number of Shares reserved and available for issuance under the Plan shall be 11,496,000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11,496,000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11,496,000 Shares shall be granted to any one individual in any calendar year period.”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00"/>
        <w:gridCol w:w="120"/>
        <w:gridCol w:w="5585"/>
      </w:tblGrid>
      <w:tr>
        <w:trPr/>
        <w:tc>
          <w:tcPr>
            <w:tcW w:w="45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585" w:type="dxa"/>
            <w:tcBorders/>
            <w:vAlign w:val="center"/>
          </w:tcPr>
          <w:p>
            <w:pPr>
              <w:pStyle w:val="TableContents"/>
              <w:bidi w:val="0"/>
              <w:spacing w:before="0" w:after="283"/>
              <w:jc w:val="left"/>
              <w:rPr>
                <w:sz w:val="4"/>
                <w:szCs w:val="4"/>
              </w:rPr>
            </w:pPr>
            <w:r>
              <w:rPr>
                <w:sz w:val="4"/>
                <w:szCs w:val="4"/>
              </w:rPr>
            </w:r>
          </w:p>
        </w:tc>
      </w:tr>
      <w:tr>
        <w:trPr/>
        <w:tc>
          <w:tcPr>
            <w:tcW w:w="4500" w:type="dxa"/>
            <w:tcBorders/>
          </w:tcPr>
          <w:p>
            <w:pPr>
              <w:pStyle w:val="TableContents"/>
              <w:bidi w:val="0"/>
              <w:spacing w:before="0" w:after="283"/>
              <w:jc w:val="left"/>
              <w:rPr/>
            </w:pPr>
            <w:r>
              <w:rPr/>
              <w:t>ADOPTED BY BOARD OF DIRECTORS:   </w:t>
            </w:r>
          </w:p>
        </w:tc>
        <w:tc>
          <w:tcPr>
            <w:tcW w:w="120" w:type="dxa"/>
            <w:tcBorders/>
            <w:vAlign w:val="bottom"/>
          </w:tcPr>
          <w:p>
            <w:pPr>
              <w:pStyle w:val="TableContents"/>
              <w:bidi w:val="0"/>
              <w:spacing w:before="0" w:after="283"/>
              <w:jc w:val="left"/>
              <w:rPr/>
            </w:pPr>
            <w:r>
              <w:rPr/>
              <w:t>  </w:t>
            </w:r>
          </w:p>
        </w:tc>
        <w:tc>
          <w:tcPr>
            <w:tcW w:w="5585" w:type="dxa"/>
            <w:tcBorders/>
          </w:tcPr>
          <w:p>
            <w:pPr>
              <w:pStyle w:val="TableContents"/>
              <w:bidi w:val="0"/>
              <w:spacing w:before="0" w:after="283"/>
              <w:jc w:val="left"/>
              <w:rPr/>
            </w:pPr>
            <w:r>
              <w:rPr/>
              <w:t>February 27, 2020</w:t>
            </w:r>
          </w:p>
        </w:tc>
      </w:tr>
      <w:tr>
        <w:trPr>
          <w:trHeight w:val="120" w:hRule="atLeast"/>
        </w:trPr>
        <w:tc>
          <w:tcPr>
            <w:tcW w:w="4500" w:type="dxa"/>
            <w:tcBorders/>
            <w:vAlign w:val="center"/>
          </w:tcPr>
          <w:p>
            <w:pPr>
              <w:pStyle w:val="TableContents"/>
              <w:bidi w:val="0"/>
              <w:spacing w:before="0" w:after="283"/>
              <w:jc w:val="left"/>
              <w:rPr>
                <w:sz w:val="4"/>
                <w:szCs w:val="4"/>
              </w:rPr>
            </w:pPr>
            <w:r>
              <w:rPr>
                <w:sz w:val="4"/>
                <w:szCs w:val="4"/>
              </w:rPr>
            </w:r>
          </w:p>
        </w:tc>
        <w:tc>
          <w:tcPr>
            <w:tcW w:w="5705" w:type="dxa"/>
            <w:gridSpan w:val="2"/>
            <w:tcBorders/>
            <w:vAlign w:val="center"/>
          </w:tcPr>
          <w:p>
            <w:pPr>
              <w:pStyle w:val="TableContents"/>
              <w:bidi w:val="0"/>
              <w:spacing w:before="0" w:after="283"/>
              <w:jc w:val="left"/>
              <w:rPr>
                <w:sz w:val="4"/>
                <w:szCs w:val="4"/>
              </w:rPr>
            </w:pPr>
            <w:r>
              <w:rPr>
                <w:sz w:val="4"/>
                <w:szCs w:val="4"/>
              </w:rPr>
            </w:r>
          </w:p>
        </w:tc>
      </w:tr>
      <w:tr>
        <w:trPr/>
        <w:tc>
          <w:tcPr>
            <w:tcW w:w="4500" w:type="dxa"/>
            <w:tcBorders/>
          </w:tcPr>
          <w:p>
            <w:pPr>
              <w:pStyle w:val="TableContents"/>
              <w:bidi w:val="0"/>
              <w:spacing w:before="0" w:after="283"/>
              <w:jc w:val="left"/>
              <w:rPr/>
            </w:pPr>
            <w:r>
              <w:rPr/>
              <w:t>ADOPTED BY STOCKHOLDERS:</w:t>
            </w:r>
          </w:p>
        </w:tc>
        <w:tc>
          <w:tcPr>
            <w:tcW w:w="120" w:type="dxa"/>
            <w:tcBorders/>
            <w:vAlign w:val="bottom"/>
          </w:tcPr>
          <w:p>
            <w:pPr>
              <w:pStyle w:val="TableContents"/>
              <w:bidi w:val="0"/>
              <w:spacing w:before="0" w:after="283"/>
              <w:jc w:val="left"/>
              <w:rPr/>
            </w:pPr>
            <w:r>
              <w:rPr/>
              <w:t>  </w:t>
            </w:r>
          </w:p>
        </w:tc>
        <w:tc>
          <w:tcPr>
            <w:tcW w:w="5585" w:type="dxa"/>
            <w:tcBorders/>
          </w:tcPr>
          <w:p>
            <w:pPr>
              <w:pStyle w:val="TableContents"/>
              <w:bidi w:val="0"/>
              <w:spacing w:before="0" w:after="283"/>
              <w:jc w:val="left"/>
              <w:rPr/>
            </w:pPr>
            <w:r>
              <w:rPr/>
              <w:t>February 27, 2020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OBSIDIAN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AMENDMENT NO. 6 TO THE </w:t>
      </w:r>
    </w:p>
    <w:p>
      <w:pPr>
        <w:pStyle w:val="TextBody"/>
        <w:bidi w:val="0"/>
        <w:spacing w:before="0" w:after="0"/>
        <w:jc w:val="center"/>
        <w:rPr>
          <w:rFonts w:ascii="Times New Roman" w:hAnsi="Times New Roman"/>
          <w:b/>
          <w:sz w:val="20"/>
        </w:rPr>
      </w:pPr>
      <w:r>
        <w:rPr>
          <w:rFonts w:ascii="Times New Roman" w:hAnsi="Times New Roman"/>
          <w:b/>
          <w:sz w:val="20"/>
        </w:rPr>
        <w:t xml:space="preserve">2016 STOCK OPTION AND GRANT PLAN </w:t>
      </w:r>
    </w:p>
    <w:p>
      <w:pPr>
        <w:pStyle w:val="TextBody"/>
        <w:bidi w:val="0"/>
        <w:spacing w:before="240" w:after="0"/>
        <w:jc w:val="left"/>
        <w:rPr>
          <w:rFonts w:ascii="Times New Roman" w:hAnsi="Times New Roman"/>
          <w:sz w:val="20"/>
        </w:rPr>
      </w:pPr>
      <w:r>
        <w:rPr>
          <w:rFonts w:ascii="Times New Roman" w:hAnsi="Times New Roman"/>
          <w:sz w:val="20"/>
        </w:rPr>
        <w:t>The Obsidian Therapeutics, Inc. 2016 Stock Option and Grant Plan (the “</w:t>
      </w:r>
      <w:r>
        <w:rPr>
          <w:rFonts w:ascii="Times New Roman" w:hAnsi="Times New Roman"/>
          <w:sz w:val="20"/>
          <w:u w:val="single"/>
        </w:rPr>
        <w:t>Plan</w:t>
      </w:r>
      <w:r>
        <w:rPr>
          <w:rFonts w:ascii="Times New Roman" w:hAnsi="Times New Roman"/>
          <w:sz w:val="20"/>
        </w:rPr>
        <w:t xml:space="preserve">”) is hereby amended by the Board of Directors and stockholders of Obsidian Therapeutics, Inc., a Delaware corporation,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3(a) of the Plan is hereby amended by deleting it and replacing it with the following: </w:t>
      </w:r>
    </w:p>
    <w:p>
      <w:pPr>
        <w:pStyle w:val="TextBody"/>
        <w:bidi w:val="0"/>
        <w:spacing w:before="120" w:after="0"/>
        <w:jc w:val="left"/>
        <w:rPr/>
      </w:pPr>
      <w:r>
        <w:rPr/>
        <w:t>“</w:t>
      </w:r>
      <w:r>
        <w:rPr>
          <w:rFonts w:ascii="Times New Roman" w:hAnsi="Times New Roman"/>
          <w:sz w:val="20"/>
          <w:u w:val="single"/>
        </w:rPr>
        <w:t>Stock Issuable</w:t>
      </w:r>
      <w:r>
        <w:rPr>
          <w:rFonts w:ascii="Times New Roman" w:hAnsi="Times New Roman"/>
          <w:sz w:val="20"/>
        </w:rPr>
        <w:t xml:space="preserve">. The maximum number of Shares reserved and available for issuance under the Plan shall be 12,823,274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12,823,274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12,823,274 Shares shall be granted to any one individual in any calendar year period.”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15"/>
        <w:gridCol w:w="120"/>
        <w:gridCol w:w="5570"/>
      </w:tblGrid>
      <w:tr>
        <w:trPr/>
        <w:tc>
          <w:tcPr>
            <w:tcW w:w="45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570" w:type="dxa"/>
            <w:tcBorders/>
            <w:vAlign w:val="center"/>
          </w:tcPr>
          <w:p>
            <w:pPr>
              <w:pStyle w:val="TableContents"/>
              <w:bidi w:val="0"/>
              <w:spacing w:before="0" w:after="283"/>
              <w:jc w:val="left"/>
              <w:rPr>
                <w:sz w:val="4"/>
                <w:szCs w:val="4"/>
              </w:rPr>
            </w:pPr>
            <w:r>
              <w:rPr>
                <w:sz w:val="4"/>
                <w:szCs w:val="4"/>
              </w:rPr>
            </w:r>
          </w:p>
        </w:tc>
      </w:tr>
      <w:tr>
        <w:trPr/>
        <w:tc>
          <w:tcPr>
            <w:tcW w:w="4515" w:type="dxa"/>
            <w:tcBorders/>
          </w:tcPr>
          <w:p>
            <w:pPr>
              <w:pStyle w:val="TableContents"/>
              <w:bidi w:val="0"/>
              <w:spacing w:before="0" w:after="283"/>
              <w:jc w:val="left"/>
              <w:rPr/>
            </w:pPr>
            <w:r>
              <w:rPr/>
              <w:t>ADOPTED BY BOARD OF DIRECTORS:   </w:t>
            </w:r>
          </w:p>
        </w:tc>
        <w:tc>
          <w:tcPr>
            <w:tcW w:w="120" w:type="dxa"/>
            <w:tcBorders/>
            <w:vAlign w:val="bottom"/>
          </w:tcPr>
          <w:p>
            <w:pPr>
              <w:pStyle w:val="TableContents"/>
              <w:bidi w:val="0"/>
              <w:spacing w:before="0" w:after="283"/>
              <w:jc w:val="left"/>
              <w:rPr/>
            </w:pPr>
            <w:r>
              <w:rPr/>
              <w:t>  </w:t>
            </w:r>
          </w:p>
        </w:tc>
        <w:tc>
          <w:tcPr>
            <w:tcW w:w="5570" w:type="dxa"/>
            <w:tcBorders/>
          </w:tcPr>
          <w:p>
            <w:pPr>
              <w:pStyle w:val="TableContents"/>
              <w:bidi w:val="0"/>
              <w:spacing w:before="0" w:after="283"/>
              <w:jc w:val="left"/>
              <w:rPr/>
            </w:pPr>
            <w:r>
              <w:rPr/>
              <w:t>September 9, 2020</w:t>
            </w:r>
          </w:p>
        </w:tc>
      </w:tr>
      <w:tr>
        <w:trPr>
          <w:trHeight w:val="120" w:hRule="atLeast"/>
        </w:trPr>
        <w:tc>
          <w:tcPr>
            <w:tcW w:w="4515" w:type="dxa"/>
            <w:tcBorders/>
            <w:vAlign w:val="center"/>
          </w:tcPr>
          <w:p>
            <w:pPr>
              <w:pStyle w:val="TableContents"/>
              <w:bidi w:val="0"/>
              <w:spacing w:before="0" w:after="283"/>
              <w:jc w:val="left"/>
              <w:rPr>
                <w:sz w:val="4"/>
                <w:szCs w:val="4"/>
              </w:rPr>
            </w:pPr>
            <w:r>
              <w:rPr>
                <w:sz w:val="4"/>
                <w:szCs w:val="4"/>
              </w:rPr>
            </w:r>
          </w:p>
        </w:tc>
        <w:tc>
          <w:tcPr>
            <w:tcW w:w="5690" w:type="dxa"/>
            <w:gridSpan w:val="2"/>
            <w:tcBorders/>
            <w:vAlign w:val="center"/>
          </w:tcPr>
          <w:p>
            <w:pPr>
              <w:pStyle w:val="TableContents"/>
              <w:bidi w:val="0"/>
              <w:spacing w:before="0" w:after="283"/>
              <w:jc w:val="left"/>
              <w:rPr>
                <w:sz w:val="4"/>
                <w:szCs w:val="4"/>
              </w:rPr>
            </w:pPr>
            <w:r>
              <w:rPr>
                <w:sz w:val="4"/>
                <w:szCs w:val="4"/>
              </w:rPr>
            </w:r>
          </w:p>
        </w:tc>
      </w:tr>
      <w:tr>
        <w:trPr/>
        <w:tc>
          <w:tcPr>
            <w:tcW w:w="4515" w:type="dxa"/>
            <w:tcBorders/>
          </w:tcPr>
          <w:p>
            <w:pPr>
              <w:pStyle w:val="TableContents"/>
              <w:bidi w:val="0"/>
              <w:spacing w:before="0" w:after="283"/>
              <w:jc w:val="left"/>
              <w:rPr/>
            </w:pPr>
            <w:r>
              <w:rPr/>
              <w:t>ADOPTED BY STOCKHOLDERS:</w:t>
            </w:r>
          </w:p>
        </w:tc>
        <w:tc>
          <w:tcPr>
            <w:tcW w:w="120" w:type="dxa"/>
            <w:tcBorders/>
            <w:vAlign w:val="bottom"/>
          </w:tcPr>
          <w:p>
            <w:pPr>
              <w:pStyle w:val="TableContents"/>
              <w:bidi w:val="0"/>
              <w:spacing w:before="0" w:after="283"/>
              <w:jc w:val="left"/>
              <w:rPr/>
            </w:pPr>
            <w:r>
              <w:rPr/>
              <w:t>  </w:t>
            </w:r>
          </w:p>
        </w:tc>
        <w:tc>
          <w:tcPr>
            <w:tcW w:w="5570" w:type="dxa"/>
            <w:tcBorders/>
          </w:tcPr>
          <w:p>
            <w:pPr>
              <w:pStyle w:val="TableContents"/>
              <w:bidi w:val="0"/>
              <w:spacing w:before="0" w:after="283"/>
              <w:jc w:val="left"/>
              <w:rPr/>
            </w:pPr>
            <w:r>
              <w:rPr/>
              <w:t>August 19, 2021</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OBSIDIAN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AMENDMENT NO. 7 TO THE </w:t>
      </w:r>
    </w:p>
    <w:p>
      <w:pPr>
        <w:pStyle w:val="TextBody"/>
        <w:bidi w:val="0"/>
        <w:spacing w:before="0" w:after="0"/>
        <w:jc w:val="center"/>
        <w:rPr>
          <w:rFonts w:ascii="Times New Roman" w:hAnsi="Times New Roman"/>
          <w:b/>
          <w:sz w:val="20"/>
        </w:rPr>
      </w:pPr>
      <w:r>
        <w:rPr>
          <w:rFonts w:ascii="Times New Roman" w:hAnsi="Times New Roman"/>
          <w:b/>
          <w:sz w:val="20"/>
        </w:rPr>
        <w:t xml:space="preserve">2016 STOCK OPTION AND GRANT PLAN </w:t>
      </w:r>
    </w:p>
    <w:p>
      <w:pPr>
        <w:pStyle w:val="TextBody"/>
        <w:bidi w:val="0"/>
        <w:spacing w:before="240" w:after="0"/>
        <w:jc w:val="left"/>
        <w:rPr>
          <w:rFonts w:ascii="Times New Roman" w:hAnsi="Times New Roman"/>
          <w:sz w:val="20"/>
        </w:rPr>
      </w:pPr>
      <w:r>
        <w:rPr>
          <w:rFonts w:ascii="Times New Roman" w:hAnsi="Times New Roman"/>
          <w:sz w:val="20"/>
        </w:rPr>
        <w:t>The Obsidian Therapeutics, Inc. 2016 Stock Option and Grant Plan (the “</w:t>
      </w:r>
      <w:r>
        <w:rPr>
          <w:rFonts w:ascii="Times New Roman" w:hAnsi="Times New Roman"/>
          <w:sz w:val="20"/>
          <w:u w:val="single"/>
        </w:rPr>
        <w:t>Plan</w:t>
      </w:r>
      <w:r>
        <w:rPr>
          <w:rFonts w:ascii="Times New Roman" w:hAnsi="Times New Roman"/>
          <w:sz w:val="20"/>
        </w:rPr>
        <w:t xml:space="preserve">”) is hereby amended by the Board of Directors and stockholders of Obsidian Therapeutics, Inc., a Delaware corporation,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3(a) of the Plan is hereby amended by deleting it and replacing it with the following: </w:t>
      </w:r>
    </w:p>
    <w:p>
      <w:pPr>
        <w:pStyle w:val="TextBody"/>
        <w:bidi w:val="0"/>
        <w:spacing w:before="120" w:after="0"/>
        <w:jc w:val="left"/>
        <w:rPr/>
      </w:pPr>
      <w:r>
        <w:rPr/>
        <w:t>“</w:t>
      </w:r>
      <w:r>
        <w:rPr>
          <w:rFonts w:ascii="Times New Roman" w:hAnsi="Times New Roman"/>
          <w:sz w:val="20"/>
          <w:u w:val="single"/>
        </w:rPr>
        <w:t>Stock Issuable</w:t>
      </w:r>
      <w:r>
        <w:rPr>
          <w:rFonts w:ascii="Times New Roman" w:hAnsi="Times New Roman"/>
          <w:sz w:val="20"/>
        </w:rPr>
        <w:t xml:space="preserve">. The maximum number of Shares reserved and available for issuance under the Plan shall be 22,823,274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22,823,274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22,823,274 Shares shall be granted to any one individual in any calendar year period.”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42"/>
        <w:gridCol w:w="121"/>
        <w:gridCol w:w="5542"/>
      </w:tblGrid>
      <w:tr>
        <w:trPr/>
        <w:tc>
          <w:tcPr>
            <w:tcW w:w="454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542" w:type="dxa"/>
            <w:tcBorders/>
            <w:vAlign w:val="center"/>
          </w:tcPr>
          <w:p>
            <w:pPr>
              <w:pStyle w:val="TableContents"/>
              <w:bidi w:val="0"/>
              <w:spacing w:before="0" w:after="283"/>
              <w:jc w:val="left"/>
              <w:rPr>
                <w:sz w:val="4"/>
                <w:szCs w:val="4"/>
              </w:rPr>
            </w:pPr>
            <w:r>
              <w:rPr>
                <w:sz w:val="4"/>
                <w:szCs w:val="4"/>
              </w:rPr>
            </w:r>
          </w:p>
        </w:tc>
      </w:tr>
      <w:tr>
        <w:trPr/>
        <w:tc>
          <w:tcPr>
            <w:tcW w:w="4542" w:type="dxa"/>
            <w:tcBorders/>
          </w:tcPr>
          <w:p>
            <w:pPr>
              <w:pStyle w:val="TableContents"/>
              <w:bidi w:val="0"/>
              <w:spacing w:before="0" w:after="283"/>
              <w:jc w:val="left"/>
              <w:rPr/>
            </w:pPr>
            <w:r>
              <w:rPr/>
              <w:t>ADOPTED BY BOARD OF DIRECTORS:   </w:t>
            </w:r>
          </w:p>
        </w:tc>
        <w:tc>
          <w:tcPr>
            <w:tcW w:w="121" w:type="dxa"/>
            <w:tcBorders/>
            <w:vAlign w:val="bottom"/>
          </w:tcPr>
          <w:p>
            <w:pPr>
              <w:pStyle w:val="TableContents"/>
              <w:bidi w:val="0"/>
              <w:spacing w:before="0" w:after="283"/>
              <w:jc w:val="left"/>
              <w:rPr/>
            </w:pPr>
            <w:r>
              <w:rPr/>
              <w:t>  </w:t>
            </w:r>
          </w:p>
        </w:tc>
        <w:tc>
          <w:tcPr>
            <w:tcW w:w="5542" w:type="dxa"/>
            <w:tcBorders/>
          </w:tcPr>
          <w:p>
            <w:pPr>
              <w:pStyle w:val="TableContents"/>
              <w:bidi w:val="0"/>
              <w:spacing w:before="0" w:after="283"/>
              <w:jc w:val="left"/>
              <w:rPr/>
            </w:pPr>
            <w:r>
              <w:rPr/>
              <w:t>August 19, 2021</w:t>
            </w:r>
          </w:p>
        </w:tc>
      </w:tr>
      <w:tr>
        <w:trPr>
          <w:trHeight w:val="120" w:hRule="atLeast"/>
        </w:trPr>
        <w:tc>
          <w:tcPr>
            <w:tcW w:w="4542" w:type="dxa"/>
            <w:tcBorders/>
            <w:vAlign w:val="center"/>
          </w:tcPr>
          <w:p>
            <w:pPr>
              <w:pStyle w:val="TableContents"/>
              <w:bidi w:val="0"/>
              <w:spacing w:before="0" w:after="283"/>
              <w:jc w:val="left"/>
              <w:rPr>
                <w:sz w:val="4"/>
                <w:szCs w:val="4"/>
              </w:rPr>
            </w:pPr>
            <w:r>
              <w:rPr>
                <w:sz w:val="4"/>
                <w:szCs w:val="4"/>
              </w:rPr>
            </w:r>
          </w:p>
        </w:tc>
        <w:tc>
          <w:tcPr>
            <w:tcW w:w="5663" w:type="dxa"/>
            <w:gridSpan w:val="2"/>
            <w:tcBorders/>
            <w:vAlign w:val="center"/>
          </w:tcPr>
          <w:p>
            <w:pPr>
              <w:pStyle w:val="TableContents"/>
              <w:bidi w:val="0"/>
              <w:spacing w:before="0" w:after="283"/>
              <w:jc w:val="left"/>
              <w:rPr>
                <w:sz w:val="4"/>
                <w:szCs w:val="4"/>
              </w:rPr>
            </w:pPr>
            <w:r>
              <w:rPr>
                <w:sz w:val="4"/>
                <w:szCs w:val="4"/>
              </w:rPr>
            </w:r>
          </w:p>
        </w:tc>
      </w:tr>
      <w:tr>
        <w:trPr/>
        <w:tc>
          <w:tcPr>
            <w:tcW w:w="4542" w:type="dxa"/>
            <w:tcBorders/>
          </w:tcPr>
          <w:p>
            <w:pPr>
              <w:pStyle w:val="TableContents"/>
              <w:bidi w:val="0"/>
              <w:spacing w:before="0" w:after="283"/>
              <w:jc w:val="left"/>
              <w:rPr/>
            </w:pPr>
            <w:r>
              <w:rPr/>
              <w:t>ADOPTED BY STOCKHOLDERS:</w:t>
            </w:r>
          </w:p>
        </w:tc>
        <w:tc>
          <w:tcPr>
            <w:tcW w:w="121" w:type="dxa"/>
            <w:tcBorders/>
            <w:vAlign w:val="bottom"/>
          </w:tcPr>
          <w:p>
            <w:pPr>
              <w:pStyle w:val="TableContents"/>
              <w:bidi w:val="0"/>
              <w:spacing w:before="0" w:after="283"/>
              <w:jc w:val="left"/>
              <w:rPr/>
            </w:pPr>
            <w:r>
              <w:rPr/>
              <w:t>  </w:t>
            </w:r>
          </w:p>
        </w:tc>
        <w:tc>
          <w:tcPr>
            <w:tcW w:w="5542" w:type="dxa"/>
            <w:tcBorders/>
          </w:tcPr>
          <w:p>
            <w:pPr>
              <w:pStyle w:val="TableContents"/>
              <w:bidi w:val="0"/>
              <w:spacing w:before="0" w:after="283"/>
              <w:jc w:val="left"/>
              <w:rPr/>
            </w:pPr>
            <w:r>
              <w:rPr/>
              <w:t>August 19, 2021</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OBSIDIAN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AMENDMENT NO. 8 TO THE </w:t>
      </w:r>
    </w:p>
    <w:p>
      <w:pPr>
        <w:pStyle w:val="TextBody"/>
        <w:bidi w:val="0"/>
        <w:spacing w:before="0" w:after="0"/>
        <w:jc w:val="center"/>
        <w:rPr>
          <w:rFonts w:ascii="Times New Roman" w:hAnsi="Times New Roman"/>
          <w:b/>
          <w:sz w:val="20"/>
        </w:rPr>
      </w:pPr>
      <w:r>
        <w:rPr>
          <w:rFonts w:ascii="Times New Roman" w:hAnsi="Times New Roman"/>
          <w:b/>
          <w:sz w:val="20"/>
        </w:rPr>
        <w:t xml:space="preserve">2016 STOCK OPTION AND GRANT PLAN </w:t>
      </w:r>
    </w:p>
    <w:p>
      <w:pPr>
        <w:pStyle w:val="TextBody"/>
        <w:bidi w:val="0"/>
        <w:spacing w:before="240" w:after="0"/>
        <w:jc w:val="left"/>
        <w:rPr>
          <w:rFonts w:ascii="Times New Roman" w:hAnsi="Times New Roman"/>
          <w:sz w:val="20"/>
        </w:rPr>
      </w:pPr>
      <w:r>
        <w:rPr>
          <w:rFonts w:ascii="Times New Roman" w:hAnsi="Times New Roman"/>
          <w:sz w:val="20"/>
        </w:rPr>
        <w:t>The Obsidian Therapeutics, Inc. 2016 Stock Option and Grant Plan (the “</w:t>
      </w:r>
      <w:r>
        <w:rPr>
          <w:rFonts w:ascii="Times New Roman" w:hAnsi="Times New Roman"/>
          <w:sz w:val="20"/>
          <w:u w:val="single"/>
        </w:rPr>
        <w:t>Plan</w:t>
      </w:r>
      <w:r>
        <w:rPr>
          <w:rFonts w:ascii="Times New Roman" w:hAnsi="Times New Roman"/>
          <w:sz w:val="20"/>
        </w:rPr>
        <w:t xml:space="preserve">”) is hereby amended by the Board of Directors and stockholders of Obsidian Therapeutics, Inc., a Delaware corporation,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3(a) of the Plan is hereby amended by deleting it and replacing it with the following: </w:t>
      </w:r>
    </w:p>
    <w:p>
      <w:pPr>
        <w:pStyle w:val="TextBody"/>
        <w:bidi w:val="0"/>
        <w:spacing w:before="120" w:after="0"/>
        <w:jc w:val="left"/>
        <w:rPr/>
      </w:pPr>
      <w:r>
        <w:rPr/>
        <w:t>“</w:t>
      </w:r>
      <w:r>
        <w:rPr>
          <w:rFonts w:ascii="Times New Roman" w:hAnsi="Times New Roman"/>
          <w:sz w:val="20"/>
          <w:u w:val="single"/>
        </w:rPr>
        <w:t>Stock Issuable</w:t>
      </w:r>
      <w:r>
        <w:rPr>
          <w:rFonts w:ascii="Times New Roman" w:hAnsi="Times New Roman"/>
          <w:sz w:val="20"/>
        </w:rPr>
        <w:t>. The maximum number of Shares reserved and available for issuance under the Plan shall be 38,749,161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38,749,161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38,749,161 Shares shall be granted to any one individual in any calendar year period.</w:t>
      </w:r>
      <w:r>
        <w:rPr>
          <w:rFonts w:ascii="Times New Roman" w:hAnsi="Times New Roman"/>
          <w:sz w:val="20"/>
          <w:u w:val="single"/>
        </w:rPr>
        <w:t>”</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00"/>
        <w:gridCol w:w="120"/>
        <w:gridCol w:w="5585"/>
      </w:tblGrid>
      <w:tr>
        <w:trPr/>
        <w:tc>
          <w:tcPr>
            <w:tcW w:w="45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585" w:type="dxa"/>
            <w:tcBorders/>
            <w:vAlign w:val="center"/>
          </w:tcPr>
          <w:p>
            <w:pPr>
              <w:pStyle w:val="TableContents"/>
              <w:bidi w:val="0"/>
              <w:spacing w:before="0" w:after="283"/>
              <w:jc w:val="left"/>
              <w:rPr>
                <w:sz w:val="4"/>
                <w:szCs w:val="4"/>
              </w:rPr>
            </w:pPr>
            <w:r>
              <w:rPr>
                <w:sz w:val="4"/>
                <w:szCs w:val="4"/>
              </w:rPr>
            </w:r>
          </w:p>
        </w:tc>
      </w:tr>
      <w:tr>
        <w:trPr/>
        <w:tc>
          <w:tcPr>
            <w:tcW w:w="4500" w:type="dxa"/>
            <w:tcBorders/>
          </w:tcPr>
          <w:p>
            <w:pPr>
              <w:pStyle w:val="TableContents"/>
              <w:bidi w:val="0"/>
              <w:spacing w:before="0" w:after="283"/>
              <w:jc w:val="left"/>
              <w:rPr/>
            </w:pPr>
            <w:r>
              <w:rPr/>
              <w:t>ADOPTED BY BOARD OF DIRECTORS:   </w:t>
            </w:r>
          </w:p>
        </w:tc>
        <w:tc>
          <w:tcPr>
            <w:tcW w:w="120" w:type="dxa"/>
            <w:tcBorders/>
            <w:vAlign w:val="bottom"/>
          </w:tcPr>
          <w:p>
            <w:pPr>
              <w:pStyle w:val="TableContents"/>
              <w:bidi w:val="0"/>
              <w:spacing w:before="0" w:after="283"/>
              <w:jc w:val="left"/>
              <w:rPr/>
            </w:pPr>
            <w:r>
              <w:rPr/>
              <w:t>  </w:t>
            </w:r>
          </w:p>
        </w:tc>
        <w:tc>
          <w:tcPr>
            <w:tcW w:w="5585" w:type="dxa"/>
            <w:tcBorders/>
          </w:tcPr>
          <w:p>
            <w:pPr>
              <w:pStyle w:val="TableContents"/>
              <w:bidi w:val="0"/>
              <w:spacing w:before="0" w:after="283"/>
              <w:jc w:val="left"/>
              <w:rPr/>
            </w:pPr>
            <w:r>
              <w:rPr/>
              <w:t>December 1, 2022</w:t>
            </w:r>
          </w:p>
        </w:tc>
      </w:tr>
      <w:tr>
        <w:trPr>
          <w:trHeight w:val="120" w:hRule="atLeast"/>
        </w:trPr>
        <w:tc>
          <w:tcPr>
            <w:tcW w:w="4500" w:type="dxa"/>
            <w:tcBorders/>
            <w:vAlign w:val="center"/>
          </w:tcPr>
          <w:p>
            <w:pPr>
              <w:pStyle w:val="TableContents"/>
              <w:bidi w:val="0"/>
              <w:spacing w:before="0" w:after="283"/>
              <w:jc w:val="left"/>
              <w:rPr>
                <w:sz w:val="4"/>
                <w:szCs w:val="4"/>
              </w:rPr>
            </w:pPr>
            <w:r>
              <w:rPr>
                <w:sz w:val="4"/>
                <w:szCs w:val="4"/>
              </w:rPr>
            </w:r>
          </w:p>
        </w:tc>
        <w:tc>
          <w:tcPr>
            <w:tcW w:w="5705" w:type="dxa"/>
            <w:gridSpan w:val="2"/>
            <w:tcBorders/>
            <w:vAlign w:val="center"/>
          </w:tcPr>
          <w:p>
            <w:pPr>
              <w:pStyle w:val="TableContents"/>
              <w:bidi w:val="0"/>
              <w:spacing w:before="0" w:after="283"/>
              <w:jc w:val="left"/>
              <w:rPr>
                <w:sz w:val="4"/>
                <w:szCs w:val="4"/>
              </w:rPr>
            </w:pPr>
            <w:r>
              <w:rPr>
                <w:sz w:val="4"/>
                <w:szCs w:val="4"/>
              </w:rPr>
            </w:r>
          </w:p>
        </w:tc>
      </w:tr>
      <w:tr>
        <w:trPr/>
        <w:tc>
          <w:tcPr>
            <w:tcW w:w="4500" w:type="dxa"/>
            <w:tcBorders/>
          </w:tcPr>
          <w:p>
            <w:pPr>
              <w:pStyle w:val="TableContents"/>
              <w:bidi w:val="0"/>
              <w:spacing w:before="0" w:after="283"/>
              <w:jc w:val="left"/>
              <w:rPr/>
            </w:pPr>
            <w:r>
              <w:rPr/>
              <w:t>ADOPTED BY STOCKHOLDERS:</w:t>
            </w:r>
          </w:p>
        </w:tc>
        <w:tc>
          <w:tcPr>
            <w:tcW w:w="120" w:type="dxa"/>
            <w:tcBorders/>
            <w:vAlign w:val="bottom"/>
          </w:tcPr>
          <w:p>
            <w:pPr>
              <w:pStyle w:val="TableContents"/>
              <w:bidi w:val="0"/>
              <w:spacing w:before="0" w:after="283"/>
              <w:jc w:val="left"/>
              <w:rPr/>
            </w:pPr>
            <w:r>
              <w:rPr/>
              <w:t>  </w:t>
            </w:r>
          </w:p>
        </w:tc>
        <w:tc>
          <w:tcPr>
            <w:tcW w:w="5585" w:type="dxa"/>
            <w:tcBorders/>
          </w:tcPr>
          <w:p>
            <w:pPr>
              <w:pStyle w:val="TableContents"/>
              <w:bidi w:val="0"/>
              <w:spacing w:before="0" w:after="283"/>
              <w:jc w:val="left"/>
              <w:rPr/>
            </w:pPr>
            <w:r>
              <w:rPr/>
              <w:t>February 18, 2023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OBSIDIAN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AMENDMENT NO. 8 TO THE </w:t>
      </w:r>
    </w:p>
    <w:p>
      <w:pPr>
        <w:pStyle w:val="TextBody"/>
        <w:bidi w:val="0"/>
        <w:spacing w:before="0" w:after="0"/>
        <w:jc w:val="center"/>
        <w:rPr>
          <w:rFonts w:ascii="Times New Roman" w:hAnsi="Times New Roman"/>
          <w:b/>
          <w:sz w:val="20"/>
        </w:rPr>
      </w:pPr>
      <w:r>
        <w:rPr>
          <w:rFonts w:ascii="Times New Roman" w:hAnsi="Times New Roman"/>
          <w:b/>
          <w:sz w:val="20"/>
        </w:rPr>
        <w:t xml:space="preserve">2016 STOCK OPTION AND GRANT PLAN </w:t>
      </w:r>
    </w:p>
    <w:p>
      <w:pPr>
        <w:pStyle w:val="TextBody"/>
        <w:bidi w:val="0"/>
        <w:spacing w:before="120" w:after="0"/>
        <w:jc w:val="left"/>
        <w:rPr>
          <w:rFonts w:ascii="Times New Roman" w:hAnsi="Times New Roman"/>
          <w:sz w:val="20"/>
        </w:rPr>
      </w:pPr>
      <w:r>
        <w:rPr>
          <w:rFonts w:ascii="Times New Roman" w:hAnsi="Times New Roman"/>
          <w:sz w:val="20"/>
        </w:rPr>
        <w:t xml:space="preserve">The Obsidian Therapeutics, Inc. 2016 Stock Option and Grant Plan (the “Plan”) is hereby amended by the Board of Directors and stockholders of Obsidian Therapeutics, Inc., a Delaware corporation,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3(a) of the Plan is hereby amended by deleting it and replacing it with the following: </w:t>
      </w:r>
    </w:p>
    <w:p>
      <w:pPr>
        <w:pStyle w:val="TextBody"/>
        <w:bidi w:val="0"/>
        <w:spacing w:before="120" w:after="0"/>
        <w:jc w:val="left"/>
        <w:rPr/>
      </w:pPr>
      <w:r>
        <w:rPr/>
        <w:t>“</w:t>
      </w:r>
      <w:r>
        <w:rPr>
          <w:rFonts w:ascii="Times New Roman" w:hAnsi="Times New Roman"/>
          <w:sz w:val="20"/>
          <w:u w:val="single"/>
        </w:rPr>
        <w:t>Stock Issuable</w:t>
      </w:r>
      <w:r>
        <w:rPr>
          <w:rFonts w:ascii="Times New Roman" w:hAnsi="Times New Roman"/>
          <w:sz w:val="20"/>
        </w:rPr>
        <w:t xml:space="preserve">. The maximum number of Shares reserved and available for issuance under the Plan shall be 38,749,161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38,749,161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38,749,161 Shares shall be granted to any one individual in any calendar year period.”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00"/>
        <w:gridCol w:w="120"/>
        <w:gridCol w:w="5585"/>
      </w:tblGrid>
      <w:tr>
        <w:trPr/>
        <w:tc>
          <w:tcPr>
            <w:tcW w:w="45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585" w:type="dxa"/>
            <w:tcBorders/>
            <w:vAlign w:val="center"/>
          </w:tcPr>
          <w:p>
            <w:pPr>
              <w:pStyle w:val="TableContents"/>
              <w:bidi w:val="0"/>
              <w:spacing w:before="0" w:after="283"/>
              <w:jc w:val="left"/>
              <w:rPr>
                <w:sz w:val="4"/>
                <w:szCs w:val="4"/>
              </w:rPr>
            </w:pPr>
            <w:r>
              <w:rPr>
                <w:sz w:val="4"/>
                <w:szCs w:val="4"/>
              </w:rPr>
            </w:r>
          </w:p>
        </w:tc>
      </w:tr>
      <w:tr>
        <w:trPr/>
        <w:tc>
          <w:tcPr>
            <w:tcW w:w="4500" w:type="dxa"/>
            <w:tcBorders/>
          </w:tcPr>
          <w:p>
            <w:pPr>
              <w:pStyle w:val="TableContents"/>
              <w:bidi w:val="0"/>
              <w:spacing w:before="0" w:after="283"/>
              <w:jc w:val="left"/>
              <w:rPr/>
            </w:pPr>
            <w:r>
              <w:rPr/>
              <w:t>ADOPTED BY BOARD OF DIRECTORS:   </w:t>
            </w:r>
          </w:p>
        </w:tc>
        <w:tc>
          <w:tcPr>
            <w:tcW w:w="120" w:type="dxa"/>
            <w:tcBorders/>
            <w:vAlign w:val="bottom"/>
          </w:tcPr>
          <w:p>
            <w:pPr>
              <w:pStyle w:val="TableContents"/>
              <w:bidi w:val="0"/>
              <w:spacing w:before="0" w:after="283"/>
              <w:jc w:val="left"/>
              <w:rPr/>
            </w:pPr>
            <w:r>
              <w:rPr/>
              <w:t>  </w:t>
            </w:r>
          </w:p>
        </w:tc>
        <w:tc>
          <w:tcPr>
            <w:tcW w:w="5585" w:type="dxa"/>
            <w:tcBorders/>
          </w:tcPr>
          <w:p>
            <w:pPr>
              <w:pStyle w:val="TableContents"/>
              <w:bidi w:val="0"/>
              <w:spacing w:before="0" w:after="283"/>
              <w:jc w:val="left"/>
              <w:rPr/>
            </w:pPr>
            <w:r>
              <w:rPr/>
              <w:t>December 1, 2022</w:t>
            </w:r>
          </w:p>
        </w:tc>
      </w:tr>
      <w:tr>
        <w:trPr>
          <w:trHeight w:val="120" w:hRule="atLeast"/>
        </w:trPr>
        <w:tc>
          <w:tcPr>
            <w:tcW w:w="4500" w:type="dxa"/>
            <w:tcBorders/>
            <w:vAlign w:val="center"/>
          </w:tcPr>
          <w:p>
            <w:pPr>
              <w:pStyle w:val="TableContents"/>
              <w:bidi w:val="0"/>
              <w:spacing w:before="0" w:after="283"/>
              <w:jc w:val="left"/>
              <w:rPr>
                <w:sz w:val="4"/>
                <w:szCs w:val="4"/>
              </w:rPr>
            </w:pPr>
            <w:r>
              <w:rPr>
                <w:sz w:val="4"/>
                <w:szCs w:val="4"/>
              </w:rPr>
            </w:r>
          </w:p>
        </w:tc>
        <w:tc>
          <w:tcPr>
            <w:tcW w:w="5705" w:type="dxa"/>
            <w:gridSpan w:val="2"/>
            <w:tcBorders/>
            <w:vAlign w:val="center"/>
          </w:tcPr>
          <w:p>
            <w:pPr>
              <w:pStyle w:val="TableContents"/>
              <w:bidi w:val="0"/>
              <w:spacing w:before="0" w:after="283"/>
              <w:jc w:val="left"/>
              <w:rPr>
                <w:sz w:val="4"/>
                <w:szCs w:val="4"/>
              </w:rPr>
            </w:pPr>
            <w:r>
              <w:rPr>
                <w:sz w:val="4"/>
                <w:szCs w:val="4"/>
              </w:rPr>
            </w:r>
          </w:p>
        </w:tc>
      </w:tr>
      <w:tr>
        <w:trPr/>
        <w:tc>
          <w:tcPr>
            <w:tcW w:w="4500" w:type="dxa"/>
            <w:tcBorders/>
          </w:tcPr>
          <w:p>
            <w:pPr>
              <w:pStyle w:val="TableContents"/>
              <w:bidi w:val="0"/>
              <w:spacing w:before="0" w:after="283"/>
              <w:jc w:val="left"/>
              <w:rPr/>
            </w:pPr>
            <w:r>
              <w:rPr/>
              <w:t>ADOPTED BY STOCKHOLDERS:</w:t>
            </w:r>
          </w:p>
        </w:tc>
        <w:tc>
          <w:tcPr>
            <w:tcW w:w="120" w:type="dxa"/>
            <w:tcBorders/>
            <w:vAlign w:val="bottom"/>
          </w:tcPr>
          <w:p>
            <w:pPr>
              <w:pStyle w:val="TableContents"/>
              <w:bidi w:val="0"/>
              <w:spacing w:before="0" w:after="283"/>
              <w:jc w:val="left"/>
              <w:rPr/>
            </w:pPr>
            <w:r>
              <w:rPr/>
              <w:t>  </w:t>
            </w:r>
          </w:p>
        </w:tc>
        <w:tc>
          <w:tcPr>
            <w:tcW w:w="5585" w:type="dxa"/>
            <w:tcBorders/>
          </w:tcPr>
          <w:p>
            <w:pPr>
              <w:pStyle w:val="TableContents"/>
              <w:bidi w:val="0"/>
              <w:spacing w:before="0" w:after="283"/>
              <w:jc w:val="left"/>
              <w:rPr/>
            </w:pPr>
            <w:r>
              <w:rPr/>
              <w:t>February 18, 2023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OBSIDIAN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AMENDMENT NO. 9 TO THE </w:t>
      </w:r>
    </w:p>
    <w:p>
      <w:pPr>
        <w:pStyle w:val="TextBody"/>
        <w:bidi w:val="0"/>
        <w:spacing w:before="0" w:after="0"/>
        <w:jc w:val="center"/>
        <w:rPr>
          <w:rFonts w:ascii="Times New Roman" w:hAnsi="Times New Roman"/>
          <w:b/>
          <w:sz w:val="20"/>
        </w:rPr>
      </w:pPr>
      <w:r>
        <w:rPr>
          <w:rFonts w:ascii="Times New Roman" w:hAnsi="Times New Roman"/>
          <w:b/>
          <w:sz w:val="20"/>
        </w:rPr>
        <w:t xml:space="preserve">2016 STOCK OPTION AND GRANT PLAN </w:t>
      </w:r>
    </w:p>
    <w:p>
      <w:pPr>
        <w:pStyle w:val="TextBody"/>
        <w:bidi w:val="0"/>
        <w:spacing w:before="240" w:after="0"/>
        <w:jc w:val="left"/>
        <w:rPr>
          <w:rFonts w:ascii="Times New Roman" w:hAnsi="Times New Roman"/>
          <w:sz w:val="20"/>
        </w:rPr>
      </w:pPr>
      <w:r>
        <w:rPr>
          <w:rFonts w:ascii="Times New Roman" w:hAnsi="Times New Roman"/>
          <w:sz w:val="20"/>
        </w:rPr>
        <w:t>The Obsidian Therapeutics, Inc. 2016 Stock Option and Grant Plan (the “</w:t>
      </w:r>
      <w:r>
        <w:rPr>
          <w:rFonts w:ascii="Times New Roman" w:hAnsi="Times New Roman"/>
          <w:sz w:val="20"/>
          <w:u w:val="single"/>
        </w:rPr>
        <w:t>Plan</w:t>
      </w:r>
      <w:r>
        <w:rPr>
          <w:rFonts w:ascii="Times New Roman" w:hAnsi="Times New Roman"/>
          <w:sz w:val="20"/>
        </w:rPr>
        <w:t xml:space="preserve">”) is hereby amended by the Board of Directors and stockholders of Obsidian Therapeutics, Inc., a Delaware corporation,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3(a) of the Plan is hereby amended by deleting it and replacing it with the following: </w:t>
      </w:r>
    </w:p>
    <w:p>
      <w:pPr>
        <w:pStyle w:val="TextBody"/>
        <w:bidi w:val="0"/>
        <w:spacing w:before="120" w:after="0"/>
        <w:jc w:val="left"/>
        <w:rPr/>
      </w:pPr>
      <w:r>
        <w:rPr/>
        <w:t>“</w:t>
      </w:r>
      <w:r>
        <w:rPr>
          <w:rFonts w:ascii="Times New Roman" w:hAnsi="Times New Roman"/>
          <w:sz w:val="20"/>
          <w:u w:val="single"/>
        </w:rPr>
        <w:t>Stock Issuable</w:t>
      </w:r>
      <w:r>
        <w:rPr>
          <w:rFonts w:ascii="Times New Roman" w:hAnsi="Times New Roman"/>
          <w:sz w:val="20"/>
        </w:rPr>
        <w:t xml:space="preserve">. The maximum number of Shares reserved and available for issuance under the Plan shall be 48,749,161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487,491,610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48,749,161 Shares shall be granted to any one individual in any calendar year period.”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04"/>
        <w:gridCol w:w="120"/>
        <w:gridCol w:w="5581"/>
      </w:tblGrid>
      <w:tr>
        <w:trPr/>
        <w:tc>
          <w:tcPr>
            <w:tcW w:w="45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581" w:type="dxa"/>
            <w:tcBorders/>
            <w:vAlign w:val="center"/>
          </w:tcPr>
          <w:p>
            <w:pPr>
              <w:pStyle w:val="TableContents"/>
              <w:bidi w:val="0"/>
              <w:spacing w:before="0" w:after="283"/>
              <w:jc w:val="left"/>
              <w:rPr>
                <w:sz w:val="4"/>
                <w:szCs w:val="4"/>
              </w:rPr>
            </w:pPr>
            <w:r>
              <w:rPr>
                <w:sz w:val="4"/>
                <w:szCs w:val="4"/>
              </w:rPr>
            </w:r>
          </w:p>
        </w:tc>
      </w:tr>
      <w:tr>
        <w:trPr/>
        <w:tc>
          <w:tcPr>
            <w:tcW w:w="4504" w:type="dxa"/>
            <w:tcBorders/>
          </w:tcPr>
          <w:p>
            <w:pPr>
              <w:pStyle w:val="TableContents"/>
              <w:bidi w:val="0"/>
              <w:spacing w:before="0" w:after="283"/>
              <w:jc w:val="left"/>
              <w:rPr/>
            </w:pPr>
            <w:r>
              <w:rPr/>
              <w:t>ADOPTED BY BOARD OF DIRECTORS:   </w:t>
            </w:r>
          </w:p>
        </w:tc>
        <w:tc>
          <w:tcPr>
            <w:tcW w:w="120" w:type="dxa"/>
            <w:tcBorders/>
            <w:vAlign w:val="bottom"/>
          </w:tcPr>
          <w:p>
            <w:pPr>
              <w:pStyle w:val="TableContents"/>
              <w:bidi w:val="0"/>
              <w:spacing w:before="0" w:after="283"/>
              <w:jc w:val="left"/>
              <w:rPr/>
            </w:pPr>
            <w:r>
              <w:rPr/>
              <w:t>  </w:t>
            </w:r>
          </w:p>
        </w:tc>
        <w:tc>
          <w:tcPr>
            <w:tcW w:w="5581" w:type="dxa"/>
            <w:tcBorders/>
          </w:tcPr>
          <w:p>
            <w:pPr>
              <w:pStyle w:val="TableContents"/>
              <w:bidi w:val="0"/>
              <w:spacing w:before="0" w:after="283"/>
              <w:jc w:val="left"/>
              <w:rPr/>
            </w:pPr>
            <w:r>
              <w:rPr/>
              <w:t>March 27, 2024</w:t>
            </w:r>
          </w:p>
        </w:tc>
      </w:tr>
      <w:tr>
        <w:trPr>
          <w:trHeight w:val="120" w:hRule="atLeast"/>
        </w:trPr>
        <w:tc>
          <w:tcPr>
            <w:tcW w:w="4504" w:type="dxa"/>
            <w:tcBorders/>
            <w:vAlign w:val="center"/>
          </w:tcPr>
          <w:p>
            <w:pPr>
              <w:pStyle w:val="TableContents"/>
              <w:bidi w:val="0"/>
              <w:spacing w:before="0" w:after="283"/>
              <w:jc w:val="left"/>
              <w:rPr>
                <w:sz w:val="4"/>
                <w:szCs w:val="4"/>
              </w:rPr>
            </w:pPr>
            <w:r>
              <w:rPr>
                <w:sz w:val="4"/>
                <w:szCs w:val="4"/>
              </w:rPr>
            </w:r>
          </w:p>
        </w:tc>
        <w:tc>
          <w:tcPr>
            <w:tcW w:w="5701" w:type="dxa"/>
            <w:gridSpan w:val="2"/>
            <w:tcBorders/>
            <w:vAlign w:val="center"/>
          </w:tcPr>
          <w:p>
            <w:pPr>
              <w:pStyle w:val="TableContents"/>
              <w:bidi w:val="0"/>
              <w:spacing w:before="0" w:after="283"/>
              <w:jc w:val="left"/>
              <w:rPr>
                <w:sz w:val="4"/>
                <w:szCs w:val="4"/>
              </w:rPr>
            </w:pPr>
            <w:r>
              <w:rPr>
                <w:sz w:val="4"/>
                <w:szCs w:val="4"/>
              </w:rPr>
            </w:r>
          </w:p>
        </w:tc>
      </w:tr>
      <w:tr>
        <w:trPr/>
        <w:tc>
          <w:tcPr>
            <w:tcW w:w="4504" w:type="dxa"/>
            <w:tcBorders/>
          </w:tcPr>
          <w:p>
            <w:pPr>
              <w:pStyle w:val="TableContents"/>
              <w:bidi w:val="0"/>
              <w:spacing w:before="0" w:after="283"/>
              <w:jc w:val="left"/>
              <w:rPr/>
            </w:pPr>
            <w:r>
              <w:rPr/>
              <w:t>ADOPTED BY STOCKHOLDERS:</w:t>
            </w:r>
          </w:p>
        </w:tc>
        <w:tc>
          <w:tcPr>
            <w:tcW w:w="120" w:type="dxa"/>
            <w:tcBorders/>
            <w:vAlign w:val="bottom"/>
          </w:tcPr>
          <w:p>
            <w:pPr>
              <w:pStyle w:val="TableContents"/>
              <w:bidi w:val="0"/>
              <w:spacing w:before="0" w:after="283"/>
              <w:jc w:val="left"/>
              <w:rPr/>
            </w:pPr>
            <w:r>
              <w:rPr/>
              <w:t>  </w:t>
            </w:r>
          </w:p>
        </w:tc>
        <w:tc>
          <w:tcPr>
            <w:tcW w:w="5581" w:type="dxa"/>
            <w:tcBorders/>
          </w:tcPr>
          <w:p>
            <w:pPr>
              <w:pStyle w:val="TableContents"/>
              <w:bidi w:val="0"/>
              <w:spacing w:before="0" w:after="283"/>
              <w:jc w:val="left"/>
              <w:rPr/>
            </w:pPr>
            <w:r>
              <w:rPr/>
              <w:t>March 27, 2024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p>
    <w:p>
      <w:pPr>
        <w:pStyle w:val="TextBody"/>
        <w:bidi w:val="0"/>
        <w:spacing w:before="0" w:after="0"/>
        <w:jc w:val="right"/>
        <w:rPr>
          <w:rFonts w:ascii="Times New Roman" w:hAnsi="Times New Roman"/>
          <w:b/>
          <w:sz w:val="20"/>
        </w:rPr>
      </w:pPr>
      <w:bookmarkStart w:id="9" w:name="d105773dex992.htm"/>
      <w:bookmarkStart w:id="10" w:name="ksd105773dex992"/>
      <w:bookmarkEnd w:id="9"/>
      <w:bookmarkEnd w:id="10"/>
      <w:r>
        <w:rPr>
          <w:rFonts w:ascii="Times New Roman" w:hAnsi="Times New Roman"/>
          <w:b/>
          <w:sz w:val="20"/>
        </w:rPr>
        <w:t xml:space="preserve">Exhibit 99.2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OBSIDIAN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EQUITY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GENERAL PURPOSE OF THE PLAN; DEFINITIONS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name of the plan is the Obsidian Therapeutics, Inc. 2026 Equity Incentive Plan (as amended from time to time, the “</w:t>
      </w:r>
      <w:r>
        <w:rPr>
          <w:rFonts w:ascii="Times New Roman" w:hAnsi="Times New Roman"/>
          <w:i/>
          <w:sz w:val="20"/>
        </w:rPr>
        <w:t>Plan</w:t>
      </w:r>
      <w:r>
        <w:rPr>
          <w:rFonts w:ascii="Times New Roman" w:hAnsi="Times New Roman"/>
          <w:sz w:val="20"/>
        </w:rPr>
        <w:t>”). The purpose of the Plan is to encourage and enable the officers, employees, Non-Employee Directors and Consultants of Obsidian Therapeutics, Inc. (the “</w:t>
      </w:r>
      <w:r>
        <w:rPr>
          <w:rFonts w:ascii="Times New Roman" w:hAnsi="Times New Roman"/>
          <w:i/>
          <w:sz w:val="20"/>
        </w:rPr>
        <w:t>Company</w:t>
      </w:r>
      <w:r>
        <w:rPr>
          <w:rFonts w:ascii="Times New Roman" w:hAnsi="Times New Roman"/>
          <w:sz w:val="20"/>
        </w:rPr>
        <w:t xml:space="preserve">”)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alignment of their interests with those of the Company and its stockholders, thereby stimulating their efforts on the Company’s behalf and strengthening their desire to remain with the Company or one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terms shall be defined as set forth below: </w:t>
      </w:r>
    </w:p>
    <w:p>
      <w:pPr>
        <w:pStyle w:val="TextBody"/>
        <w:bidi w:val="0"/>
        <w:spacing w:before="240" w:after="0"/>
        <w:jc w:val="left"/>
        <w:rPr/>
      </w:pPr>
      <w:r>
        <w:rPr/>
        <w:t>“</w:t>
      </w:r>
      <w:r>
        <w:rPr>
          <w:rFonts w:ascii="Times New Roman" w:hAnsi="Times New Roman"/>
          <w:i/>
          <w:sz w:val="20"/>
        </w:rPr>
        <w:t>Act”</w:t>
      </w:r>
      <w:r>
        <w:rPr>
          <w:rFonts w:ascii="Times New Roman" w:hAnsi="Times New Roman"/>
          <w:sz w:val="20"/>
        </w:rPr>
        <w:t xml:space="preserve"> means the U.S. Securities Act of 1933, as amended, and the rules and regulations thereunder. </w:t>
      </w:r>
    </w:p>
    <w:p>
      <w:pPr>
        <w:pStyle w:val="TextBody"/>
        <w:bidi w:val="0"/>
        <w:spacing w:before="240" w:after="0"/>
        <w:jc w:val="left"/>
        <w:rPr/>
      </w:pPr>
      <w:r>
        <w:rPr/>
        <w:t>“</w:t>
      </w:r>
      <w:r>
        <w:rPr>
          <w:rFonts w:ascii="Times New Roman" w:hAnsi="Times New Roman"/>
          <w:i/>
          <w:sz w:val="20"/>
        </w:rPr>
        <w:t>Administrator”</w:t>
      </w:r>
      <w:r>
        <w:rPr>
          <w:rFonts w:ascii="Times New Roman" w:hAnsi="Times New Roman"/>
          <w:sz w:val="20"/>
        </w:rPr>
        <w:t xml:space="preserve"> means either the Board or the compensation committee of the Board or a similar committee performing the functions of the compensation committee and that is comprised of not less than two Non-Employee Directors who are independent. </w:t>
      </w:r>
    </w:p>
    <w:p>
      <w:pPr>
        <w:pStyle w:val="TextBody"/>
        <w:bidi w:val="0"/>
        <w:spacing w:before="240" w:after="0"/>
        <w:jc w:val="left"/>
        <w:rPr/>
      </w:pPr>
      <w:r>
        <w:rPr/>
        <w:t>“</w:t>
      </w:r>
      <w:r>
        <w:rPr>
          <w:rFonts w:ascii="Times New Roman" w:hAnsi="Times New Roman"/>
          <w:i/>
          <w:sz w:val="20"/>
        </w:rPr>
        <w:t>Affiliate</w:t>
      </w:r>
      <w:r>
        <w:rPr>
          <w:rFonts w:ascii="Times New Roman" w:hAnsi="Times New Roman"/>
          <w:sz w:val="20"/>
        </w:rPr>
        <w:t xml:space="preserve">” means, at the time of determination, any “parent” or “subsidiary” of the Company as such terms are defined in Rule 405 of the Act. The Board will have the authority to determine the time or times at which “parent” or “subsidiary” status is determined within the foregoing definition. </w:t>
      </w:r>
    </w:p>
    <w:p>
      <w:pPr>
        <w:pStyle w:val="TextBody"/>
        <w:bidi w:val="0"/>
        <w:spacing w:before="240" w:after="0"/>
        <w:jc w:val="left"/>
        <w:rPr/>
      </w:pPr>
      <w:r>
        <w:rPr/>
        <w:t>“</w:t>
      </w:r>
      <w:r>
        <w:rPr>
          <w:rFonts w:ascii="Times New Roman" w:hAnsi="Times New Roman"/>
          <w:i/>
          <w:sz w:val="20"/>
        </w:rPr>
        <w:t>Award”</w:t>
      </w:r>
      <w:r>
        <w:rPr>
          <w:rFonts w:ascii="Times New Roman" w:hAnsi="Times New Roman"/>
          <w:sz w:val="20"/>
        </w:rPr>
        <w:t xml:space="preserve"> or “</w:t>
      </w:r>
      <w:r>
        <w:rPr>
          <w:rFonts w:ascii="Times New Roman" w:hAnsi="Times New Roman"/>
          <w:i/>
          <w:sz w:val="20"/>
        </w:rPr>
        <w:t>Awards,”</w:t>
      </w:r>
      <w:r>
        <w:rPr>
          <w:rFonts w:ascii="Times New Roman" w:hAnsi="Times New Roman"/>
          <w:sz w:val="20"/>
        </w:rPr>
        <w:t xml:space="preserve"> except where referring to a particular category of grant under the Plan, shall include Incentive Stock Options, Non-Qualified Stock Options, Stock Appreciation Rights, Restricted Stock Awards, Restricted Stock Units, Unrestricted Stock Awards, Cash-Based Awards and Dividend Equivalent Rights. </w:t>
      </w:r>
    </w:p>
    <w:p>
      <w:pPr>
        <w:pStyle w:val="TextBody"/>
        <w:bidi w:val="0"/>
        <w:spacing w:before="240" w:after="0"/>
        <w:jc w:val="left"/>
        <w:rPr/>
      </w:pPr>
      <w:r>
        <w:rPr/>
        <w:t>“</w:t>
      </w:r>
      <w:r>
        <w:rPr>
          <w:rFonts w:ascii="Times New Roman" w:hAnsi="Times New Roman"/>
          <w:i/>
          <w:sz w:val="20"/>
        </w:rPr>
        <w:t>Award Agreement”</w:t>
      </w:r>
      <w:r>
        <w:rPr>
          <w:rFonts w:ascii="Times New Roman" w:hAnsi="Times New Roman"/>
          <w:sz w:val="20"/>
        </w:rPr>
        <w:t xml:space="preserve"> means a written or electronic document setting forth the terms and provisions applicable to an Award granted under the Plan. Each Award Agreement is subject to the terms and conditions of the Plan. </w:t>
      </w:r>
    </w:p>
    <w:p>
      <w:pPr>
        <w:pStyle w:val="TextBody"/>
        <w:bidi w:val="0"/>
        <w:spacing w:before="240" w:after="0"/>
        <w:jc w:val="left"/>
        <w:rPr/>
      </w:pPr>
      <w:r>
        <w:rPr/>
        <w:t>“</w:t>
      </w:r>
      <w:r>
        <w:rPr>
          <w:rFonts w:ascii="Times New Roman" w:hAnsi="Times New Roman"/>
          <w:i/>
          <w:sz w:val="20"/>
        </w:rPr>
        <w:t>Board”</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i/>
          <w:sz w:val="20"/>
        </w:rPr>
        <w:t>Cash-Based Award”</w:t>
      </w:r>
      <w:r>
        <w:rPr>
          <w:rFonts w:ascii="Times New Roman" w:hAnsi="Times New Roman"/>
          <w:sz w:val="20"/>
        </w:rPr>
        <w:t xml:space="preserve"> means an Award entitling the recipient to receive a cash-denominated payment granted pursuant to Section 10. </w:t>
      </w:r>
    </w:p>
    <w:p>
      <w:pPr>
        <w:pStyle w:val="TextBody"/>
        <w:bidi w:val="0"/>
        <w:spacing w:before="240" w:after="0"/>
        <w:jc w:val="left"/>
        <w:rPr/>
      </w:pPr>
      <w:r>
        <w:rPr/>
        <w:t>“</w:t>
      </w:r>
      <w:r>
        <w:rPr>
          <w:rFonts w:ascii="Times New Roman" w:hAnsi="Times New Roman"/>
          <w:i/>
          <w:sz w:val="20"/>
        </w:rPr>
        <w:t>Closing Date</w:t>
      </w:r>
      <w:r>
        <w:rPr>
          <w:rFonts w:ascii="Times New Roman" w:hAnsi="Times New Roman"/>
          <w:sz w:val="20"/>
        </w:rPr>
        <w:t xml:space="preserve">” means the date of the closing of the transactions contemplated by the Merger Agreement.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Code”</w:t>
      </w:r>
      <w:r>
        <w:rPr>
          <w:rFonts w:ascii="Times New Roman" w:hAnsi="Times New Roman"/>
          <w:sz w:val="20"/>
        </w:rPr>
        <w:t xml:space="preserve"> means the U.S. Internal Revenue Code of 1986, as amended, and the rules, regulations and interpretations thereunder. </w:t>
      </w:r>
    </w:p>
    <w:p>
      <w:pPr>
        <w:pStyle w:val="TextBody"/>
        <w:bidi w:val="0"/>
        <w:spacing w:before="240" w:after="0"/>
        <w:jc w:val="left"/>
        <w:rPr/>
      </w:pPr>
      <w:r>
        <w:rPr/>
        <w:t>“</w:t>
      </w:r>
      <w:r>
        <w:rPr>
          <w:rFonts w:ascii="Times New Roman" w:hAnsi="Times New Roman"/>
          <w:i/>
          <w:sz w:val="20"/>
        </w:rPr>
        <w:t>Consultant”</w:t>
      </w:r>
      <w:r>
        <w:rPr>
          <w:rFonts w:ascii="Times New Roman" w:hAnsi="Times New Roman"/>
          <w:sz w:val="20"/>
        </w:rPr>
        <w:t xml:space="preserve"> means a consultant or adviser who provides </w:t>
      </w:r>
      <w:r>
        <w:rPr>
          <w:rFonts w:ascii="Times New Roman" w:hAnsi="Times New Roman"/>
          <w:i/>
          <w:sz w:val="20"/>
        </w:rPr>
        <w:t>bona fide</w:t>
      </w:r>
      <w:r>
        <w:rPr>
          <w:rFonts w:ascii="Times New Roman" w:hAnsi="Times New Roman"/>
          <w:sz w:val="20"/>
        </w:rPr>
        <w:t xml:space="preserve"> services to the Company or an Affiliate as an independent contractor and who qualifies as a consultant or advisor under Instruction A.1.(a)(1) of Form S-8 under the Act. </w:t>
      </w:r>
    </w:p>
    <w:p>
      <w:pPr>
        <w:pStyle w:val="TextBody"/>
        <w:bidi w:val="0"/>
        <w:spacing w:before="240" w:after="0"/>
        <w:jc w:val="left"/>
        <w:rPr/>
      </w:pPr>
      <w:r>
        <w:rPr/>
        <w:t>“</w:t>
      </w:r>
      <w:r>
        <w:rPr>
          <w:rFonts w:ascii="Times New Roman" w:hAnsi="Times New Roman"/>
          <w:i/>
          <w:sz w:val="20"/>
        </w:rPr>
        <w:t>Dividend Equivalent Right”</w:t>
      </w:r>
      <w:r>
        <w:rPr>
          <w:rFonts w:ascii="Times New Roman" w:hAnsi="Times New Roman"/>
          <w:sz w:val="20"/>
        </w:rPr>
        <w:t xml:space="preserve"> means an Award entitling the grantee to receive credits based on ordinary cash dividends that would have been paid on the shares of Stock specified in the Dividend Equivalent Right (or other Award to which it relates) granted pursuant to Section 11. </w:t>
      </w:r>
    </w:p>
    <w:p>
      <w:pPr>
        <w:pStyle w:val="TextBody"/>
        <w:bidi w:val="0"/>
        <w:spacing w:before="240" w:after="0"/>
        <w:jc w:val="left"/>
        <w:rPr/>
      </w:pPr>
      <w:r>
        <w:rPr/>
        <w:t>“</w:t>
      </w:r>
      <w:r>
        <w:rPr>
          <w:rFonts w:ascii="Times New Roman" w:hAnsi="Times New Roman"/>
          <w:i/>
          <w:sz w:val="20"/>
        </w:rPr>
        <w:t>Effective Date”</w:t>
      </w:r>
      <w:r>
        <w:rPr>
          <w:rFonts w:ascii="Times New Roman" w:hAnsi="Times New Roman"/>
          <w:sz w:val="20"/>
        </w:rPr>
        <w:t xml:space="preserve"> means the date on which the Plan becomes effective as set forth in Section 19. </w:t>
      </w:r>
    </w:p>
    <w:p>
      <w:pPr>
        <w:pStyle w:val="TextBody"/>
        <w:bidi w:val="0"/>
        <w:spacing w:before="240" w:after="0"/>
        <w:jc w:val="left"/>
        <w:rPr/>
      </w:pPr>
      <w:r>
        <w:rPr/>
        <w:t>“</w:t>
      </w:r>
      <w:r>
        <w:rPr>
          <w:rFonts w:ascii="Times New Roman" w:hAnsi="Times New Roman"/>
          <w:i/>
          <w:sz w:val="20"/>
        </w:rPr>
        <w:t>Exchange Act”</w:t>
      </w:r>
      <w:r>
        <w:rPr>
          <w:rFonts w:ascii="Times New Roman" w:hAnsi="Times New Roman"/>
          <w:sz w:val="20"/>
        </w:rPr>
        <w:t xml:space="preserve"> means the U.S. Securities Exchange Act of 1934, as amended, and the rules and regulations thereunder. </w:t>
      </w:r>
    </w:p>
    <w:p>
      <w:pPr>
        <w:pStyle w:val="TextBody"/>
        <w:bidi w:val="0"/>
        <w:spacing w:before="240" w:after="0"/>
        <w:jc w:val="left"/>
        <w:rPr/>
      </w:pPr>
      <w:r>
        <w:rPr/>
        <w:t>“</w:t>
      </w:r>
      <w:r>
        <w:rPr>
          <w:rFonts w:ascii="Times New Roman" w:hAnsi="Times New Roman"/>
          <w:i/>
          <w:sz w:val="20"/>
        </w:rPr>
        <w:t>Fair Market Value”</w:t>
      </w:r>
      <w:r>
        <w:rPr>
          <w:rFonts w:ascii="Times New Roman" w:hAnsi="Times New Roman"/>
          <w:sz w:val="20"/>
        </w:rPr>
        <w:t xml:space="preserve"> of the Stock on any given date means the fair market value of the Stock determined in good faith by the Administrator; provided, however, that if the Stock is listed on the National Association of Securities Dealers Automated Quotation System (“</w:t>
      </w:r>
      <w:r>
        <w:rPr>
          <w:rFonts w:ascii="Times New Roman" w:hAnsi="Times New Roman"/>
          <w:i/>
          <w:sz w:val="20"/>
        </w:rPr>
        <w:t>NASDAQ</w:t>
      </w:r>
      <w:r>
        <w:rPr>
          <w:rFonts w:ascii="Times New Roman" w:hAnsi="Times New Roman"/>
          <w:sz w:val="20"/>
        </w:rPr>
        <w:t xml:space="preserve">”), NASDAQ Global Market, The New York Stock Exchange or another national securities exchange or traded on any established market, the determination shall be made by reference to the closing price on such date. If there is no closing price for such date, the determination shall be made by reference to the last date preceding such date for which there is a closing price. </w:t>
      </w:r>
    </w:p>
    <w:p>
      <w:pPr>
        <w:pStyle w:val="TextBody"/>
        <w:bidi w:val="0"/>
        <w:spacing w:before="240" w:after="0"/>
        <w:jc w:val="left"/>
        <w:rPr/>
      </w:pPr>
      <w:r>
        <w:rPr/>
        <w:t>“</w:t>
      </w:r>
      <w:r>
        <w:rPr>
          <w:rFonts w:ascii="Times New Roman" w:hAnsi="Times New Roman"/>
          <w:i/>
          <w:sz w:val="20"/>
        </w:rPr>
        <w:t>Incentive Stock Option”</w:t>
      </w:r>
      <w:r>
        <w:rPr>
          <w:rFonts w:ascii="Times New Roman" w:hAnsi="Times New Roman"/>
          <w:sz w:val="20"/>
        </w:rPr>
        <w:t xml:space="preserve"> means any Stock Option designated and qualified as an “incentive stock option” as defined in Section 422 of the Code. </w:t>
      </w:r>
    </w:p>
    <w:p>
      <w:pPr>
        <w:pStyle w:val="TextBody"/>
        <w:bidi w:val="0"/>
        <w:spacing w:before="240" w:after="0"/>
        <w:jc w:val="left"/>
        <w:rPr/>
      </w:pPr>
      <w:r>
        <w:rPr/>
        <w:t>“</w:t>
      </w:r>
      <w:r>
        <w:rPr>
          <w:rFonts w:ascii="Times New Roman" w:hAnsi="Times New Roman"/>
          <w:i/>
          <w:sz w:val="20"/>
        </w:rPr>
        <w:t>Merger Agreement</w:t>
      </w:r>
      <w:r>
        <w:rPr>
          <w:rFonts w:ascii="Times New Roman" w:hAnsi="Times New Roman"/>
          <w:sz w:val="20"/>
        </w:rPr>
        <w:t xml:space="preserve">” means that certain Agreement and Plan of Merger, dated as of April 14, 2026, by and among Galera Therapeutics, Inc., the Company and certain other parties thereto. </w:t>
      </w:r>
    </w:p>
    <w:p>
      <w:pPr>
        <w:pStyle w:val="TextBody"/>
        <w:bidi w:val="0"/>
        <w:spacing w:before="240" w:after="0"/>
        <w:jc w:val="left"/>
        <w:rPr/>
      </w:pPr>
      <w:r>
        <w:rPr/>
        <w:t>“</w:t>
      </w:r>
      <w:r>
        <w:rPr>
          <w:rFonts w:ascii="Times New Roman" w:hAnsi="Times New Roman"/>
          <w:i/>
          <w:sz w:val="20"/>
        </w:rPr>
        <w:t>Non-Employee Director”</w:t>
      </w:r>
      <w:r>
        <w:rPr>
          <w:rFonts w:ascii="Times New Roman" w:hAnsi="Times New Roman"/>
          <w:sz w:val="20"/>
        </w:rPr>
        <w:t xml:space="preserve"> means a member of the Board who is not also an employee of the Company or any Subsidiary. </w:t>
      </w:r>
    </w:p>
    <w:p>
      <w:pPr>
        <w:pStyle w:val="TextBody"/>
        <w:bidi w:val="0"/>
        <w:spacing w:before="240" w:after="0"/>
        <w:jc w:val="left"/>
        <w:rPr/>
      </w:pPr>
      <w:r>
        <w:rPr/>
        <w:t>“</w:t>
      </w:r>
      <w:r>
        <w:rPr>
          <w:rFonts w:ascii="Times New Roman" w:hAnsi="Times New Roman"/>
          <w:i/>
          <w:sz w:val="20"/>
        </w:rPr>
        <w:t>Non-Qualified Stock Option”</w:t>
      </w:r>
      <w:r>
        <w:rPr>
          <w:rFonts w:ascii="Times New Roman" w:hAnsi="Times New Roman"/>
          <w:sz w:val="20"/>
        </w:rPr>
        <w:t xml:space="preserve"> means any Stock Option that is not an Incentive Stock Option. </w:t>
      </w:r>
    </w:p>
    <w:p>
      <w:pPr>
        <w:pStyle w:val="TextBody"/>
        <w:bidi w:val="0"/>
        <w:spacing w:before="240" w:after="0"/>
        <w:jc w:val="left"/>
        <w:rPr/>
      </w:pPr>
      <w:r>
        <w:rPr/>
        <w:t>“</w:t>
      </w:r>
      <w:r>
        <w:rPr>
          <w:rFonts w:ascii="Times New Roman" w:hAnsi="Times New Roman"/>
          <w:i/>
          <w:sz w:val="20"/>
        </w:rPr>
        <w:t>Option”</w:t>
      </w:r>
      <w:r>
        <w:rPr>
          <w:rFonts w:ascii="Times New Roman" w:hAnsi="Times New Roman"/>
          <w:sz w:val="20"/>
        </w:rPr>
        <w:t xml:space="preserve"> or “</w:t>
      </w:r>
      <w:r>
        <w:rPr>
          <w:rFonts w:ascii="Times New Roman" w:hAnsi="Times New Roman"/>
          <w:i/>
          <w:sz w:val="20"/>
        </w:rPr>
        <w:t>Stock Option”</w:t>
      </w:r>
      <w:r>
        <w:rPr>
          <w:rFonts w:ascii="Times New Roman" w:hAnsi="Times New Roman"/>
          <w:sz w:val="20"/>
        </w:rPr>
        <w:t xml:space="preserve"> means any option to purchase shares of Stock granted pursuant to Section 5. </w:t>
      </w:r>
    </w:p>
    <w:p>
      <w:pPr>
        <w:pStyle w:val="TextBody"/>
        <w:bidi w:val="0"/>
        <w:spacing w:before="240" w:after="0"/>
        <w:jc w:val="left"/>
        <w:rPr/>
      </w:pPr>
      <w:r>
        <w:rPr/>
        <w:t>“</w:t>
      </w:r>
      <w:r>
        <w:rPr>
          <w:rFonts w:ascii="Times New Roman" w:hAnsi="Times New Roman"/>
          <w:i/>
          <w:sz w:val="20"/>
        </w:rPr>
        <w:t>Outstanding Shares</w:t>
      </w:r>
      <w:r>
        <w:rPr>
          <w:rFonts w:ascii="Times New Roman" w:hAnsi="Times New Roman"/>
          <w:sz w:val="20"/>
        </w:rPr>
        <w:t xml:space="preserve">” means, as of a specified date, the sum of (a) number of shares of Stock issued and outstanding, (b) the number of shares of preferred stock of the Company issued and outstanding, and (c) the number of shares of stock issuable pursuant to the exercise of any outstanding warrants to acquire shares of Stock or preferred stock of the Company. </w:t>
      </w:r>
    </w:p>
    <w:p>
      <w:pPr>
        <w:pStyle w:val="TextBody"/>
        <w:bidi w:val="0"/>
        <w:spacing w:before="240" w:after="0"/>
        <w:jc w:val="left"/>
        <w:rPr/>
      </w:pPr>
      <w:r>
        <w:rPr/>
        <w:t>“</w:t>
      </w:r>
      <w:r>
        <w:rPr>
          <w:rFonts w:ascii="Times New Roman" w:hAnsi="Times New Roman"/>
          <w:i/>
          <w:sz w:val="20"/>
        </w:rPr>
        <w:t>Prior Plan”</w:t>
      </w:r>
      <w:r>
        <w:rPr>
          <w:rFonts w:ascii="Times New Roman" w:hAnsi="Times New Roman"/>
          <w:sz w:val="20"/>
        </w:rPr>
        <w:t xml:space="preserve"> means the Obsidian Therapeutics, Inc. 2016 Stock Option and Grant Plan,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Restricted Shares”</w:t>
      </w:r>
      <w:r>
        <w:rPr>
          <w:rFonts w:ascii="Times New Roman" w:hAnsi="Times New Roman"/>
          <w:sz w:val="20"/>
        </w:rPr>
        <w:t xml:space="preserve"> means the shares of Stock underlying a Restricted Stock Award that remain subject to a risk of forfeiture or the Company’s right of repurchase. </w:t>
      </w:r>
    </w:p>
    <w:p>
      <w:pPr>
        <w:pStyle w:val="TextBody"/>
        <w:bidi w:val="0"/>
        <w:spacing w:before="240" w:after="0"/>
        <w:jc w:val="left"/>
        <w:rPr/>
      </w:pPr>
      <w:r>
        <w:rPr/>
        <w:t>“</w:t>
      </w:r>
      <w:r>
        <w:rPr>
          <w:rFonts w:ascii="Times New Roman" w:hAnsi="Times New Roman"/>
          <w:i/>
          <w:sz w:val="20"/>
        </w:rPr>
        <w:t>Restricted Stock Award”</w:t>
      </w:r>
      <w:r>
        <w:rPr>
          <w:rFonts w:ascii="Times New Roman" w:hAnsi="Times New Roman"/>
          <w:sz w:val="20"/>
        </w:rPr>
        <w:t xml:space="preserve"> means an Award of Restricted Shares granted pursuant to Section 7. </w:t>
      </w:r>
    </w:p>
    <w:p>
      <w:pPr>
        <w:pStyle w:val="TextBody"/>
        <w:bidi w:val="0"/>
        <w:spacing w:before="240" w:after="0"/>
        <w:jc w:val="left"/>
        <w:rPr/>
      </w:pPr>
      <w:r>
        <w:rPr/>
        <w:t>“</w:t>
      </w:r>
      <w:r>
        <w:rPr>
          <w:rFonts w:ascii="Times New Roman" w:hAnsi="Times New Roman"/>
          <w:i/>
          <w:sz w:val="20"/>
        </w:rPr>
        <w:t>Restricted Stock Units”</w:t>
      </w:r>
      <w:r>
        <w:rPr>
          <w:rFonts w:ascii="Times New Roman" w:hAnsi="Times New Roman"/>
          <w:sz w:val="20"/>
        </w:rPr>
        <w:t xml:space="preserve"> means an Award of stock units granted pursuant to Section 8. </w:t>
      </w:r>
    </w:p>
    <w:p>
      <w:pPr>
        <w:pStyle w:val="TextBody"/>
        <w:bidi w:val="0"/>
        <w:spacing w:before="240" w:after="0"/>
        <w:jc w:val="left"/>
        <w:rPr/>
      </w:pPr>
      <w:r>
        <w:rPr/>
        <w:t>“</w:t>
      </w:r>
      <w:r>
        <w:rPr>
          <w:rFonts w:ascii="Times New Roman" w:hAnsi="Times New Roman"/>
          <w:i/>
          <w:sz w:val="20"/>
        </w:rPr>
        <w:t>Sale Event”</w:t>
      </w:r>
      <w:r>
        <w:rPr>
          <w:rFonts w:ascii="Times New Roman" w:hAnsi="Times New Roman"/>
          <w:sz w:val="20"/>
        </w:rPr>
        <w:t xml:space="preserve"> means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w:t>
      </w:r>
    </w:p>
    <w:p>
      <w:pPr>
        <w:pStyle w:val="TextBody"/>
        <w:bidi w:val="0"/>
        <w:spacing w:before="240" w:after="0"/>
        <w:jc w:val="left"/>
        <w:rPr/>
      </w:pPr>
      <w:r>
        <w:rPr/>
        <w:t>“</w:t>
      </w:r>
      <w:r>
        <w:rPr>
          <w:rFonts w:ascii="Times New Roman" w:hAnsi="Times New Roman"/>
          <w:i/>
          <w:sz w:val="20"/>
        </w:rPr>
        <w:t>Sale Price</w:t>
      </w:r>
      <w:r>
        <w:rPr>
          <w:rFonts w:ascii="Times New Roman" w:hAnsi="Times New Roman"/>
          <w:sz w:val="20"/>
        </w:rPr>
        <w:t xml:space="preserve">” means the value, as determined by the Administrator, of the consideration payable, or otherwise to be received by stockholders, per share of Stock, pursuant to a Sale Event. </w:t>
      </w:r>
    </w:p>
    <w:p>
      <w:pPr>
        <w:pStyle w:val="TextBody"/>
        <w:bidi w:val="0"/>
        <w:spacing w:before="240" w:after="0"/>
        <w:jc w:val="left"/>
        <w:rPr/>
      </w:pPr>
      <w:r>
        <w:rPr/>
        <w:t>“</w:t>
      </w:r>
      <w:r>
        <w:rPr>
          <w:rFonts w:ascii="Times New Roman" w:hAnsi="Times New Roman"/>
          <w:i/>
          <w:sz w:val="20"/>
        </w:rPr>
        <w:t>Section</w:t>
      </w:r>
      <w:r>
        <w:rPr>
          <w:rFonts w:ascii="Times New Roman" w:hAnsi="Times New Roman"/>
          <w:sz w:val="20"/>
        </w:rPr>
        <w:t> </w:t>
      </w:r>
      <w:r>
        <w:rPr>
          <w:rFonts w:ascii="Times New Roman" w:hAnsi="Times New Roman"/>
          <w:i/>
          <w:sz w:val="20"/>
        </w:rPr>
        <w:t>409A”</w:t>
      </w:r>
      <w:r>
        <w:rPr>
          <w:rFonts w:ascii="Times New Roman" w:hAnsi="Times New Roman"/>
          <w:sz w:val="20"/>
        </w:rPr>
        <w:t xml:space="preserve"> means Section 409A of the Code and the regulations and other guidance promulgated thereunder. </w:t>
      </w:r>
    </w:p>
    <w:p>
      <w:pPr>
        <w:pStyle w:val="TextBody"/>
        <w:bidi w:val="0"/>
        <w:spacing w:before="240" w:after="0"/>
        <w:jc w:val="left"/>
        <w:rPr/>
      </w:pPr>
      <w:r>
        <w:rPr/>
        <w:t>“</w:t>
      </w:r>
      <w:r>
        <w:rPr>
          <w:rFonts w:ascii="Times New Roman" w:hAnsi="Times New Roman"/>
          <w:i/>
          <w:sz w:val="20"/>
        </w:rPr>
        <w:t xml:space="preserve">Service Relationship” </w:t>
      </w:r>
      <w:r>
        <w:rPr>
          <w:rFonts w:ascii="Times New Roman" w:hAnsi="Times New Roman"/>
          <w:sz w:val="20"/>
        </w:rPr>
        <w:t xml:space="preserve">means any relationship as an employee, director or Consultant of the Company or any Affiliate. Unless otherwise set forth in the applicable Award Agreement, a Service Relationship shall be deemed to continue without interruption in the event the grantee’s status changes from full-time employee to part-time employee, director or Consultant or vice versa, provided that there is no interruption or other termination of Service Relationship in connection with the grantee’s change in capacity. </w:t>
      </w:r>
    </w:p>
    <w:p>
      <w:pPr>
        <w:pStyle w:val="TextBody"/>
        <w:bidi w:val="0"/>
        <w:spacing w:before="240" w:after="0"/>
        <w:jc w:val="left"/>
        <w:rPr/>
      </w:pPr>
      <w:r>
        <w:rPr/>
        <w:t>“</w:t>
      </w:r>
      <w:r>
        <w:rPr>
          <w:rFonts w:ascii="Times New Roman" w:hAnsi="Times New Roman"/>
          <w:i/>
          <w:sz w:val="20"/>
        </w:rPr>
        <w:t>Stock”</w:t>
      </w:r>
      <w:r>
        <w:rPr>
          <w:rFonts w:ascii="Times New Roman" w:hAnsi="Times New Roman"/>
          <w:sz w:val="20"/>
        </w:rPr>
        <w:t xml:space="preserve"> means the Common Stock, par value $0.001 per share, of the Company, subject to adjustments pursuant to Section 3. </w:t>
      </w:r>
    </w:p>
    <w:p>
      <w:pPr>
        <w:pStyle w:val="TextBody"/>
        <w:bidi w:val="0"/>
        <w:spacing w:before="240" w:after="0"/>
        <w:jc w:val="left"/>
        <w:rPr/>
      </w:pPr>
      <w:r>
        <w:rPr/>
        <w:t>“</w:t>
      </w:r>
      <w:r>
        <w:rPr>
          <w:rFonts w:ascii="Times New Roman" w:hAnsi="Times New Roman"/>
          <w:i/>
          <w:sz w:val="20"/>
        </w:rPr>
        <w:t>Stock Appreciation Right”</w:t>
      </w:r>
      <w:r>
        <w:rPr>
          <w:rFonts w:ascii="Times New Roman" w:hAnsi="Times New Roman"/>
          <w:sz w:val="20"/>
        </w:rPr>
        <w:t xml:space="preserve"> means an Award entitling the recipient to receive shares of Stock (or cash, to the extent explicitly provided for in the applicable Award Agreement) granted pursuant to Section 6.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any corporation or other entity (other than the Company) in which the Company has at least a 50% interest, either directly or indirectly. </w:t>
      </w:r>
    </w:p>
    <w:p>
      <w:pPr>
        <w:pStyle w:val="TextBody"/>
        <w:bidi w:val="0"/>
        <w:spacing w:before="240" w:after="0"/>
        <w:jc w:val="left"/>
        <w:rPr/>
      </w:pPr>
      <w:r>
        <w:rPr/>
        <w:t>“</w:t>
      </w:r>
      <w:r>
        <w:rPr>
          <w:rFonts w:ascii="Times New Roman" w:hAnsi="Times New Roman"/>
          <w:i/>
          <w:sz w:val="20"/>
        </w:rPr>
        <w:t>Ten Percent Owner”</w:t>
      </w:r>
      <w:r>
        <w:rPr>
          <w:rFonts w:ascii="Times New Roman" w:hAnsi="Times New Roman"/>
          <w:sz w:val="20"/>
        </w:rPr>
        <w:t xml:space="preserve"> means an employee who owns or is deemed to own (by reason of the attribution rules of Section 424(d) of the Code) more than 10% of the combined voting power of all classes of stock of the Company or any parent or subsidiary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Unrestricted Stock Award”</w:t>
      </w:r>
      <w:r>
        <w:rPr>
          <w:rFonts w:ascii="Times New Roman" w:hAnsi="Times New Roman"/>
          <w:sz w:val="20"/>
        </w:rPr>
        <w:t xml:space="preserve"> means an Award of shares of Stock free of any restrictions granted pursuant to Section 9.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ADMINISTRATION OF PLAN; ADMINISTRATOR AUTHORITY TO SELECT GRANTEES AND DETERMINE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Administration of Plan</w:t>
      </w:r>
      <w:r>
        <w:rPr>
          <w:rFonts w:ascii="Times New Roman" w:hAnsi="Times New Roman"/>
          <w:sz w:val="20"/>
        </w:rPr>
        <w:t xml:space="preserve">. The Plan shall be administered by the Administrator.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Powers of Administrator</w:t>
      </w:r>
      <w:r>
        <w:rPr>
          <w:rFonts w:ascii="Times New Roman" w:hAnsi="Times New Roman"/>
          <w:sz w:val="20"/>
        </w:rPr>
        <w:t xml:space="preserve">. The Administrator shall have the power and authority to grant Awards consistent with the terms of the Plan, including the power and authority: </w:t>
      </w:r>
    </w:p>
    <w:p>
      <w:pPr>
        <w:pStyle w:val="TextBody"/>
        <w:bidi w:val="0"/>
        <w:spacing w:before="120" w:after="0"/>
        <w:jc w:val="left"/>
        <w:rPr>
          <w:rFonts w:ascii="Times New Roman" w:hAnsi="Times New Roman"/>
          <w:sz w:val="20"/>
        </w:rPr>
      </w:pPr>
      <w:r>
        <w:rPr>
          <w:rFonts w:ascii="Times New Roman" w:hAnsi="Times New Roman"/>
          <w:sz w:val="20"/>
        </w:rPr>
        <w:t xml:space="preserve">(i) to select the individuals to whom Awards may from time to time be granted; </w:t>
      </w:r>
    </w:p>
    <w:p>
      <w:pPr>
        <w:pStyle w:val="TextBody"/>
        <w:bidi w:val="0"/>
        <w:spacing w:before="120" w:after="0"/>
        <w:jc w:val="left"/>
        <w:rPr>
          <w:rFonts w:ascii="Times New Roman" w:hAnsi="Times New Roman"/>
          <w:sz w:val="20"/>
        </w:rPr>
      </w:pPr>
      <w:r>
        <w:rPr>
          <w:rFonts w:ascii="Times New Roman" w:hAnsi="Times New Roman"/>
          <w:sz w:val="20"/>
        </w:rPr>
        <w:t xml:space="preserve">(ii) 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 </w:t>
      </w:r>
    </w:p>
    <w:p>
      <w:pPr>
        <w:pStyle w:val="TextBody"/>
        <w:bidi w:val="0"/>
        <w:spacing w:before="120" w:after="0"/>
        <w:jc w:val="left"/>
        <w:rPr>
          <w:rFonts w:ascii="Times New Roman" w:hAnsi="Times New Roman"/>
          <w:sz w:val="20"/>
        </w:rPr>
      </w:pPr>
      <w:r>
        <w:rPr>
          <w:rFonts w:ascii="Times New Roman" w:hAnsi="Times New Roman"/>
          <w:sz w:val="20"/>
        </w:rPr>
        <w:t xml:space="preserve">(iii) to determine the number of shares of Stock to be covered by any Award; </w:t>
      </w:r>
    </w:p>
    <w:p>
      <w:pPr>
        <w:pStyle w:val="TextBody"/>
        <w:bidi w:val="0"/>
        <w:spacing w:before="120" w:after="0"/>
        <w:jc w:val="left"/>
        <w:rPr>
          <w:rFonts w:ascii="Times New Roman" w:hAnsi="Times New Roman"/>
          <w:sz w:val="20"/>
        </w:rPr>
      </w:pPr>
      <w:r>
        <w:rPr>
          <w:rFonts w:ascii="Times New Roman" w:hAnsi="Times New Roman"/>
          <w:sz w:val="20"/>
        </w:rPr>
        <w:t xml:space="preserve">(iv) to determine and modify from time to time the terms and conditions, including restrictions, not inconsistent with the terms of the Plan, of any Award, which terms and conditions may differ among individual Awards and grantees, and to approve the forms of Award Agreements; </w:t>
      </w:r>
    </w:p>
    <w:p>
      <w:pPr>
        <w:pStyle w:val="TextBody"/>
        <w:bidi w:val="0"/>
        <w:spacing w:before="120" w:after="0"/>
        <w:jc w:val="left"/>
        <w:rPr>
          <w:rFonts w:ascii="Times New Roman" w:hAnsi="Times New Roman"/>
          <w:sz w:val="20"/>
        </w:rPr>
      </w:pPr>
      <w:r>
        <w:rPr>
          <w:rFonts w:ascii="Times New Roman" w:hAnsi="Times New Roman"/>
          <w:sz w:val="20"/>
        </w:rPr>
        <w:t xml:space="preserve">(v) to accelerate at any time the exercisability or vesting of all or any portion of any Award; </w:t>
      </w:r>
    </w:p>
    <w:p>
      <w:pPr>
        <w:pStyle w:val="TextBody"/>
        <w:bidi w:val="0"/>
        <w:spacing w:before="120" w:after="0"/>
        <w:jc w:val="left"/>
        <w:rPr>
          <w:rFonts w:ascii="Times New Roman" w:hAnsi="Times New Roman"/>
          <w:sz w:val="20"/>
        </w:rPr>
      </w:pPr>
      <w:r>
        <w:rPr>
          <w:rFonts w:ascii="Times New Roman" w:hAnsi="Times New Roman"/>
          <w:sz w:val="20"/>
        </w:rPr>
        <w:t xml:space="preserve">(vi) subject to the provisions of Section 5(c) or Section 6(d), as applicable, to extend at any time the period in which Stock Options and Stock Appreciation Rights may be exercised; </w:t>
      </w:r>
    </w:p>
    <w:p>
      <w:pPr>
        <w:pStyle w:val="TextBody"/>
        <w:bidi w:val="0"/>
        <w:spacing w:before="120" w:after="0"/>
        <w:jc w:val="left"/>
        <w:rPr>
          <w:rFonts w:ascii="Times New Roman" w:hAnsi="Times New Roman"/>
          <w:sz w:val="20"/>
        </w:rPr>
      </w:pPr>
      <w:r>
        <w:rPr>
          <w:rFonts w:ascii="Times New Roman" w:hAnsi="Times New Roman"/>
          <w:sz w:val="20"/>
        </w:rPr>
        <w:t xml:space="preserve">(vii) at any time to adopt, alter and repeal such rules, guidelines and practices for administration of the Plan and for its own acts and proceedings as it deems advisable; </w:t>
      </w:r>
    </w:p>
    <w:p>
      <w:pPr>
        <w:pStyle w:val="TextBody"/>
        <w:bidi w:val="0"/>
        <w:spacing w:before="120" w:after="0"/>
        <w:jc w:val="left"/>
        <w:rPr>
          <w:rFonts w:ascii="Times New Roman" w:hAnsi="Times New Roman"/>
          <w:sz w:val="20"/>
        </w:rPr>
      </w:pPr>
      <w:r>
        <w:rPr>
          <w:rFonts w:ascii="Times New Roman" w:hAnsi="Times New Roman"/>
          <w:sz w:val="20"/>
        </w:rPr>
        <w:t xml:space="preserve">(viii) to interpret the terms and provisions of the Plan and any Award (including related written and electronic instruments); </w:t>
      </w:r>
    </w:p>
    <w:p>
      <w:pPr>
        <w:pStyle w:val="TextBody"/>
        <w:bidi w:val="0"/>
        <w:spacing w:before="120" w:after="0"/>
        <w:jc w:val="left"/>
        <w:rPr>
          <w:rFonts w:ascii="Times New Roman" w:hAnsi="Times New Roman"/>
          <w:sz w:val="20"/>
        </w:rPr>
      </w:pPr>
      <w:r>
        <w:rPr>
          <w:rFonts w:ascii="Times New Roman" w:hAnsi="Times New Roman"/>
          <w:sz w:val="20"/>
        </w:rPr>
        <w:t xml:space="preserve">(ix) to make all determinations it deems advisable for the administration of the Plan; </w:t>
      </w:r>
    </w:p>
    <w:p>
      <w:pPr>
        <w:pStyle w:val="TextBody"/>
        <w:bidi w:val="0"/>
        <w:spacing w:before="120" w:after="0"/>
        <w:jc w:val="left"/>
        <w:rPr>
          <w:rFonts w:ascii="Times New Roman" w:hAnsi="Times New Roman"/>
          <w:sz w:val="20"/>
        </w:rPr>
      </w:pPr>
      <w:r>
        <w:rPr>
          <w:rFonts w:ascii="Times New Roman" w:hAnsi="Times New Roman"/>
          <w:sz w:val="20"/>
        </w:rPr>
        <w:t xml:space="preserve">(x) to decide all disputes arising in connection with the Plan; and </w:t>
      </w:r>
    </w:p>
    <w:p>
      <w:pPr>
        <w:pStyle w:val="TextBody"/>
        <w:bidi w:val="0"/>
        <w:spacing w:before="120" w:after="0"/>
        <w:jc w:val="left"/>
        <w:rPr>
          <w:rFonts w:ascii="Times New Roman" w:hAnsi="Times New Roman"/>
          <w:sz w:val="20"/>
        </w:rPr>
      </w:pPr>
      <w:r>
        <w:rPr>
          <w:rFonts w:ascii="Times New Roman" w:hAnsi="Times New Roman"/>
          <w:sz w:val="20"/>
        </w:rPr>
        <w:t xml:space="preserve">(xi) to otherwise supervise the administration of the Plan. </w:t>
      </w:r>
    </w:p>
    <w:p>
      <w:pPr>
        <w:pStyle w:val="TextBody"/>
        <w:bidi w:val="0"/>
        <w:spacing w:before="240" w:after="0"/>
        <w:jc w:val="left"/>
        <w:rPr>
          <w:rFonts w:ascii="Times New Roman" w:hAnsi="Times New Roman"/>
          <w:sz w:val="20"/>
        </w:rPr>
      </w:pPr>
      <w:r>
        <w:rPr>
          <w:rFonts w:ascii="Times New Roman" w:hAnsi="Times New Roman"/>
          <w:sz w:val="20"/>
        </w:rPr>
        <w:t xml:space="preserve">All decisions and interpretations of the Administrator shall be binding on all persons, including the Company, Affiliates and Plan grantees.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Delegation of Authority to Grant Awards</w:t>
      </w:r>
      <w:r>
        <w:rPr>
          <w:rFonts w:ascii="Times New Roman" w:hAnsi="Times New Roman"/>
          <w:sz w:val="20"/>
        </w:rPr>
        <w:t xml:space="preserve">. Subject to applicable law, the Administrator, in its discretion, may delegate to a subcommittee comprised of one or more members of the Board or committee comprised of one or more officers of the Company, including the Chief Executive Officer of the Company, all or part of the Administrator’s authority and duties with respect to the granting of Awards to individuals who are not (i) subject to the reporting and other provisions of Section 16 of the Exchange Act and (ii) members of the delegated subcommittee or committee. Any such delegation by the Administrator shall include a time period for the delegation and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 and limits and guidelines in effect at the time of the prior action.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Award Agreement</w:t>
      </w:r>
      <w:r>
        <w:rPr>
          <w:rFonts w:ascii="Times New Roman" w:hAnsi="Times New Roman"/>
          <w:sz w:val="20"/>
        </w:rPr>
        <w:t xml:space="preserve">. Other than with respect to Cash-Based Awards, Awards under the Plan shall be evidenced by Award Agreements that set forth the terms, conditions and limitations for each Award, which may include, without limitation, the term of an Award and the provisions applicable in the event employment or service terminates.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Indemnification</w:t>
      </w:r>
      <w:r>
        <w:rPr>
          <w:rFonts w:ascii="Times New Roman" w:hAnsi="Times New Roman"/>
          <w:sz w:val="20"/>
        </w:rPr>
        <w:t xml:space="preserve">.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that may be in effect from time to time and/or any indemnification agreement between such individual and the Company.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Non-U.S. Award Recipients</w:t>
      </w:r>
      <w:r>
        <w:rPr>
          <w:rFonts w:ascii="Times New Roman" w:hAnsi="Times New Roman"/>
          <w:sz w:val="20"/>
        </w:rPr>
        <w:t xml:space="preserve">. Notwithstanding any provision of the Plan to the contrary, in order to comply, or facilitate compliance, with the laws in other countries in which the Company and its Affiliates operate or have employees or other individuals eligible for Awards, the Administrator, in its sole discretion, shall have the power and authority to: (i) determine which Affiliates are covered by the Plan; (ii) determine which individuals outside the United States are eligible to participate in the Plan; (iii) modify the terms and conditions of any Award granted to individuals outside the United States to comply, or facilitate compliance, with applicable non-U.S. laws; (iv) establish subplans and modify exercise procedures and other terms and procedures, to the extent the Administrator determines such actions to be necessary or advisable (and such subplans and/or modifications shall be incorporated into and made part of this Plan); provided, however, that no such subplans and/or modifications shall increase the share limitations contained in Section 3(a) hereof; and (v) take any action, before or after an Award is made, that the Administrator determines to be necessary or advisable to obtain approval or comply, or facilitate compliance,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STOCK ISSUABLE UNDER THE PLAN; MERGERS; SUBSTITUTION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Issuable</w:t>
      </w:r>
      <w:r>
        <w:rPr>
          <w:rFonts w:ascii="Times New Roman" w:hAnsi="Times New Roman"/>
          <w:sz w:val="20"/>
        </w:rPr>
        <w:t>. The maximum number of shares of Stock reserved and available for issuance under the Plan shall be the lesser of (x) 10% of the number of fully diluted shares of the Company outstanding immediately following the Effective Time (as defined in the Merger Agreement) and (y) 7,594,528 shares (the “</w:t>
      </w:r>
      <w:r>
        <w:rPr>
          <w:rFonts w:ascii="Times New Roman" w:hAnsi="Times New Roman"/>
          <w:i/>
          <w:sz w:val="20"/>
        </w:rPr>
        <w:t>Initial Limit</w:t>
      </w:r>
      <w:r>
        <w:rPr>
          <w:rFonts w:ascii="Times New Roman" w:hAnsi="Times New Roman"/>
          <w:sz w:val="20"/>
        </w:rPr>
        <w:t>”), subject to adjustment as provided in Section 3(b) plus, on January 1, 2027 and each January 1 thereafter, the number of shares of Stock reserved and available for issuance under the Plan shall be automatically cumulatively increased by (i) 5% of the number of Outstanding Shares on the immediately preceding December 31 or (ii) such lesser number of shares of Stock as determined by the Administrator (the “</w:t>
      </w:r>
      <w:r>
        <w:rPr>
          <w:rFonts w:ascii="Times New Roman" w:hAnsi="Times New Roman"/>
          <w:i/>
          <w:sz w:val="20"/>
        </w:rPr>
        <w:t>Annual Increase</w:t>
      </w:r>
      <w:r>
        <w:rPr>
          <w:rFonts w:ascii="Times New Roman" w:hAnsi="Times New Roman"/>
          <w:sz w:val="20"/>
        </w:rPr>
        <w:t xml:space="preserve">”). Subject to such overall limitation, the maximum aggregate number of shares of Stock that may be issued in the form of Incentive Stock Options shall not exceed the Initial Limit, as cumulatively increased on January 1, 2027 and each January 1 thereafter by the lesser of the Annual Increase for such year or the Initial Limit, subject in all cases to adjustment as provided in Section 3(b). For purposes of these limitations, the shares of Stock underlying any awards under the Plan or the Prior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 Awards that may be settled solely in cash shall not be counted against the share 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Changes in Stock</w:t>
      </w:r>
      <w:r>
        <w:rPr>
          <w:rFonts w:ascii="Times New Roman" w:hAnsi="Times New Roman"/>
          <w:sz w:val="20"/>
        </w:rPr>
        <w:t xml:space="preserve">. Subject to Section 3(c)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consolidation or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Mergers and Other Transactions</w:t>
      </w:r>
      <w:r>
        <w:rPr>
          <w:rFonts w:ascii="Times New Roman" w:hAnsi="Times New Roman"/>
          <w:sz w:val="20"/>
        </w:rPr>
        <w:t xml:space="preserve">.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Agreement,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Agreement.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(after taking into account any acceleration hereunder)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after taking into account any acceleration hereunder) held by such grantee. The Company shall also have the option, in its sole discretion, to make or provide for a payment, in cash or in kind, to the grantees holding other Awards, in exchange for the cancellation thereof, in an amount equal to the Sale Price multiplied by the number of vested shares of Stock under such Awards (after taking into account any acceleration hereunder).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Maximum Awards to Non-Employee Directors</w:t>
      </w:r>
      <w:r>
        <w:rPr>
          <w:rFonts w:ascii="Times New Roman" w:hAnsi="Times New Roman"/>
          <w:sz w:val="20"/>
        </w:rPr>
        <w:t xml:space="preserve">. Notwithstanding anything to the contrary in this Plan, the value of all Awards awarded under this Plan and all other cash compensation paid by the Company to any Non-Employee Director in any calendar year for services as a Non-Employee Director shall not exceed $750,000; provided, however, that such amount shall be $1,000,000 for the calendar year in which the applicable Non-Employee Director is initially elected or appointed to the Board. For the purpose of these limitations, the value of any Award shall be its grant date fair value, as determined in accordance with FASB ASC Topic 718 or successor provision but excluding the impact of estimated forfeitures related to service-based vesting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Substitute Awards</w:t>
      </w:r>
      <w:r>
        <w:rPr>
          <w:rFonts w:ascii="Times New Roman" w:hAnsi="Times New Roman"/>
          <w:sz w:val="20"/>
        </w:rPr>
        <w:t xml:space="preserve">. The Administrator may grant Awards under the Plan in substitution for shares and share-based awards held by employees, directors or consultants of another corporation in connection with the merger or consolidation of the employing corporation with the Company or a Subsidiary or the acquisition by the Company or a Subsidiary of property or shares of the employing corporation. The Administrator may direct that the substitute Awards be granted on such terms and conditions as the Administrator considers appropriate in the circumstances. To the extent permitted by applicable law, any substitute Awards granted under the Plan shall not count against the share limitations set forth in Section 3(a).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ELIGIBILITY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Grantees under the Plan will be such employees, Non-Employee Directors or Consultants of the Company and its Affiliates as are selected from time to time by the Administrator in its sole discretion; provided that Awards may not be granted to employees, Non-Employee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STOCK OPTIONS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Award of Stock Options</w:t>
      </w:r>
      <w:r>
        <w:rPr>
          <w:rFonts w:ascii="Times New Roman" w:hAnsi="Times New Roman"/>
          <w:sz w:val="20"/>
        </w:rPr>
        <w:t xml:space="preserve">. The Administrator may grant Stock Options under the Plan. Any Stock Option granted under the Plan shall be in such form as the Administrator may from time to time approve. </w:t>
      </w:r>
    </w:p>
    <w:p>
      <w:pPr>
        <w:pStyle w:val="TextBody"/>
        <w:bidi w:val="0"/>
        <w:spacing w:before="240" w:after="0"/>
        <w:jc w:val="left"/>
        <w:rPr>
          <w:rFonts w:ascii="Times New Roman" w:hAnsi="Times New Roman"/>
          <w:sz w:val="20"/>
        </w:rPr>
      </w:pPr>
      <w:r>
        <w:rPr>
          <w:rFonts w:ascii="Times New Roman" w:hAnsi="Times New Roman"/>
          <w:sz w:val="20"/>
        </w:rPr>
        <w:t xml:space="preserve">Stock Options granted under the Plan may be either Incentive Stock Options or Non-Qualified Stock Options. Incentive Stock Options may be granted only to employees of the Company, any “parent corporation” within the meaning of Section 424(e) of the Code or any Subsidiary that is a “subsidiary corporation” within the meaning of Section 424(f) of the Code. To the extent that any Option does not qualify as an Incentive Stock Option, it shall be deemed a Non-Qualified Stock Option. </w:t>
      </w:r>
    </w:p>
    <w:p>
      <w:pPr>
        <w:pStyle w:val="TextBody"/>
        <w:bidi w:val="0"/>
        <w:spacing w:before="240" w:after="0"/>
        <w:jc w:val="left"/>
        <w:rPr>
          <w:rFonts w:ascii="Times New Roman" w:hAnsi="Times New Roman"/>
          <w:sz w:val="20"/>
        </w:rPr>
      </w:pPr>
      <w:r>
        <w:rPr>
          <w:rFonts w:ascii="Times New Roman" w:hAnsi="Times New Roman"/>
          <w:sz w:val="20"/>
        </w:rPr>
        <w:t xml:space="preserve">Stock Options shall be subject to the following terms and conditions and shall contain such additional terms and conditions, not inconsistent with the terms of the Plan, as the Administrator deems desirable. If the Administrator so determines, Stock Options may be granted in lieu of cash compensation at the optionee’s election, subject to such terms and conditions as the Administrator may establish.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Exercise Price</w:t>
      </w:r>
      <w:r>
        <w:rPr>
          <w:rFonts w:ascii="Times New Roman" w:hAnsi="Times New Roman"/>
          <w:sz w:val="20"/>
        </w:rPr>
        <w:t xml:space="preserve">. The exercise price per share for the Stock covered by a Stock Option shall be determined by the Administrator at the time of grant but shall not be less than 100% of the Fair Market Value on the date of grant. In the case of an Incentive Stock Option that is granted to a Ten Percent Owner, the exercise price of such Incentive Stock Option shall be not less than 110% of the Fair Market Value on the grant date. Notwithstanding the foregoing, Stock Options may be granted with an exercise price per share that is less than 100% of the Fair Market Value on the date of grant (i) pursuant to a transaction described in, and in a manner consistent with, Section 424(a) of the Code, (ii) to individuals who are not subject to U.S. income tax on the date of grant or (iii) if the Stock Option is otherwise exempt from or compliant with Section 409A.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Option Term</w:t>
      </w:r>
      <w:r>
        <w:rPr>
          <w:rFonts w:ascii="Times New Roman" w:hAnsi="Times New Roman"/>
          <w:sz w:val="20"/>
        </w:rPr>
        <w:t xml:space="preserve">.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Exercisability; Rights of a Stockholder</w:t>
      </w:r>
      <w:r>
        <w:rPr>
          <w:rFonts w:ascii="Times New Roman" w:hAnsi="Times New Roman"/>
          <w:sz w:val="20"/>
        </w:rPr>
        <w:t xml:space="preserve">. Stock Options shall become exercisable at such time or times, whether or not in installments, as determined by the Administrator at or after the grant date. An optionee shall have the rights of a stockholder only as to shares acquired upon the exercise of a Stock Option and not as to unexercised Stock Options.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Method of Exercise</w:t>
      </w:r>
      <w:r>
        <w:rPr>
          <w:rFonts w:ascii="Times New Roman" w:hAnsi="Times New Roman"/>
          <w:sz w:val="20"/>
        </w:rPr>
        <w:t xml:space="preserve">. Stock Options may be exercised in whole or in part, by giving written or electronic notice of exercise to the Company, specifying the number of shares to be purchased. Payment of the exercise price may be made by one or more of the following methods except to the extent otherwise provided in the Award Agreement: </w:t>
      </w:r>
    </w:p>
    <w:p>
      <w:pPr>
        <w:pStyle w:val="TextBody"/>
        <w:bidi w:val="0"/>
        <w:spacing w:before="120" w:after="0"/>
        <w:jc w:val="left"/>
        <w:rPr>
          <w:rFonts w:ascii="Times New Roman" w:hAnsi="Times New Roman"/>
          <w:sz w:val="20"/>
        </w:rPr>
      </w:pPr>
      <w:r>
        <w:rPr>
          <w:rFonts w:ascii="Times New Roman" w:hAnsi="Times New Roman"/>
          <w:sz w:val="20"/>
        </w:rPr>
        <w:t xml:space="preserve">(i) In cash, by certified or bank check or other instrument acceptable to the Administrator; </w:t>
      </w:r>
    </w:p>
    <w:p>
      <w:pPr>
        <w:pStyle w:val="TextBody"/>
        <w:bidi w:val="0"/>
        <w:spacing w:before="120" w:after="0"/>
        <w:jc w:val="left"/>
        <w:rPr>
          <w:rFonts w:ascii="Times New Roman" w:hAnsi="Times New Roman"/>
          <w:sz w:val="20"/>
        </w:rPr>
      </w:pPr>
      <w:r>
        <w:rPr>
          <w:rFonts w:ascii="Times New Roman" w:hAnsi="Times New Roman"/>
          <w:sz w:val="20"/>
        </w:rPr>
        <w:t xml:space="preserve">(ii) Through the delivery (or attestation to the ownership following such procedures as the Company may prescribe) of shares of Stock that are not then subject to restrictions under any Company plan. Such surrendered shares shall be valued at Fair Market Value on the exercise date; </w:t>
      </w:r>
    </w:p>
    <w:p>
      <w:pPr>
        <w:pStyle w:val="TextBody"/>
        <w:bidi w:val="0"/>
        <w:spacing w:before="120" w:after="0"/>
        <w:jc w:val="left"/>
        <w:rPr>
          <w:rFonts w:ascii="Times New Roman" w:hAnsi="Times New Roman"/>
          <w:sz w:val="20"/>
        </w:rPr>
      </w:pPr>
      <w:r>
        <w:rPr>
          <w:rFonts w:ascii="Times New Roman" w:hAnsi="Times New Roman"/>
          <w:sz w:val="20"/>
        </w:rPr>
        <w:t xml:space="preserve">(iii) By the optionee delivering to the Company a properly executed exercise notice together with irrevocable instructions to a broker to promptly deliver to the Company cash or a check payable and acceptable to the Company for the exercise price; provided that in the event the optionee chooses to pay the exercise price as so provided, the optionee and the broker shall comply with such procedures and enter into such agreements of indemnity and other agreements as the Company may prescribe as a condition of such payment procedure; or </w:t>
      </w:r>
    </w:p>
    <w:p>
      <w:pPr>
        <w:pStyle w:val="TextBody"/>
        <w:bidi w:val="0"/>
        <w:spacing w:before="120" w:after="0"/>
        <w:jc w:val="left"/>
        <w:rPr>
          <w:rFonts w:ascii="Times New Roman" w:hAnsi="Times New Roman"/>
          <w:sz w:val="20"/>
        </w:rPr>
      </w:pPr>
      <w:r>
        <w:rPr>
          <w:rFonts w:ascii="Times New Roman" w:hAnsi="Times New Roman"/>
          <w:sz w:val="20"/>
        </w:rPr>
        <w:t xml:space="preserve">(iv) 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 </w:t>
      </w:r>
    </w:p>
    <w:p>
      <w:pPr>
        <w:pStyle w:val="TextBody"/>
        <w:bidi w:val="0"/>
        <w:spacing w:before="240" w:after="0"/>
        <w:jc w:val="left"/>
        <w:rPr>
          <w:rFonts w:ascii="Times New Roman" w:hAnsi="Times New Roman"/>
          <w:sz w:val="20"/>
        </w:rPr>
      </w:pPr>
      <w:r>
        <w:rPr>
          <w:rFonts w:ascii="Times New Roman" w:hAnsi="Times New Roman"/>
          <w:sz w:val="20"/>
        </w:rPr>
        <w:t xml:space="preserve">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the optionee’s stead in accordance with the provisions of the Stock Option) by the Company of the full exercise price for such shares and the fulfillment of any other requirements contained in the Award Agreement or applicable provisions of laws (including the satisfaction of any withholding taxes that the Company or an Affiliate is obligated to withhold with respect to the optionee). In the event an optionee chooses to pay the exercise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response, then the paperless exercise of Stock Options may be permitted through the use of such an automated system.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Annual Limit on Incentive Stock Options</w:t>
      </w:r>
      <w:r>
        <w:rPr>
          <w:rFonts w:ascii="Times New Roman" w:hAnsi="Times New Roman"/>
          <w:sz w:val="20"/>
        </w:rPr>
        <w:t xml:space="preserve">.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be a Non-Qualified Stock Option.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STOCK APPRECIATION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Award of Stock Appreciation Rights</w:t>
      </w:r>
      <w:r>
        <w:rPr>
          <w:rFonts w:ascii="Times New Roman" w:hAnsi="Times New Roman"/>
          <w:sz w:val="20"/>
        </w:rPr>
        <w:t xml:space="preserve">. The Administrator may grant Stock Appreciation Rights under the Plan. A Stock Appreciation Right is an Award entitling the recipient to receive shares of Stock (or cash, to the extent explicitly provided for in the applicable Award Agreement) having a value equal to the excess of the Fair Market Value of a share of Stock on the date of exercise over the exercise price of the Stock Appreciation Right multiplied by the number of shares of Stock with respect to which the Stock Appreciation Right is exercised.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Exercise Price of Stock Appreciation Rights</w:t>
      </w:r>
      <w:r>
        <w:rPr>
          <w:rFonts w:ascii="Times New Roman" w:hAnsi="Times New Roman"/>
          <w:sz w:val="20"/>
        </w:rPr>
        <w:t xml:space="preserve">. The exercise price of a Stock Appreciation Right shall not be less than 100% of the Fair Market Value of the Stock on the date of grant. Notwithstanding the foregoing, Stock Appreciation Rights may be granted with an exercise price per share that is less than 100% of the Fair Market Value on the date of grant (i) pursuant to a transaction described in, and in a manner consistent with, Section 424(a) of the Code, (ii) to individuals who are not subject to U.S. income tax on the date of grant or (iii) if the Stock Appreciation Right is otherwise exempt from or compliant with Section 409A.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Grant and Exercise of Stock Appreciation Rights</w:t>
      </w:r>
      <w:r>
        <w:rPr>
          <w:rFonts w:ascii="Times New Roman" w:hAnsi="Times New Roman"/>
          <w:sz w:val="20"/>
        </w:rPr>
        <w:t xml:space="preserve">. Stock Appreciation Rights may be granted by the Administrator independently of any Stock Option granted pursuant to the Plan.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Terms and Conditions of Stock Appreciation Rights</w:t>
      </w:r>
      <w:r>
        <w:rPr>
          <w:rFonts w:ascii="Times New Roman" w:hAnsi="Times New Roman"/>
          <w:sz w:val="20"/>
        </w:rPr>
        <w:t xml:space="preserve">. Stock Appreciation Rights shall be subject to such terms and conditions as determined by the Administrator on or after the date of grant. The term of a Stock Appreciation Right may not exceed ten years.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RESTRICTED STOCK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Nature of Restricted Stock Awards</w:t>
      </w:r>
      <w:r>
        <w:rPr>
          <w:rFonts w:ascii="Times New Roman" w:hAnsi="Times New Roman"/>
          <w:sz w:val="20"/>
        </w:rPr>
        <w:t xml:space="preserve">. The Administrator may grant Restricted Stock Awards under the Plan. A Restricted Stock Award is any Award of Restricted Shares subject to such restrictions and conditions as the Administrator determines at or after the time of grant.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Rights as a Stockholder</w:t>
      </w:r>
      <w:r>
        <w:rPr>
          <w:rFonts w:ascii="Times New Roman" w:hAnsi="Times New Roman"/>
          <w:sz w:val="20"/>
        </w:rPr>
        <w:t xml:space="preserve">. Upon the grant of a Restricted Stock Award and payment of any applicable purchase price, if any, a grantee shall have the rights of a stockholder with respect to the voting of the Restricted Shares and receipt of dividends; provided that any dividends paid by the Company during the vesting period shall accrue and shall not be paid to the grantee until and to the extent the Restricted Stock Award vests. Unless the Administrator determines otherwise, (i) uncertificated Restricted Shares shall be accompanied by a notation on the records of the Company or the transfer agent to the effect that they are subject to forfeiture until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Restrictions</w:t>
      </w:r>
      <w:r>
        <w:rPr>
          <w:rFonts w:ascii="Times New Roman" w:hAnsi="Times New Roman"/>
          <w:sz w:val="20"/>
        </w:rPr>
        <w:t xml:space="preserve">. Restricted Shares may not be sold, assigned, transferred, pledged or otherwise encumbered or disposed of except as specifically provided herein or in the Award Agreement. Except as otherwise provided by the Administrator either in the Award Agreement or, subject to Section 16 below, in writing after the Award is issued, if a grantee’s Service Relationship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the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Vesting of Restricted Shares</w:t>
      </w:r>
      <w:r>
        <w:rPr>
          <w:rFonts w:ascii="Times New Roman" w:hAnsi="Times New Roman"/>
          <w:sz w:val="20"/>
        </w:rPr>
        <w:t xml:space="preserve">. The Administrator at or after the time of grant shall specify the date or dates and/or the attainment of pre-established performance goals, objectives or other conditions on which the non-transferability of the Restricted Shares and the Company’s right of repurchase or forfeiture shall lapse. Subsequent to such date or dates and/or the attainment of such pre-established performance goals, objectives or other conditions, the shares on which all restrictions have lapsed shall no longer be Restricted Shares and shall be deemed “vested.”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RESTRICTED STOCK 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Nature of Restricted Stock Units</w:t>
      </w:r>
      <w:r>
        <w:rPr>
          <w:rFonts w:ascii="Times New Roman" w:hAnsi="Times New Roman"/>
          <w:sz w:val="20"/>
        </w:rPr>
        <w:t xml:space="preserve">. The Administrator may grant Restricted Stock Units under the Plan. A Restricted Stock Unit is an Award of stock units that may be settled in shares of Stock (or cash, to the extent explicitly provided for in the Award Agreement) upon the satisfaction of such restrictions and conditions as the Administrator determines at or after the time of grant. Except in the case of Restricted Stock Units with a deferred settlement date that complies with Section 409A, at the end of the vesting period, Restricted Stock Units, to the extent vested, shall be settled in the form of shares of Stock (or cash, to the extent explicitly provided for in the Award Agreement). Restricted Stock Units with deferred settlement dates granted to U.S. taxpayers are subject to Section 409A and shall contain such additional terms and conditions as the Administrator may determine in its sole discretion in order to comply with the requirements of Section 409A.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Election to Receive Restricted Stock Units in Lieu of Compensation</w:t>
      </w:r>
      <w:r>
        <w:rPr>
          <w:rFonts w:ascii="Times New Roman" w:hAnsi="Times New Roman"/>
          <w:sz w:val="20"/>
        </w:rPr>
        <w:t xml:space="preserve">.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if applicable, in accordance with Section 409A and such other rules and procedures established by the Administrator. Any such future cash compensation that the grantee elects to defer will be converted to a fixed number of Restricted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Agreement.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Rights as a Stockholder</w:t>
      </w:r>
      <w:r>
        <w:rPr>
          <w:rFonts w:ascii="Times New Roman" w:hAnsi="Times New Roman"/>
          <w:sz w:val="20"/>
        </w:rPr>
        <w:t xml:space="preserve">. A grantee shall have the rights as a stockholder only as to shares of Stock acquired by the grantee upon settlement of Restricted Stock Units; provided, however, that the grantee may be credited with Dividend Equivalent Rights with respect to the stock units underlying the grantee’s Restricted Stock Units, subject to the provisions of Section 11 and such terms and conditions as the Administrator may determine.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Termination</w:t>
      </w:r>
      <w:r>
        <w:rPr>
          <w:rFonts w:ascii="Times New Roman" w:hAnsi="Times New Roman"/>
          <w:sz w:val="20"/>
        </w:rPr>
        <w:t xml:space="preserve">. Except as otherwise provided by the Administrator either in the Award Agreement or, subject to Section 16 below, in writing after the Award is issued, a grantee’s right in all Restricted Stock Units that have not vested shall automatically terminate upon the termination of the grantee’s Service Relationship for any reason.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UNRESTRICTED STOCK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u w:val="single"/>
        </w:rPr>
        <w:t>Grant or Sale of Unrestricted Stock</w:t>
      </w:r>
      <w:r>
        <w:rPr>
          <w:rFonts w:ascii="Times New Roman" w:hAnsi="Times New Roman"/>
          <w:sz w:val="20"/>
        </w:rPr>
        <w:t xml:space="preserve">. The Administrator may grant (or sell at par value or such higher purchase price determined by the Administrator) Unrestricted Stock Awards under the Plan. An Unrestricted Stock Award is an Award pursuant to which the grantee receives shares of Stock free of any restrictions under the Plan. Unrestricted Stock Awards may be granted in respect of past services or other valid consideration, or in lieu of cash compensation due to such grantee.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CASH-BASED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u w:val="single"/>
        </w:rPr>
        <w:t>Grant of Cash-Based Awards</w:t>
      </w:r>
      <w:r>
        <w:rPr>
          <w:rFonts w:ascii="Times New Roman" w:hAnsi="Times New Roman"/>
          <w:sz w:val="20"/>
        </w:rPr>
        <w:t xml:space="preserve">.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becomes vested or payable and such other provisions as the Administrator determines. Each Cash-Based Award shall specify a cash-denominated payment amount, formula or payment ranges as determined by the Administrator. Payment, if any, with respect to a Cash-Based Award shall be made in accordance with the terms of the Award and may be made in cash.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DIVIDEND EQUIVALENT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Dividend Equivalent Rights</w:t>
      </w:r>
      <w:r>
        <w:rPr>
          <w:rFonts w:ascii="Times New Roman" w:hAnsi="Times New Roman"/>
          <w:sz w:val="20"/>
        </w:rPr>
        <w:t xml:space="preserve">.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Agreement. Dividend equivalents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be settled only upon settlement or payment of, or lapse of restrictions on, such other Award, and such Dividend Equivalent Right shall expire or be forfeited or annulled under the same conditions as such other Award.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w:t>
      </w:r>
      <w:r>
        <w:rPr>
          <w:rFonts w:ascii="Times New Roman" w:hAnsi="Times New Roman"/>
          <w:sz w:val="20"/>
        </w:rPr>
        <w:t xml:space="preserve">. Except as may otherwise be provided by the Administrator either in the Award Agreement or, subject to Section 16 below, in writing after the Award is issued, a grantee’s rights in all Dividend Equivalent Rights shall automatically terminate upon the termination of the grantee’s Service Relationship for any reason.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TRANSFERABILITY OF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Transferability</w:t>
      </w:r>
      <w:r>
        <w:rPr>
          <w:rFonts w:ascii="Times New Roman" w:hAnsi="Times New Roman"/>
          <w:sz w:val="20"/>
        </w:rPr>
        <w:t xml:space="preserve">. Except as provided in Section 12(b) below, during a grantee’s lifetime, such grantee’s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Administrator Action</w:t>
      </w:r>
      <w:r>
        <w:rPr>
          <w:rFonts w:ascii="Times New Roman" w:hAnsi="Times New Roman"/>
          <w:sz w:val="20"/>
        </w:rPr>
        <w:t xml:space="preserve">. Notwithstanding Section 12(a), the Administrator, in its discretion, may provide either in the Award Agreement regarding a given Award or by subsequent written approval that the grantee (who is an employee or director) may transfer such grantee’s Non-Qualified Stock Options to such grantee’s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Family Member</w:t>
      </w:r>
      <w:r>
        <w:rPr>
          <w:rFonts w:ascii="Times New Roman" w:hAnsi="Times New Roman"/>
          <w:sz w:val="20"/>
        </w:rPr>
        <w:t xml:space="preserve">. For purposes of Section 12(b), “family member” means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of the beneficial interest, a foundation in which these persons (or the grantee) control the management of assets and any other entity in which these persons (or the grantee) own more than 50% of the voting interests.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TAX WITHHOLDING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 by Grantee</w:t>
      </w:r>
      <w:r>
        <w:rPr>
          <w:rFonts w:ascii="Times New Roman" w:hAnsi="Times New Roman"/>
          <w:sz w:val="20"/>
        </w:rPr>
        <w:t xml:space="preserve">. Each grantee shall, no later than the date as of which the value of an Award or of any Stock or other amount received thereunder first becomes includable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gross income of the grantee for income tax purposes, pay to the Company, or make arrangements satisfactory to the Administrator regarding payment of, any federal, state or local taxes, and non-U.S. or other taxes, of any kind required by law to be withheld by the Company or its Affiliates with respect to such income. The Company and its Affiliates shall, to the extent permitted by law, have the right to deduct any such taxes from any payment of any kind otherwise due to the grantee or to satisfy any applicable withholding obligations by any other method of withholding that the Company or its Affiliates deem appropriate. The Company’s obligation to deliver evidence of book entry (or stock certificates) to any grantee is subject to and conditioned on tax withholding obligations being satisfied by the grantee.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in Stock</w:t>
      </w:r>
      <w:r>
        <w:rPr>
          <w:rFonts w:ascii="Times New Roman" w:hAnsi="Times New Roman"/>
          <w:sz w:val="20"/>
        </w:rPr>
        <w:t xml:space="preserve">. The Administrator may require the Company’s or Affiliate’s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or Affiliate’s tax withholding obligation to be satisfied, in whole or in part, by an arrangement whereby a certain number of shares of Stock issued pursuant to any Award are immediately sold and proceeds from such sale are remitted to the Company or Affiliate in an amount that would satisfy the withholding amount due.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SECTION 409A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w:t>
      </w:r>
      <w:r>
        <w:rPr>
          <w:rFonts w:ascii="Times New Roman" w:hAnsi="Times New Roman"/>
          <w:i/>
          <w:sz w:val="20"/>
        </w:rPr>
        <w:t>409A Award</w:t>
      </w:r>
      <w:r>
        <w:rPr>
          <w:rFonts w:ascii="Times New Roman" w:hAnsi="Times New Roman"/>
          <w:sz w:val="20"/>
        </w:rPr>
        <w:t xml:space="preserve">”),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 The Company makes no representation that any or all of the payments or benefits described in the Plan will be exempt from or comply with Section 409A and makes no undertaking to preclude Section 409A from applying to any such payment. The grantee shall be solely responsible for the payment of any taxes and penalties incurred under Section 409A.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TERMINATION OF SERVICE RELATIONSHIP, TRANSFER, LEAVE OF ABSENCE,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Termination of Service Relationship</w:t>
      </w:r>
      <w:r>
        <w:rPr>
          <w:rFonts w:ascii="Times New Roman" w:hAnsi="Times New Roman"/>
          <w:sz w:val="20"/>
        </w:rPr>
        <w:t xml:space="preserve">. If the grantee’s Service Relationship is with an Affiliate and such Affiliate ceases to be an Affiliate, the grantee shall be deemed to have terminated such grantee’s Service Relationship for purposes of the Plan. </w:t>
      </w:r>
    </w:p>
    <w:p>
      <w:pPr>
        <w:pStyle w:val="TextBody"/>
        <w:bidi w:val="0"/>
        <w:spacing w:before="120" w:after="0"/>
        <w:jc w:val="left"/>
        <w:rPr>
          <w:rFonts w:ascii="Times New Roman" w:hAnsi="Times New Roman"/>
          <w:sz w:val="20"/>
        </w:rPr>
      </w:pPr>
      <w:r>
        <w:rPr>
          <w:rFonts w:ascii="Times New Roman" w:hAnsi="Times New Roman"/>
          <w:sz w:val="20"/>
        </w:rPr>
        <w:t xml:space="preserve">(b) For purposes of the Plan, the following events shall not be deemed a termination of a Service Relationship: </w:t>
      </w:r>
    </w:p>
    <w:p>
      <w:pPr>
        <w:pStyle w:val="TextBody"/>
        <w:bidi w:val="0"/>
        <w:spacing w:before="120" w:after="0"/>
        <w:jc w:val="left"/>
        <w:rPr>
          <w:rFonts w:ascii="Times New Roman" w:hAnsi="Times New Roman"/>
          <w:sz w:val="20"/>
        </w:rPr>
      </w:pPr>
      <w:r>
        <w:rPr>
          <w:rFonts w:ascii="Times New Roman" w:hAnsi="Times New Roman"/>
          <w:sz w:val="20"/>
        </w:rPr>
        <w:t xml:space="preserve">(i) a transfer to the service of the Company from an Affiliate or from the Company to an Affiliate, or from one Affiliate to another; or </w:t>
      </w:r>
    </w:p>
    <w:p>
      <w:pPr>
        <w:pStyle w:val="TextBody"/>
        <w:bidi w:val="0"/>
        <w:spacing w:before="120" w:after="0"/>
        <w:jc w:val="left"/>
        <w:rPr>
          <w:rFonts w:ascii="Times New Roman" w:hAnsi="Times New Roman"/>
          <w:sz w:val="20"/>
        </w:rPr>
      </w:pPr>
      <w:r>
        <w:rPr>
          <w:rFonts w:ascii="Times New Roman" w:hAnsi="Times New Roman"/>
          <w:sz w:val="20"/>
        </w:rPr>
        <w:t xml:space="preserve">(ii) an approved leave of absence for military service or sickness, or for any other purpose approved by the Company or its Affiliate, as the case may be, if the employee’s right to re-employment is guaranteed either by a statute or by contract or under the policy pursuant to which the leave of absence was granted or if the Administrator otherwise so provides in writing; or </w:t>
      </w:r>
    </w:p>
    <w:p>
      <w:pPr>
        <w:pStyle w:val="TextBody"/>
        <w:bidi w:val="0"/>
        <w:spacing w:before="120" w:after="0"/>
        <w:jc w:val="left"/>
        <w:rPr>
          <w:rFonts w:ascii="Times New Roman" w:hAnsi="Times New Roman"/>
          <w:sz w:val="20"/>
        </w:rPr>
      </w:pPr>
      <w:r>
        <w:rPr>
          <w:rFonts w:ascii="Times New Roman" w:hAnsi="Times New Roman"/>
          <w:sz w:val="20"/>
        </w:rPr>
        <w:t xml:space="preserve">(iii) the transfer in status from one eligibility category under Section 4 hereof to another category. </w:t>
      </w:r>
    </w:p>
    <w:p>
      <w:pPr>
        <w:pStyle w:val="TextBody"/>
        <w:bidi w:val="0"/>
        <w:spacing w:before="120" w:after="0"/>
        <w:jc w:val="left"/>
        <w:rPr>
          <w:rFonts w:ascii="Times New Roman" w:hAnsi="Times New Roman"/>
          <w:sz w:val="20"/>
        </w:rPr>
      </w:pPr>
      <w:r>
        <w:rPr>
          <w:rFonts w:ascii="Times New Roman" w:hAnsi="Times New Roman"/>
          <w:sz w:val="20"/>
        </w:rPr>
        <w:t xml:space="preserve">(c) In the event a grantee’s regular level of time commitment in the performance of such grantee’s services for the Company and its Affiliates is reduced (including, without limitation, if the grantee has a change in status from a full-time employee to a part-time employee or transitions from an employee to a director or Consultant) or if the grantee takes an extended leave of absence, in either case, after the date of grant of any Award to the grantee, the Administrator may, in its sole discretion and to the extent permitted by applicable law: (x) reduce the number of shares subject to any portion of such Award that is scheduled to vest or become payable after the date of such change in time commitment or status or during or after any such leave of absence and (y) in lieu of or in combination with such a reduction and to the extent permitted by Section 409A, extend the vesting or payment schedule applicable to such Award. In the event of any such reduction, the grantee will not have any rights with respect to any portion of the Award that is so reduced.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AMENDMENTS AND 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The Administrator is specifically authorized to exercise its discretion to reduce the exercise price of outstanding Stock Options or Stock Appreciation Rights or effect the repricing of such Awards through cancellation and re-grants or cancellation in exchange for cash or other Awards without stockholder approval. To the extent determined by the Administrator to be required under the rules of any securities exchange or market system on which the Stock is listed or by the Code to ensure that Incentive Stock Options granted under the Plan are qualified under Section 422 of the Code, Plan amendments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approval by Company stockholders. Nothing in this Section 16 shall limit the Administrator’s authority to take any action permitted pursuant to Section 3(b) or 3(c).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STATUS OF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portion of any Award that has not been exercised or settled and any payments in cash, Stock or other consideration not received by a grantee, a grantee shall have no rights greater than those of a general creditor of the Company unless the Administrator otherwise expressly determines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GENERAL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Distribution</w:t>
      </w:r>
      <w:r>
        <w:rPr>
          <w:rFonts w:ascii="Times New Roman" w:hAnsi="Times New Roman"/>
          <w:sz w:val="20"/>
        </w:rPr>
        <w:t xml:space="preserve">. The Administrator may require each person acquiring Stock pursuant to an Award to represent to and agree with the Company in writing that such person is acquiring the shares without a view to distribution thereof.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Issuance of Stock</w:t>
      </w:r>
      <w:r>
        <w:rPr>
          <w:rFonts w:ascii="Times New Roman" w:hAnsi="Times New Roman"/>
          <w:sz w:val="20"/>
        </w:rPr>
        <w:t xml:space="preserve">. To the extent certificated, stock certificates to grantees under this Plan shall be deemed delivered for all purposes when the Company or a stock transfer agent of the Company has mailed such certificates in the United States mail, addressed to the grantee, at the grantee’s last known address on file with the Company or any Affiliate. Uncertificated Stock shall be deemed delivered for all purposes when the Company or a Stock transfer agent of the Company has given to the grantee by electronic mail (with proof of receipt) or by United States mail, addressed to the grantee, at the grantee’s last known address on file with the Company or any Affiliate,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systems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Fractional Shares</w:t>
      </w:r>
      <w:r>
        <w:rPr>
          <w:rFonts w:ascii="Times New Roman" w:hAnsi="Times New Roman"/>
          <w:sz w:val="20"/>
        </w:rPr>
        <w:t xml:space="preserve">. No fractional shares of Stock shall be issued or delivered pursuant to the Plan or any Award, and the Administrator shall determine whether cash, other securities or other property shall be paid or transferred in lieu of any fractional shares, or whether such fractional shares or any rights thereto shall be cancelled, terminated or otherwise eliminated.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Stockholder Rights</w:t>
      </w:r>
      <w:r>
        <w:rPr>
          <w:rFonts w:ascii="Times New Roman" w:hAnsi="Times New Roman"/>
          <w:sz w:val="20"/>
        </w:rPr>
        <w:t xml:space="preserve">. Until Stock is deemed delivered in accordance with Section 18(b), no right to vote or receive dividends or any other rights of a stockholder will exist with respect to shares of Stock to be issued in connection with an Award, notwithstanding the exercise of a Stock Option or Stock Appreciation Right or any other action by the grantee with respect to an Award.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Other Compensation Arrangements; No Rights to Continued Service Relationship</w:t>
      </w:r>
      <w:r>
        <w:rPr>
          <w:rFonts w:ascii="Times New Roman" w:hAnsi="Times New Roman"/>
          <w:sz w:val="20"/>
        </w:rPr>
        <w:t xml:space="preserve">.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grantee any right to continued employment or other Service Relationship with the Company or any Affiliate.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Trading Policy Restrictions</w:t>
      </w:r>
      <w:r>
        <w:rPr>
          <w:rFonts w:ascii="Times New Roman" w:hAnsi="Times New Roman"/>
          <w:sz w:val="20"/>
        </w:rPr>
        <w:t xml:space="preserve">. Awards under the Plan are subject to the Company’s insider trading policies and procedures, as in effect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Clawback Policy</w:t>
      </w:r>
      <w:r>
        <w:rPr>
          <w:rFonts w:ascii="Times New Roman" w:hAnsi="Times New Roman"/>
          <w:sz w:val="20"/>
        </w:rPr>
        <w:t xml:space="preserve">. A grantee’s rights with respect to any Award hereunder shall in all events be subject to reduction, cancellation, forfeiture or recoupment to the extent necessary to comply with (i) any right that the Company may have under any Company clawback, forfeiture or recoupment policy as in effect from time to time or other agreement or arrangement with a grantee or (ii)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EFFECTIVE DATE OF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Plan shall become effective upon the date immediately preceding the Closing Date following stockholder approval in accordance with applicable state law, the Company’s bylaws and articles of incorporation and applicable stock exchange rules. No grants of Awards may be made hereunder after the tenth anniversary of the Effective Date and no grants of Incentive Stock Options may be made hereunder after the tenth anniversary of the date the Plan is approved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20.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internal laws of the Commonwealth of Massachusetts applied without regard to conflict of law principles. </w:t>
      </w:r>
    </w:p>
    <w:p>
      <w:pPr>
        <w:pStyle w:val="TextBody"/>
        <w:bidi w:val="0"/>
        <w:spacing w:before="240" w:after="0"/>
        <w:jc w:val="left"/>
        <w:rPr>
          <w:rFonts w:ascii="Times New Roman" w:hAnsi="Times New Roman"/>
          <w:sz w:val="20"/>
        </w:rPr>
      </w:pPr>
      <w:r>
        <w:rPr>
          <w:rFonts w:ascii="Times New Roman" w:hAnsi="Times New Roman"/>
          <w:sz w:val="20"/>
        </w:rPr>
        <w:t xml:space="preserve">DATE APPROVED BY BOARD OF DIRECTORS: June 30, 2026 </w:t>
      </w:r>
    </w:p>
    <w:p>
      <w:pPr>
        <w:pStyle w:val="TextBody"/>
        <w:bidi w:val="0"/>
        <w:spacing w:before="240" w:after="0"/>
        <w:jc w:val="left"/>
        <w:rPr>
          <w:rFonts w:ascii="Times New Roman" w:hAnsi="Times New Roman"/>
          <w:sz w:val="20"/>
        </w:rPr>
      </w:pPr>
      <w:r>
        <w:rPr>
          <w:rFonts w:ascii="Times New Roman" w:hAnsi="Times New Roman"/>
          <w:sz w:val="20"/>
        </w:rPr>
        <w:t xml:space="preserve">DATE APPROVED BY STOCKHOLDERS: June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INCENTIVE STOCK OPTION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OBSIDIAN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EQUITY INCENTIVE PLAN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91"/>
        <w:gridCol w:w="120"/>
        <w:gridCol w:w="7694"/>
      </w:tblGrid>
      <w:tr>
        <w:trPr/>
        <w:tc>
          <w:tcPr>
            <w:tcW w:w="239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94" w:type="dxa"/>
            <w:tcBorders/>
            <w:vAlign w:val="center"/>
          </w:tcPr>
          <w:p>
            <w:pPr>
              <w:pStyle w:val="TableContents"/>
              <w:bidi w:val="0"/>
              <w:spacing w:before="0" w:after="283"/>
              <w:jc w:val="left"/>
              <w:rPr>
                <w:sz w:val="4"/>
                <w:szCs w:val="4"/>
              </w:rPr>
            </w:pPr>
            <w:r>
              <w:rPr>
                <w:sz w:val="4"/>
                <w:szCs w:val="4"/>
              </w:rPr>
            </w:r>
          </w:p>
        </w:tc>
      </w:tr>
      <w:tr>
        <w:trPr/>
        <w:tc>
          <w:tcPr>
            <w:tcW w:w="2391" w:type="dxa"/>
            <w:tcBorders/>
          </w:tcPr>
          <w:p>
            <w:pPr>
              <w:pStyle w:val="TableContents"/>
              <w:bidi w:val="0"/>
              <w:spacing w:before="0" w:after="283"/>
              <w:jc w:val="left"/>
              <w:rPr/>
            </w:pPr>
            <w:r>
              <w:rPr/>
              <w:t>Name of Optionee:</w:t>
            </w:r>
          </w:p>
        </w:tc>
        <w:tc>
          <w:tcPr>
            <w:tcW w:w="120" w:type="dxa"/>
            <w:tcBorders/>
            <w:vAlign w:val="bottom"/>
          </w:tcPr>
          <w:p>
            <w:pPr>
              <w:pStyle w:val="TableContents"/>
              <w:bidi w:val="0"/>
              <w:spacing w:before="0" w:after="283"/>
              <w:jc w:val="left"/>
              <w:rPr/>
            </w:pPr>
            <w:r>
              <w:rPr/>
              <w:t>  </w:t>
            </w:r>
          </w:p>
        </w:tc>
        <w:tc>
          <w:tcPr>
            <w:tcW w:w="7694" w:type="dxa"/>
            <w:tcBorders/>
          </w:tcPr>
          <w:p>
            <w:pPr>
              <w:pStyle w:val="TableContents"/>
              <w:bidi w:val="0"/>
              <w:spacing w:before="0" w:after="283"/>
              <w:jc w:val="left"/>
              <w:rPr>
                <w:u w:val="single"/>
              </w:rPr>
            </w:pPr>
            <w:r>
              <w:rPr>
                <w:u w:val="single"/>
              </w:rPr>
              <w:t>                  </w:t>
            </w:r>
          </w:p>
        </w:tc>
      </w:tr>
      <w:tr>
        <w:trPr>
          <w:trHeight w:val="120" w:hRule="atLeast"/>
        </w:trPr>
        <w:tc>
          <w:tcPr>
            <w:tcW w:w="2391" w:type="dxa"/>
            <w:tcBorders/>
            <w:vAlign w:val="center"/>
          </w:tcPr>
          <w:p>
            <w:pPr>
              <w:pStyle w:val="TableContents"/>
              <w:bidi w:val="0"/>
              <w:spacing w:before="0" w:after="283"/>
              <w:jc w:val="left"/>
              <w:rPr>
                <w:sz w:val="4"/>
                <w:szCs w:val="4"/>
              </w:rPr>
            </w:pPr>
            <w:r>
              <w:rPr>
                <w:sz w:val="4"/>
                <w:szCs w:val="4"/>
              </w:rPr>
            </w:r>
          </w:p>
        </w:tc>
        <w:tc>
          <w:tcPr>
            <w:tcW w:w="7814" w:type="dxa"/>
            <w:gridSpan w:val="2"/>
            <w:tcBorders/>
            <w:vAlign w:val="center"/>
          </w:tcPr>
          <w:p>
            <w:pPr>
              <w:pStyle w:val="TableContents"/>
              <w:bidi w:val="0"/>
              <w:spacing w:before="0" w:after="283"/>
              <w:jc w:val="left"/>
              <w:rPr>
                <w:sz w:val="4"/>
                <w:szCs w:val="4"/>
              </w:rPr>
            </w:pPr>
            <w:r>
              <w:rPr>
                <w:sz w:val="4"/>
                <w:szCs w:val="4"/>
              </w:rPr>
            </w:r>
          </w:p>
        </w:tc>
      </w:tr>
      <w:tr>
        <w:trPr/>
        <w:tc>
          <w:tcPr>
            <w:tcW w:w="2391" w:type="dxa"/>
            <w:tcBorders/>
          </w:tcPr>
          <w:p>
            <w:pPr>
              <w:pStyle w:val="TableContents"/>
              <w:bidi w:val="0"/>
              <w:spacing w:before="0" w:after="283"/>
              <w:jc w:val="left"/>
              <w:rPr/>
            </w:pPr>
            <w:r>
              <w:rPr/>
              <w:t>No. of Option Shares:</w:t>
            </w:r>
          </w:p>
        </w:tc>
        <w:tc>
          <w:tcPr>
            <w:tcW w:w="120" w:type="dxa"/>
            <w:tcBorders/>
            <w:vAlign w:val="bottom"/>
          </w:tcPr>
          <w:p>
            <w:pPr>
              <w:pStyle w:val="TableContents"/>
              <w:bidi w:val="0"/>
              <w:spacing w:before="0" w:after="283"/>
              <w:jc w:val="left"/>
              <w:rPr/>
            </w:pPr>
            <w:r>
              <w:rPr/>
              <w:t>  </w:t>
            </w:r>
          </w:p>
        </w:tc>
        <w:tc>
          <w:tcPr>
            <w:tcW w:w="7694" w:type="dxa"/>
            <w:tcBorders/>
          </w:tcPr>
          <w:p>
            <w:pPr>
              <w:pStyle w:val="TableContents"/>
              <w:bidi w:val="0"/>
              <w:spacing w:before="0" w:after="283"/>
              <w:jc w:val="left"/>
              <w:rPr>
                <w:u w:val="single"/>
              </w:rPr>
            </w:pPr>
            <w:r>
              <w:rPr>
                <w:u w:val="single"/>
              </w:rPr>
              <w:t>       </w:t>
            </w:r>
          </w:p>
        </w:tc>
      </w:tr>
      <w:tr>
        <w:trPr>
          <w:trHeight w:val="120" w:hRule="atLeast"/>
        </w:trPr>
        <w:tc>
          <w:tcPr>
            <w:tcW w:w="2391" w:type="dxa"/>
            <w:tcBorders/>
            <w:vAlign w:val="center"/>
          </w:tcPr>
          <w:p>
            <w:pPr>
              <w:pStyle w:val="TableContents"/>
              <w:bidi w:val="0"/>
              <w:spacing w:before="0" w:after="283"/>
              <w:jc w:val="left"/>
              <w:rPr>
                <w:sz w:val="4"/>
                <w:szCs w:val="4"/>
              </w:rPr>
            </w:pPr>
            <w:r>
              <w:rPr>
                <w:sz w:val="4"/>
                <w:szCs w:val="4"/>
              </w:rPr>
            </w:r>
          </w:p>
        </w:tc>
        <w:tc>
          <w:tcPr>
            <w:tcW w:w="7814" w:type="dxa"/>
            <w:gridSpan w:val="2"/>
            <w:tcBorders/>
            <w:vAlign w:val="center"/>
          </w:tcPr>
          <w:p>
            <w:pPr>
              <w:pStyle w:val="TableContents"/>
              <w:bidi w:val="0"/>
              <w:spacing w:before="0" w:after="283"/>
              <w:jc w:val="left"/>
              <w:rPr>
                <w:sz w:val="4"/>
                <w:szCs w:val="4"/>
              </w:rPr>
            </w:pPr>
            <w:r>
              <w:rPr>
                <w:sz w:val="4"/>
                <w:szCs w:val="4"/>
              </w:rPr>
            </w:r>
          </w:p>
        </w:tc>
      </w:tr>
      <w:tr>
        <w:trPr/>
        <w:tc>
          <w:tcPr>
            <w:tcW w:w="2391" w:type="dxa"/>
            <w:tcBorders/>
          </w:tcPr>
          <w:p>
            <w:pPr>
              <w:pStyle w:val="TableContents"/>
              <w:bidi w:val="0"/>
              <w:spacing w:before="0" w:after="283"/>
              <w:jc w:val="left"/>
              <w:rPr/>
            </w:pPr>
            <w:r>
              <w:rPr/>
              <w:t>Option Exercise Price per Share:</w:t>
            </w:r>
          </w:p>
        </w:tc>
        <w:tc>
          <w:tcPr>
            <w:tcW w:w="120" w:type="dxa"/>
            <w:tcBorders/>
            <w:vAlign w:val="bottom"/>
          </w:tcPr>
          <w:p>
            <w:pPr>
              <w:pStyle w:val="TableContents"/>
              <w:bidi w:val="0"/>
              <w:spacing w:before="0" w:after="283"/>
              <w:jc w:val="left"/>
              <w:rPr/>
            </w:pPr>
            <w:r>
              <w:rPr/>
              <w:t>  </w:t>
            </w:r>
          </w:p>
        </w:tc>
        <w:tc>
          <w:tcPr>
            <w:tcW w:w="7694" w:type="dxa"/>
            <w:tcBorders/>
          </w:tcPr>
          <w:p>
            <w:pPr>
              <w:pStyle w:val="TableContents"/>
              <w:bidi w:val="0"/>
              <w:spacing w:before="0" w:after="283"/>
              <w:jc w:val="left"/>
              <w:rPr/>
            </w:pPr>
            <w:r>
              <w:rPr/>
              <w:t>$</w:t>
            </w:r>
            <w:r>
              <w:rPr>
                <w:u w:val="single"/>
              </w:rPr>
              <w:t>       </w:t>
            </w:r>
          </w:p>
        </w:tc>
      </w:tr>
      <w:tr>
        <w:trPr/>
        <w:tc>
          <w:tcPr>
            <w:tcW w:w="239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694" w:type="dxa"/>
            <w:tcBorders/>
          </w:tcPr>
          <w:p>
            <w:pPr>
              <w:pStyle w:val="TableContents"/>
              <w:bidi w:val="0"/>
              <w:spacing w:before="0" w:after="283"/>
              <w:jc w:val="left"/>
              <w:rPr>
                <w:b/>
              </w:rPr>
            </w:pPr>
            <w:r>
              <w:rPr>
                <w:b/>
              </w:rPr>
              <w:t>[FMV on Grant Date (110% of FMV if a 10% owner)]</w:t>
            </w:r>
          </w:p>
        </w:tc>
      </w:tr>
      <w:tr>
        <w:trPr>
          <w:trHeight w:val="120" w:hRule="atLeast"/>
        </w:trPr>
        <w:tc>
          <w:tcPr>
            <w:tcW w:w="2391" w:type="dxa"/>
            <w:tcBorders/>
            <w:vAlign w:val="center"/>
          </w:tcPr>
          <w:p>
            <w:pPr>
              <w:pStyle w:val="TableContents"/>
              <w:bidi w:val="0"/>
              <w:spacing w:before="0" w:after="283"/>
              <w:jc w:val="left"/>
              <w:rPr>
                <w:sz w:val="4"/>
                <w:szCs w:val="4"/>
              </w:rPr>
            </w:pPr>
            <w:r>
              <w:rPr>
                <w:sz w:val="4"/>
                <w:szCs w:val="4"/>
              </w:rPr>
            </w:r>
          </w:p>
        </w:tc>
        <w:tc>
          <w:tcPr>
            <w:tcW w:w="7814" w:type="dxa"/>
            <w:gridSpan w:val="2"/>
            <w:tcBorders/>
            <w:vAlign w:val="center"/>
          </w:tcPr>
          <w:p>
            <w:pPr>
              <w:pStyle w:val="TableContents"/>
              <w:bidi w:val="0"/>
              <w:spacing w:before="0" w:after="283"/>
              <w:jc w:val="left"/>
              <w:rPr>
                <w:sz w:val="4"/>
                <w:szCs w:val="4"/>
              </w:rPr>
            </w:pPr>
            <w:r>
              <w:rPr>
                <w:sz w:val="4"/>
                <w:szCs w:val="4"/>
              </w:rPr>
            </w:r>
          </w:p>
        </w:tc>
      </w:tr>
      <w:tr>
        <w:trPr/>
        <w:tc>
          <w:tcPr>
            <w:tcW w:w="2391" w:type="dxa"/>
            <w:tcBorders/>
          </w:tcPr>
          <w:p>
            <w:pPr>
              <w:pStyle w:val="TableContents"/>
              <w:bidi w:val="0"/>
              <w:spacing w:before="0" w:after="283"/>
              <w:jc w:val="left"/>
              <w:rPr/>
            </w:pPr>
            <w:r>
              <w:rPr/>
              <w:t>Grant Date:</w:t>
            </w:r>
          </w:p>
        </w:tc>
        <w:tc>
          <w:tcPr>
            <w:tcW w:w="120" w:type="dxa"/>
            <w:tcBorders/>
            <w:vAlign w:val="bottom"/>
          </w:tcPr>
          <w:p>
            <w:pPr>
              <w:pStyle w:val="TableContents"/>
              <w:bidi w:val="0"/>
              <w:spacing w:before="0" w:after="283"/>
              <w:jc w:val="left"/>
              <w:rPr/>
            </w:pPr>
            <w:r>
              <w:rPr/>
              <w:t>  </w:t>
            </w:r>
          </w:p>
        </w:tc>
        <w:tc>
          <w:tcPr>
            <w:tcW w:w="7694" w:type="dxa"/>
            <w:tcBorders/>
          </w:tcPr>
          <w:p>
            <w:pPr>
              <w:pStyle w:val="TableContents"/>
              <w:bidi w:val="0"/>
              <w:spacing w:before="0" w:after="283"/>
              <w:jc w:val="left"/>
              <w:rPr>
                <w:u w:val="single"/>
              </w:rPr>
            </w:pPr>
            <w:r>
              <w:rPr>
                <w:u w:val="single"/>
              </w:rPr>
              <w:t>       </w:t>
            </w:r>
          </w:p>
        </w:tc>
      </w:tr>
      <w:tr>
        <w:trPr>
          <w:trHeight w:val="120" w:hRule="atLeast"/>
        </w:trPr>
        <w:tc>
          <w:tcPr>
            <w:tcW w:w="2391" w:type="dxa"/>
            <w:tcBorders/>
            <w:vAlign w:val="center"/>
          </w:tcPr>
          <w:p>
            <w:pPr>
              <w:pStyle w:val="TableContents"/>
              <w:bidi w:val="0"/>
              <w:spacing w:before="0" w:after="283"/>
              <w:jc w:val="left"/>
              <w:rPr>
                <w:sz w:val="4"/>
                <w:szCs w:val="4"/>
              </w:rPr>
            </w:pPr>
            <w:r>
              <w:rPr>
                <w:sz w:val="4"/>
                <w:szCs w:val="4"/>
              </w:rPr>
            </w:r>
          </w:p>
        </w:tc>
        <w:tc>
          <w:tcPr>
            <w:tcW w:w="7814" w:type="dxa"/>
            <w:gridSpan w:val="2"/>
            <w:tcBorders/>
            <w:vAlign w:val="center"/>
          </w:tcPr>
          <w:p>
            <w:pPr>
              <w:pStyle w:val="TableContents"/>
              <w:bidi w:val="0"/>
              <w:spacing w:before="0" w:after="283"/>
              <w:jc w:val="left"/>
              <w:rPr>
                <w:sz w:val="4"/>
                <w:szCs w:val="4"/>
              </w:rPr>
            </w:pPr>
            <w:r>
              <w:rPr>
                <w:sz w:val="4"/>
                <w:szCs w:val="4"/>
              </w:rPr>
            </w:r>
          </w:p>
        </w:tc>
      </w:tr>
      <w:tr>
        <w:trPr/>
        <w:tc>
          <w:tcPr>
            <w:tcW w:w="2391" w:type="dxa"/>
            <w:tcBorders/>
          </w:tcPr>
          <w:p>
            <w:pPr>
              <w:pStyle w:val="TableContents"/>
              <w:bidi w:val="0"/>
              <w:spacing w:before="0" w:after="283"/>
              <w:jc w:val="left"/>
              <w:rPr/>
            </w:pPr>
            <w:r>
              <w:rPr/>
              <w:t>Expiration Date:</w:t>
            </w:r>
          </w:p>
        </w:tc>
        <w:tc>
          <w:tcPr>
            <w:tcW w:w="120" w:type="dxa"/>
            <w:tcBorders/>
            <w:vAlign w:val="bottom"/>
          </w:tcPr>
          <w:p>
            <w:pPr>
              <w:pStyle w:val="TableContents"/>
              <w:bidi w:val="0"/>
              <w:spacing w:before="0" w:after="283"/>
              <w:jc w:val="left"/>
              <w:rPr/>
            </w:pPr>
            <w:r>
              <w:rPr/>
              <w:t>  </w:t>
            </w:r>
          </w:p>
        </w:tc>
        <w:tc>
          <w:tcPr>
            <w:tcW w:w="7694" w:type="dxa"/>
            <w:tcBorders/>
          </w:tcPr>
          <w:p>
            <w:pPr>
              <w:pStyle w:val="TableContents"/>
              <w:bidi w:val="0"/>
              <w:spacing w:before="0" w:after="283"/>
              <w:jc w:val="left"/>
              <w:rPr>
                <w:u w:val="single"/>
              </w:rPr>
            </w:pPr>
            <w:r>
              <w:rPr>
                <w:u w:val="single"/>
              </w:rPr>
              <w:t>       </w:t>
            </w:r>
          </w:p>
        </w:tc>
      </w:tr>
      <w:tr>
        <w:trPr/>
        <w:tc>
          <w:tcPr>
            <w:tcW w:w="239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694" w:type="dxa"/>
            <w:tcBorders/>
          </w:tcPr>
          <w:p>
            <w:pPr>
              <w:pStyle w:val="TableContents"/>
              <w:bidi w:val="0"/>
              <w:spacing w:before="0" w:after="283"/>
              <w:jc w:val="left"/>
              <w:rPr>
                <w:b/>
              </w:rPr>
            </w:pPr>
            <w:r>
              <w:rPr>
                <w:b/>
              </w:rPr>
              <w:t>[No more than 10 years (5 years if a 10% owner)]</w:t>
            </w:r>
          </w:p>
        </w:tc>
      </w:tr>
    </w:tbl>
    <w:p>
      <w:pPr>
        <w:pStyle w:val="TextBody"/>
        <w:bidi w:val="0"/>
        <w:spacing w:before="240" w:after="0"/>
        <w:jc w:val="left"/>
        <w:rPr>
          <w:rFonts w:ascii="Times New Roman" w:hAnsi="Times New Roman"/>
          <w:sz w:val="20"/>
        </w:rPr>
      </w:pPr>
      <w:r>
        <w:rPr>
          <w:rFonts w:ascii="Times New Roman" w:hAnsi="Times New Roman"/>
          <w:sz w:val="20"/>
        </w:rPr>
        <w:t>Pursuant to the Obsidian Therapeutics, Inc. 2026 Equity Incentive Plan, as amended through the date hereof (the “</w:t>
      </w:r>
      <w:r>
        <w:rPr>
          <w:rFonts w:ascii="Times New Roman" w:hAnsi="Times New Roman"/>
          <w:i/>
          <w:sz w:val="20"/>
        </w:rPr>
        <w:t>Plan</w:t>
      </w:r>
      <w:r>
        <w:rPr>
          <w:rFonts w:ascii="Times New Roman" w:hAnsi="Times New Roman"/>
          <w:sz w:val="20"/>
        </w:rPr>
        <w:t>”), Obsidian Therapeutics, Inc. (the “</w:t>
      </w:r>
      <w:r>
        <w:rPr>
          <w:rFonts w:ascii="Times New Roman" w:hAnsi="Times New Roman"/>
          <w:i/>
          <w:sz w:val="20"/>
        </w:rPr>
        <w:t>Company</w:t>
      </w:r>
      <w:r>
        <w:rPr>
          <w:rFonts w:ascii="Times New Roman" w:hAnsi="Times New Roman"/>
          <w:sz w:val="20"/>
        </w:rPr>
        <w:t>”) hereby grants to the Optionee named above an option (the “</w:t>
      </w:r>
      <w:r>
        <w:rPr>
          <w:rFonts w:ascii="Times New Roman" w:hAnsi="Times New Roman"/>
          <w:i/>
          <w:sz w:val="20"/>
        </w:rPr>
        <w:t>Stock Option</w:t>
      </w:r>
      <w:r>
        <w:rPr>
          <w:rFonts w:ascii="Times New Roman" w:hAnsi="Times New Roman"/>
          <w:sz w:val="20"/>
        </w:rPr>
        <w:t>”) to purchase on or prior to the Expiration Date specified above all or part of the number of shares of the Company’s Common Stock, par value $0.001 per share (the “</w:t>
      </w:r>
      <w:r>
        <w:rPr>
          <w:rFonts w:ascii="Times New Roman" w:hAnsi="Times New Roman"/>
          <w:i/>
          <w:sz w:val="20"/>
        </w:rPr>
        <w:t>Shares</w:t>
      </w:r>
      <w:r>
        <w:rPr>
          <w:rFonts w:ascii="Times New Roman" w:hAnsi="Times New Roman"/>
          <w:sz w:val="20"/>
        </w:rPr>
        <w:t xml:space="preserve">”), specified above at the Option Exercise Price per Share specified above subject to the terms and conditions set forth herein and in the Plan.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Exercisability Schedule</w:t>
      </w:r>
      <w:r>
        <w:rPr>
          <w:rFonts w:ascii="Times New Roman" w:hAnsi="Times New Roman"/>
          <w:sz w:val="20"/>
        </w:rPr>
        <w:t xml:space="preserve">. No portion of this Stock Option may be exercised until such portion has become exercisable. Except as set forth below, and subject to the discretion of the Administrator to accelerate the exercisability schedule hereunder, this Stock Option shall be exercisable with respect to the following number of Option Shares on the dates indicated below so long as the Optionee remains in a Service Relationship through the applicable date: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40"/>
        <w:gridCol w:w="309"/>
        <w:gridCol w:w="85"/>
        <w:gridCol w:w="1742"/>
        <w:gridCol w:w="63"/>
      </w:tblGrid>
      <w:tr>
        <w:trPr/>
        <w:tc>
          <w:tcPr>
            <w:tcW w:w="474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74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Incremental Number of</w:t>
            </w:r>
          </w:p>
          <w:p>
            <w:pPr>
              <w:pStyle w:val="TableContents"/>
              <w:pBdr>
                <w:bottom w:val="single" w:sz="8" w:space="1" w:color="000000"/>
              </w:pBdr>
              <w:bidi w:val="0"/>
              <w:spacing w:before="0" w:after="20"/>
              <w:jc w:val="left"/>
              <w:rPr>
                <w:rFonts w:ascii="Times New Roman" w:hAnsi="Times New Roman"/>
                <w:sz w:val="16"/>
              </w:rPr>
            </w:pPr>
            <w:r>
              <w:rPr>
                <w:rFonts w:ascii="Times New Roman" w:hAnsi="Times New Roman"/>
                <w:sz w:val="16"/>
              </w:rPr>
              <w:t>Option Shares Exercisable</w:t>
            </w:r>
          </w:p>
        </w:tc>
        <w:tc>
          <w:tcPr>
            <w:tcW w:w="309" w:type="dxa"/>
            <w:tcBorders/>
            <w:vAlign w:val="bottom"/>
          </w:tcPr>
          <w:p>
            <w:pPr>
              <w:pStyle w:val="TableContents"/>
              <w:bidi w:val="0"/>
              <w:spacing w:before="0" w:after="283"/>
              <w:jc w:val="left"/>
              <w:rPr/>
            </w:pPr>
            <w:r>
              <w:rPr/>
              <w:t>  </w:t>
            </w:r>
          </w:p>
        </w:tc>
        <w:tc>
          <w:tcPr>
            <w:tcW w:w="1827" w:type="dxa"/>
            <w:gridSpan w:val="2"/>
            <w:tcBorders>
              <w:bottom w:val="single" w:sz="8" w:space="0" w:color="000000"/>
            </w:tcBorders>
            <w:tcMar>
              <w:bottom w:w="28" w:type="dxa"/>
            </w:tcMar>
            <w:vAlign w:val="bottom"/>
          </w:tcPr>
          <w:p>
            <w:pPr>
              <w:pStyle w:val="TableContents"/>
              <w:bidi w:val="0"/>
              <w:spacing w:before="0" w:after="283"/>
              <w:jc w:val="center"/>
              <w:rPr/>
            </w:pPr>
            <w:r>
              <w:rPr/>
              <w:t>Exercisability Date</w:t>
            </w:r>
          </w:p>
        </w:tc>
        <w:tc>
          <w:tcPr>
            <w:tcW w:w="63" w:type="dxa"/>
            <w:tcBorders/>
            <w:vAlign w:val="bottom"/>
          </w:tcPr>
          <w:p>
            <w:pPr>
              <w:pStyle w:val="TableContents"/>
              <w:bidi w:val="0"/>
              <w:spacing w:before="0" w:after="283"/>
              <w:jc w:val="left"/>
              <w:rPr/>
            </w:pPr>
            <w:r>
              <w:rPr/>
              <w:t> </w:t>
            </w:r>
          </w:p>
        </w:tc>
      </w:tr>
      <w:tr>
        <w:trPr/>
        <w:tc>
          <w:tcPr>
            <w:tcW w:w="4740" w:type="dxa"/>
            <w:tcBorders/>
            <w:shd w:fill="CCEEFF" w:val="clear"/>
            <w:vAlign w:val="bottom"/>
          </w:tcPr>
          <w:p>
            <w:pPr>
              <w:pStyle w:val="TableContents"/>
              <w:bidi w:val="0"/>
              <w:spacing w:before="0" w:after="283"/>
              <w:jc w:val="left"/>
              <w:rPr/>
            </w:pPr>
            <w:r>
              <w:rPr/>
              <w:t>_____________ (___%)</w:t>
            </w:r>
          </w:p>
        </w:tc>
        <w:tc>
          <w:tcPr>
            <w:tcW w:w="3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742" w:type="dxa"/>
            <w:tcBorders/>
            <w:shd w:fill="CCEEFF" w:val="clear"/>
            <w:vAlign w:val="bottom"/>
          </w:tcPr>
          <w:p>
            <w:pPr>
              <w:pStyle w:val="TableContents"/>
              <w:bidi w:val="0"/>
              <w:spacing w:before="0" w:after="283"/>
              <w:jc w:val="right"/>
              <w:rPr>
                <w:u w:val="single"/>
              </w:rPr>
            </w:pPr>
            <w:r>
              <w:rPr>
                <w:u w:val="single"/>
              </w:rPr>
              <w:t>     </w:t>
            </w:r>
          </w:p>
        </w:tc>
        <w:tc>
          <w:tcPr>
            <w:tcW w:w="63" w:type="dxa"/>
            <w:tcBorders/>
            <w:shd w:fill="CCEEFF" w:val="clear"/>
            <w:vAlign w:val="bottom"/>
          </w:tcPr>
          <w:p>
            <w:pPr>
              <w:pStyle w:val="TableContents"/>
              <w:bidi w:val="0"/>
              <w:spacing w:before="0" w:after="283"/>
              <w:jc w:val="left"/>
              <w:rPr/>
            </w:pPr>
            <w:r>
              <w:rPr/>
              <w:t> </w:t>
            </w:r>
          </w:p>
        </w:tc>
      </w:tr>
      <w:tr>
        <w:trPr/>
        <w:tc>
          <w:tcPr>
            <w:tcW w:w="4740" w:type="dxa"/>
            <w:tcBorders/>
            <w:vAlign w:val="bottom"/>
          </w:tcPr>
          <w:p>
            <w:pPr>
              <w:pStyle w:val="TableContents"/>
              <w:bidi w:val="0"/>
              <w:spacing w:before="0" w:after="283"/>
              <w:jc w:val="left"/>
              <w:rPr/>
            </w:pPr>
            <w:r>
              <w:rPr/>
              <w:t>_____________ (___%)</w:t>
            </w:r>
          </w:p>
        </w:tc>
        <w:tc>
          <w:tcPr>
            <w:tcW w:w="3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742" w:type="dxa"/>
            <w:tcBorders/>
            <w:vAlign w:val="bottom"/>
          </w:tcPr>
          <w:p>
            <w:pPr>
              <w:pStyle w:val="TableContents"/>
              <w:bidi w:val="0"/>
              <w:spacing w:before="0" w:after="283"/>
              <w:jc w:val="right"/>
              <w:rPr>
                <w:u w:val="single"/>
              </w:rPr>
            </w:pPr>
            <w:r>
              <w:rPr>
                <w:u w:val="single"/>
              </w:rPr>
              <w:t>     </w:t>
            </w:r>
          </w:p>
        </w:tc>
        <w:tc>
          <w:tcPr>
            <w:tcW w:w="63" w:type="dxa"/>
            <w:tcBorders/>
            <w:vAlign w:val="bottom"/>
          </w:tcPr>
          <w:p>
            <w:pPr>
              <w:pStyle w:val="TableContents"/>
              <w:bidi w:val="0"/>
              <w:spacing w:before="0" w:after="283"/>
              <w:jc w:val="left"/>
              <w:rPr/>
            </w:pPr>
            <w:r>
              <w:rPr/>
              <w:t> </w:t>
            </w:r>
          </w:p>
        </w:tc>
      </w:tr>
      <w:tr>
        <w:trPr/>
        <w:tc>
          <w:tcPr>
            <w:tcW w:w="4740" w:type="dxa"/>
            <w:tcBorders/>
            <w:shd w:fill="CCEEFF" w:val="clear"/>
            <w:vAlign w:val="bottom"/>
          </w:tcPr>
          <w:p>
            <w:pPr>
              <w:pStyle w:val="TableContents"/>
              <w:bidi w:val="0"/>
              <w:spacing w:before="0" w:after="283"/>
              <w:jc w:val="left"/>
              <w:rPr/>
            </w:pPr>
            <w:r>
              <w:rPr/>
              <w:t>_____________ (___%)</w:t>
            </w:r>
          </w:p>
        </w:tc>
        <w:tc>
          <w:tcPr>
            <w:tcW w:w="3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742" w:type="dxa"/>
            <w:tcBorders/>
            <w:shd w:fill="CCEEFF" w:val="clear"/>
            <w:vAlign w:val="bottom"/>
          </w:tcPr>
          <w:p>
            <w:pPr>
              <w:pStyle w:val="TableContents"/>
              <w:bidi w:val="0"/>
              <w:spacing w:before="0" w:after="283"/>
              <w:jc w:val="right"/>
              <w:rPr>
                <w:u w:val="single"/>
              </w:rPr>
            </w:pPr>
            <w:r>
              <w:rPr>
                <w:u w:val="single"/>
              </w:rPr>
              <w:t>     </w:t>
            </w:r>
          </w:p>
        </w:tc>
        <w:tc>
          <w:tcPr>
            <w:tcW w:w="63" w:type="dxa"/>
            <w:tcBorders/>
            <w:shd w:fill="CCEEFF" w:val="clear"/>
            <w:vAlign w:val="bottom"/>
          </w:tcPr>
          <w:p>
            <w:pPr>
              <w:pStyle w:val="TableContents"/>
              <w:bidi w:val="0"/>
              <w:spacing w:before="0" w:after="283"/>
              <w:jc w:val="left"/>
              <w:rPr/>
            </w:pPr>
            <w:r>
              <w:rPr/>
              <w:t> </w:t>
            </w:r>
          </w:p>
        </w:tc>
      </w:tr>
      <w:tr>
        <w:trPr/>
        <w:tc>
          <w:tcPr>
            <w:tcW w:w="4740" w:type="dxa"/>
            <w:tcBorders/>
            <w:vAlign w:val="bottom"/>
          </w:tcPr>
          <w:p>
            <w:pPr>
              <w:pStyle w:val="TableContents"/>
              <w:bidi w:val="0"/>
              <w:spacing w:before="0" w:after="283"/>
              <w:jc w:val="left"/>
              <w:rPr/>
            </w:pPr>
            <w:r>
              <w:rPr/>
              <w:t>_____________ (___%)</w:t>
            </w:r>
          </w:p>
        </w:tc>
        <w:tc>
          <w:tcPr>
            <w:tcW w:w="3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742" w:type="dxa"/>
            <w:tcBorders/>
            <w:vAlign w:val="bottom"/>
          </w:tcPr>
          <w:p>
            <w:pPr>
              <w:pStyle w:val="TableContents"/>
              <w:bidi w:val="0"/>
              <w:spacing w:before="0" w:after="283"/>
              <w:jc w:val="right"/>
              <w:rPr>
                <w:u w:val="single"/>
              </w:rPr>
            </w:pPr>
            <w:r>
              <w:rPr>
                <w:u w:val="single"/>
              </w:rPr>
              <w:t>     </w:t>
            </w:r>
          </w:p>
        </w:tc>
        <w:tc>
          <w:tcPr>
            <w:tcW w:w="63" w:type="dxa"/>
            <w:tcBorders/>
            <w:vAlign w:val="bottom"/>
          </w:tcPr>
          <w:p>
            <w:pPr>
              <w:pStyle w:val="TableContents"/>
              <w:bidi w:val="0"/>
              <w:spacing w:before="0" w:after="283"/>
              <w:jc w:val="left"/>
              <w:rPr/>
            </w:pPr>
            <w:r>
              <w:rPr/>
              <w:t> </w:t>
            </w:r>
          </w:p>
        </w:tc>
      </w:tr>
      <w:tr>
        <w:trPr/>
        <w:tc>
          <w:tcPr>
            <w:tcW w:w="4740" w:type="dxa"/>
            <w:tcBorders/>
            <w:shd w:fill="CCEEFF" w:val="clear"/>
            <w:vAlign w:val="bottom"/>
          </w:tcPr>
          <w:p>
            <w:pPr>
              <w:pStyle w:val="TableContents"/>
              <w:bidi w:val="0"/>
              <w:spacing w:before="0" w:after="283"/>
              <w:jc w:val="left"/>
              <w:rPr/>
            </w:pPr>
            <w:r>
              <w:rPr/>
              <w:t>_____________ (___%)</w:t>
            </w:r>
          </w:p>
        </w:tc>
        <w:tc>
          <w:tcPr>
            <w:tcW w:w="3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742" w:type="dxa"/>
            <w:tcBorders/>
            <w:shd w:fill="CCEEFF" w:val="clear"/>
            <w:vAlign w:val="bottom"/>
          </w:tcPr>
          <w:p>
            <w:pPr>
              <w:pStyle w:val="TableContents"/>
              <w:bidi w:val="0"/>
              <w:spacing w:before="0" w:after="283"/>
              <w:jc w:val="right"/>
              <w:rPr>
                <w:u w:val="single"/>
              </w:rPr>
            </w:pPr>
            <w:r>
              <w:rPr>
                <w:u w:val="single"/>
              </w:rPr>
              <w:t>     </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Once exercisable, this Stock Option shall continue to be exercisable at any time or times prior to the close of business on the Expiration Date, subject to the provisions hereof and of the Plan.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Manner of Exercise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Optionee may exercise this Stock Option only in the following manner: from time to time on or prior to the Expiration Date of this Stock Option, the Optionee may give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written notice to the Administrator of the Optionee’s election to purchase some or all of the Option Shares purchasable at the time of such notice. This notice shall specify the number of Option Shares to be purchased.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exercise price for the Option Shares may be made by one or more of the following methods: (i) in cash, by certified or bank check or other instrument acceptable to the Administrator, (ii) through the delivery (or attestation to the ownership) of Shares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exercise price, provided that in the event the Optionee chooses to pay the option exercise price as so provided, the Optionee and the broker shall comply with such procedures and enter into such agreements of indemnity and other agreements as the Administrator may prescribe as a condition of such payment procedure or (iv) a combination of (i), (ii) and (iii) above. Payment instruments will be received subject to collection. </w:t>
      </w:r>
    </w:p>
    <w:p>
      <w:pPr>
        <w:pStyle w:val="TextBody"/>
        <w:bidi w:val="0"/>
        <w:spacing w:before="240" w:after="0"/>
        <w:jc w:val="left"/>
        <w:rPr>
          <w:rFonts w:ascii="Times New Roman" w:hAnsi="Times New Roman"/>
          <w:sz w:val="20"/>
        </w:rPr>
      </w:pPr>
      <w:r>
        <w:rPr>
          <w:rFonts w:ascii="Times New Roman" w:hAnsi="Times New Roman"/>
          <w:sz w:val="20"/>
        </w:rPr>
        <w:t xml:space="preserve">The transfer to the Optionee on the records of the Company or of the transfer agent of the Option Shares will be contingent upon (i) the Company’s receipt from the Optionee of the full exercise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Option Shares and any subsequent resale of the Option Shares will be in compliance with applicable laws and regulations. In the event the Optionee chooses to pay the exercise price by previously-owned Shares through the attestation method, the number of Shares transferred to the Optionee upon the exercise of the Stock Option shall be net of the Shares attested to. </w:t>
      </w:r>
    </w:p>
    <w:p>
      <w:pPr>
        <w:pStyle w:val="TextBody"/>
        <w:bidi w:val="0"/>
        <w:spacing w:before="120" w:after="0"/>
        <w:jc w:val="left"/>
        <w:rPr>
          <w:rFonts w:ascii="Times New Roman" w:hAnsi="Times New Roman"/>
          <w:sz w:val="20"/>
        </w:rPr>
      </w:pPr>
      <w:r>
        <w:rPr>
          <w:rFonts w:ascii="Times New Roman" w:hAnsi="Times New Roman"/>
          <w:sz w:val="20"/>
        </w:rPr>
        <w:t xml:space="preserve">(b) The Shares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Option Shares unless and until this Stock Option has been exercised pursuant to the terms hereof, the Company or the transfer agent has transferred the Option Shares to the Optionee and the Optionee’s name has been entered as the stockholder of record on the books of the Company. Thereupon, the Optionee shall have full voting, dividend and other ownership rights with respect to such Option Shares.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 other provision hereof or of the Plan, no portion of this Stock Option shall be exercisable after the Expiration Date hereof.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Termination of Service Relationship</w:t>
      </w:r>
      <w:r>
        <w:rPr>
          <w:rFonts w:ascii="Times New Roman" w:hAnsi="Times New Roman"/>
          <w:sz w:val="20"/>
        </w:rPr>
        <w:t xml:space="preserve">. If the Optionee’s Service Relationship terminates, the period within which to exercise the Stock Option may be subject to earlier termination as set forth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Termination Due to Death</w:t>
      </w:r>
      <w:r>
        <w:rPr>
          <w:rFonts w:ascii="Times New Roman" w:hAnsi="Times New Roman"/>
          <w:sz w:val="20"/>
        </w:rPr>
        <w:t xml:space="preserve">. If the Optionee’s Service Relationship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Unless otherwise determined by the Administrator, any portion of this Stock Option that is not exercisable on the date of death shall terminate immediately and be of no further force or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 Due to Disability</w:t>
      </w:r>
      <w:r>
        <w:rPr>
          <w:rFonts w:ascii="Times New Roman" w:hAnsi="Times New Roman"/>
          <w:sz w:val="20"/>
        </w:rPr>
        <w:t xml:space="preserve">. If the Optionee’s Service Relationship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of termination or until the Expiration Date, if earlier. Unless otherwise determined by the Administrator, any portion of this Stock Option that is not exercisable on the date of termination shall terminate immediately and be of no further force or effect.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Termination for Cause</w:t>
      </w:r>
      <w:r>
        <w:rPr>
          <w:rFonts w:ascii="Times New Roman" w:hAnsi="Times New Roman"/>
          <w:sz w:val="20"/>
        </w:rPr>
        <w:t>. If the Optionee’s Service Relationship is terminated by the Company or an Affiliate for Cause or the Company determines after the termination of the Optionee’s Service Relationship that Cause exists or existed, any portion of this Stock Option outstanding on such date shall terminate immediately and be of no further force and effect. For purposes hereof, “</w:t>
      </w:r>
      <w:r>
        <w:rPr>
          <w:rFonts w:ascii="Times New Roman" w:hAnsi="Times New Roman"/>
          <w:i/>
          <w:sz w:val="20"/>
        </w:rPr>
        <w:t>Cause</w:t>
      </w:r>
      <w:r>
        <w:rPr>
          <w:rFonts w:ascii="Times New Roman" w:hAnsi="Times New Roman"/>
          <w:sz w:val="20"/>
        </w:rPr>
        <w:t xml:space="preserve">” means, unless otherwise provided in an employment or other service agreement between the Company and the Optionee, a determination by the Administrator that the Optionee’s employment will be terminated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 or an Affiliate.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Other Termination</w:t>
      </w:r>
      <w:r>
        <w:rPr>
          <w:rFonts w:ascii="Times New Roman" w:hAnsi="Times New Roman"/>
          <w:sz w:val="20"/>
        </w:rPr>
        <w:t xml:space="preserve">. If the Optionee’s Service Relationship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Unless otherwise determined by the Administrator, any portion of this Stock Option that is not exercisable on the date of termination shall terminate immediately and be of no further force or effect.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Administrator’s determination of the reason for termination of the Optionee’s Service Relationship shall be conclusive and binding on the Optionee and the Optionee’s representatives or legatees.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Incorporation of Plan</w:t>
      </w:r>
      <w:r>
        <w:rPr>
          <w:rFonts w:ascii="Times New Roman" w:hAnsi="Times New Roman"/>
          <w:sz w:val="20"/>
        </w:rPr>
        <w:t xml:space="preserve">.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Transferability</w:t>
      </w:r>
      <w:r>
        <w:rPr>
          <w:rFonts w:ascii="Times New Roman" w:hAnsi="Times New Roman"/>
          <w:sz w:val="20"/>
        </w:rPr>
        <w:t xml:space="preserve">.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Status of the Stock Option</w:t>
      </w:r>
      <w:r>
        <w:rPr>
          <w:rFonts w:ascii="Times New Roman" w:hAnsi="Times New Roman"/>
          <w:sz w:val="20"/>
        </w:rPr>
        <w:t>. This Stock Option is intended to qualify as an “incentive stock option” under Section 422 of the Internal Revenue Code of 1986, as amended (the “</w:t>
      </w:r>
      <w:r>
        <w:rPr>
          <w:rFonts w:ascii="Times New Roman" w:hAnsi="Times New Roman"/>
          <w:i/>
          <w:sz w:val="20"/>
        </w:rPr>
        <w:t>Code</w:t>
      </w:r>
      <w:r>
        <w:rPr>
          <w:rFonts w:ascii="Times New Roman" w:hAnsi="Times New Roman"/>
          <w:sz w:val="20"/>
        </w:rPr>
        <w:t xml:space="preserve">”), but the Company does not represent or warrant that this Stock Option qualifies as such. The Optionee should consult with the Optionee’s own tax advisors regarding the tax effects of this Stock Option and the requirements necessary to obtain favorable income tax treatment under Section 422 of the Code, including, but not limited to, holding period requirements and that </w:t>
      </w:r>
      <w:r>
        <w:rPr>
          <w:rFonts w:ascii="Times New Roman" w:hAnsi="Times New Roman"/>
          <w:b/>
          <w:i/>
          <w:sz w:val="20"/>
        </w:rPr>
        <w:t>this Stock Option must be exercised within three months after termination of employment as an employee (or 12 months in the case of death or disability) to qualify as an “incentive stock option.</w:t>
      </w:r>
      <w:r>
        <w:rPr>
          <w:rFonts w:ascii="Times New Roman" w:hAnsi="Times New Roman"/>
          <w:sz w:val="20"/>
        </w:rPr>
        <w:t xml:space="preserve">” To the extent any portion of this Stock Option does not so qualify as an “incentive stock option,” such portion shall be deemed to be a non-qualified stock option. If the Optionee intends to dispose or does dispose (whether by sale, gift, transfer or otherwise) of any Option Shares within the one-year period beginning on the date after the transfer of such shares to the Optionee, or within the two-year period beginning on the day after the grant of this Stock Option, the Optionee will so notify the Company within 30 days after such disposition.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Tax Withholding</w:t>
      </w:r>
      <w:r>
        <w:rPr>
          <w:rFonts w:ascii="Times New Roman" w:hAnsi="Times New Roman"/>
          <w:sz w:val="20"/>
        </w:rPr>
        <w:t xml:space="preserve">. The Optionee shall, not later than the date as of which amounts with respect to this Stock Option become includable in the gross income of the Optionee for income tax purposes, pay to the Company or an Affiliate, or make arrangements satisfactory to the Administrator for payment of, any U.S. federal, state or local, and non-U.S. or other taxes of any kind required by law to be withheld by the Company or its Affiliates with respect to the Stock Option. The Administrator may require that the Company’s or Affiliate’s tax withholding obligation to be satisfied, in whole or in part, by (i) the Company withholding from Option Shares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or (ii) an arrangement whereby a certain number of Option Shares are immediately sold and proceeds from such sale are remitted to the Company or any applicable Affiliate in an amount that would satisfy the withholding amount due.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 Obligation to Continue Service Relationship</w:t>
      </w:r>
      <w:r>
        <w:rPr>
          <w:rFonts w:ascii="Times New Roman" w:hAnsi="Times New Roman"/>
          <w:sz w:val="20"/>
        </w:rPr>
        <w:t xml:space="preserve">. Neither the Company nor any Affiliate is obligated by or as a result of the Plan or this Agreement to continue the Optionee’s employment or other Service Relationship and neither the Plan nor this Agreement shall interfere in any way with the right of the Company or any Affiliate to terminate the Optionee’s employment or other Service Relationship at any time.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Integration</w:t>
      </w:r>
      <w:r>
        <w:rPr>
          <w:rFonts w:ascii="Times New Roman" w:hAnsi="Times New Roman"/>
          <w:sz w:val="20"/>
        </w:rPr>
        <w:t xml:space="preserve">. This Agreement constitutes the entire agreement between the parties with respect to this Stock Option and supersedes all prior agreements and discussions between the parties concerning such subject matter.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Data Privacy Consent</w:t>
      </w:r>
      <w:r>
        <w:rPr>
          <w:rFonts w:ascii="Times New Roman" w:hAnsi="Times New Roman"/>
          <w:sz w:val="20"/>
        </w:rPr>
        <w:t>. In order to administer the Plan and this Agreement and to implement or structure future equity grants, the Company, its Affiliates and certain agents thereof (together, the “</w:t>
      </w:r>
      <w:r>
        <w:rPr>
          <w:rFonts w:ascii="Times New Roman" w:hAnsi="Times New Roman"/>
          <w:i/>
          <w:sz w:val="20"/>
        </w:rPr>
        <w:t>Relevant Companies</w:t>
      </w:r>
      <w:r>
        <w:rPr>
          <w:rFonts w:ascii="Times New Roman" w:hAnsi="Times New Roman"/>
          <w:sz w:val="20"/>
        </w:rPr>
        <w:t xml:space="preserve">”) may process any and all personal or professional data,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 w:hAnsi="Times New Roman"/>
          <w:i/>
          <w:sz w:val="20"/>
        </w:rPr>
        <w:t>Relevant Information</w:t>
      </w:r>
      <w:r>
        <w:rPr>
          <w:rFonts w:ascii="Times New Roman" w:hAnsi="Times New Roman"/>
          <w:sz w:val="20"/>
        </w:rPr>
        <w:t xml:space="preserve">”).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that the Relevant Companies consider appropriate. The Optionee shall have access to, and the right to change, the Relevant Information. Relevant Information will only be used in accordance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Notices</w:t>
      </w:r>
      <w:r>
        <w:rPr>
          <w:rFonts w:ascii="Times New Roman" w:hAnsi="Times New Roman"/>
          <w:sz w:val="20"/>
        </w:rPr>
        <w:t xml:space="preserve">.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Clawback Acknowledgement</w:t>
      </w:r>
      <w:r>
        <w:rPr>
          <w:rFonts w:ascii="Times New Roman" w:hAnsi="Times New Roman"/>
          <w:sz w:val="20"/>
        </w:rPr>
        <w:t>. The Optionee understands that if the Optionee is or becomes subject to the Obsidian Therapeutics, Inc. Compensation Recovery Policy (as amended from time to time, the “</w:t>
      </w:r>
      <w:r>
        <w:rPr>
          <w:rFonts w:ascii="Times New Roman" w:hAnsi="Times New Roman"/>
          <w:i/>
          <w:sz w:val="20"/>
        </w:rPr>
        <w:t>Clawback</w:t>
      </w:r>
      <w:r>
        <w:rPr>
          <w:rFonts w:ascii="Times New Roman" w:hAnsi="Times New Roman"/>
          <w:sz w:val="20"/>
        </w:rPr>
        <w:t xml:space="preserve"> </w:t>
      </w:r>
      <w:r>
        <w:rPr>
          <w:rFonts w:ascii="Times New Roman" w:hAnsi="Times New Roman"/>
          <w:i/>
          <w:sz w:val="20"/>
        </w:rPr>
        <w:t>Policy</w:t>
      </w:r>
      <w:r>
        <w:rPr>
          <w:rFonts w:ascii="Times New Roman" w:hAnsi="Times New Roman"/>
          <w:sz w:val="20"/>
        </w:rPr>
        <w:t xml:space="preserve">”), the Company and/or the Board shall be entitled to recover all Erroneously Awarded Compensation (as defined in the Clawback Policy) from the Optionee pursuant to such means as the Company and/or the Board may elect. The Optionee agrees that the Optionee shall take all required action to enable such recovery. The Optionee understands that such recovery may be sought and occur after the Optionee’s Service Relationship terminates. The Optionee further agrees that the Optionee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Optionee hereby irrevocably agrees to forego such indemnification. The Optionee acknowledges and agrees that the Optionee has received and has had an opportunity to review the Clawback Policy. Any action by the Company to recover Erroneously Awarded Compensation under the Clawback Policy from the Optionee shall not be deemed (i) an event giving rise to a right to resign for “good reason,” if applicable, or serve as a basis for a claim of constructive termination under any benefits or compensation arrangement applicable to the Optionee or (ii) to constitute a breach of a contract or other arrangement to which the Optionee is a party. Further, to the extent that any Optionee receives any amount in excess of the amount that the Optionee should otherwise have received under the terms of the Award for any reason (including, without limitation, by reason of a financial restatement, mistake in calculations or other administrative error), the Administrator may require the Optionee to repay any such excess amount to the Company. This Section 12 is a material term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57"/>
        <w:gridCol w:w="139"/>
        <w:gridCol w:w="3186"/>
      </w:tblGrid>
      <w:tr>
        <w:trPr/>
        <w:tc>
          <w:tcPr>
            <w:tcW w:w="757"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OBSIDIAN THERAPEUTICS, INC.</w:t>
            </w:r>
          </w:p>
        </w:tc>
      </w:tr>
      <w:tr>
        <w:trPr>
          <w:trHeight w:val="240" w:hRule="atLeast"/>
        </w:trPr>
        <w:tc>
          <w:tcPr>
            <w:tcW w:w="757" w:type="dxa"/>
            <w:tcBorders/>
            <w:vAlign w:val="center"/>
          </w:tcPr>
          <w:p>
            <w:pPr>
              <w:pStyle w:val="TableContents"/>
              <w:bidi w:val="0"/>
              <w:spacing w:before="0" w:after="283"/>
              <w:jc w:val="left"/>
              <w:rPr>
                <w:sz w:val="4"/>
                <w:szCs w:val="4"/>
              </w:rPr>
            </w:pPr>
            <w:r>
              <w:rPr>
                <w:sz w:val="4"/>
                <w:szCs w:val="4"/>
              </w:rPr>
            </w:r>
          </w:p>
        </w:tc>
        <w:tc>
          <w:tcPr>
            <w:tcW w:w="3325" w:type="dxa"/>
            <w:gridSpan w:val="2"/>
            <w:tcBorders/>
            <w:vAlign w:val="center"/>
          </w:tcPr>
          <w:p>
            <w:pPr>
              <w:pStyle w:val="TableContents"/>
              <w:bidi w:val="0"/>
              <w:spacing w:before="0" w:after="283"/>
              <w:jc w:val="left"/>
              <w:rPr>
                <w:sz w:val="4"/>
                <w:szCs w:val="4"/>
              </w:rPr>
            </w:pPr>
            <w:r>
              <w:rPr>
                <w:sz w:val="4"/>
                <w:szCs w:val="4"/>
              </w:rPr>
            </w:r>
          </w:p>
        </w:tc>
      </w:tr>
      <w:tr>
        <w:trPr/>
        <w:tc>
          <w:tcPr>
            <w:tcW w:w="757" w:type="dxa"/>
            <w:tcBorders/>
          </w:tcPr>
          <w:p>
            <w:pPr>
              <w:pStyle w:val="TableContents"/>
              <w:bidi w:val="0"/>
              <w:spacing w:before="0" w:after="283"/>
              <w:jc w:val="left"/>
              <w:rPr/>
            </w:pPr>
            <w:r>
              <w:rPr/>
              <w:t>By:</w:t>
            </w:r>
          </w:p>
        </w:tc>
        <w:tc>
          <w:tcPr>
            <w:tcW w:w="139" w:type="dxa"/>
            <w:tcBorders/>
            <w:vAlign w:val="bottom"/>
          </w:tcPr>
          <w:p>
            <w:pPr>
              <w:pStyle w:val="TableContents"/>
              <w:bidi w:val="0"/>
              <w:spacing w:before="0" w:after="283"/>
              <w:jc w:val="left"/>
              <w:rPr/>
            </w:pPr>
            <w:r>
              <w:rPr/>
              <w:t> </w:t>
            </w:r>
          </w:p>
        </w:tc>
        <w:tc>
          <w:tcPr>
            <w:tcW w:w="3186" w:type="dxa"/>
            <w:tcBorders/>
          </w:tcPr>
          <w:p>
            <w:pPr>
              <w:pStyle w:val="TableContents"/>
              <w:pBdr>
                <w:bottom w:val="single" w:sz="2" w:space="1" w:color="000000"/>
              </w:pBdr>
              <w:bidi w:val="0"/>
              <w:spacing w:before="0" w:after="20"/>
              <w:jc w:val="left"/>
              <w:rPr/>
            </w:pPr>
            <w:r>
              <w:rPr/>
              <w:t> </w:t>
            </w:r>
          </w:p>
        </w:tc>
      </w:tr>
      <w:tr>
        <w:trPr/>
        <w:tc>
          <w:tcPr>
            <w:tcW w:w="757"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Agreement is hereby accepted and the terms and conditions thereof hereby agreed to by the undersigned. Electronic acceptance of this Agreement pursuant to the Company’s instructions to the Optionee (including through an online acceptance process) is acceptable.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3"/>
        <w:gridCol w:w="108"/>
        <w:gridCol w:w="2776"/>
        <w:gridCol w:w="108"/>
        <w:gridCol w:w="2176"/>
        <w:gridCol w:w="108"/>
        <w:gridCol w:w="4336"/>
      </w:tblGrid>
      <w:tr>
        <w:trPr/>
        <w:tc>
          <w:tcPr>
            <w:tcW w:w="59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336" w:type="dxa"/>
            <w:tcBorders/>
            <w:vAlign w:val="center"/>
          </w:tcPr>
          <w:p>
            <w:pPr>
              <w:pStyle w:val="TableContents"/>
              <w:bidi w:val="0"/>
              <w:spacing w:before="0" w:after="283"/>
              <w:jc w:val="left"/>
              <w:rPr>
                <w:sz w:val="4"/>
                <w:szCs w:val="4"/>
              </w:rPr>
            </w:pPr>
            <w:r>
              <w:rPr>
                <w:sz w:val="4"/>
                <w:szCs w:val="4"/>
              </w:rPr>
            </w:r>
          </w:p>
        </w:tc>
      </w:tr>
      <w:tr>
        <w:trPr/>
        <w:tc>
          <w:tcPr>
            <w:tcW w:w="593" w:type="dxa"/>
            <w:tcBorders/>
            <w:vAlign w:val="bottom"/>
          </w:tcPr>
          <w:p>
            <w:pPr>
              <w:pStyle w:val="TableContents"/>
              <w:bidi w:val="0"/>
              <w:spacing w:before="0" w:after="283"/>
              <w:jc w:val="left"/>
              <w:rPr/>
            </w:pPr>
            <w:r>
              <w:rPr/>
              <w:t>Dated:</w:t>
            </w:r>
          </w:p>
        </w:tc>
        <w:tc>
          <w:tcPr>
            <w:tcW w:w="108" w:type="dxa"/>
            <w:tcBorders/>
            <w:vAlign w:val="bottom"/>
          </w:tcPr>
          <w:p>
            <w:pPr>
              <w:pStyle w:val="TableContents"/>
              <w:bidi w:val="0"/>
              <w:spacing w:before="0" w:after="283"/>
              <w:jc w:val="left"/>
              <w:rPr/>
            </w:pPr>
            <w:r>
              <w:rPr/>
              <w:t> </w:t>
            </w:r>
          </w:p>
        </w:tc>
        <w:tc>
          <w:tcPr>
            <w:tcW w:w="2776" w:type="dxa"/>
            <w:tcBorders/>
            <w:vAlign w:val="bottom"/>
          </w:tcPr>
          <w:p>
            <w:pPr>
              <w:pStyle w:val="TableContents"/>
              <w:pBdr>
                <w:bottom w:val="single" w:sz="2" w:space="1" w:color="000000"/>
              </w:pBdr>
              <w:bidi w:val="0"/>
              <w:spacing w:before="0" w:after="20"/>
              <w:jc w:val="left"/>
              <w:rPr/>
            </w:pPr>
            <w:r>
              <w:rPr/>
              <w:t> </w:t>
            </w:r>
          </w:p>
        </w:tc>
        <w:tc>
          <w:tcPr>
            <w:tcW w:w="108" w:type="dxa"/>
            <w:tcBorders/>
            <w:vAlign w:val="bottom"/>
          </w:tcPr>
          <w:p>
            <w:pPr>
              <w:pStyle w:val="TableContents"/>
              <w:bidi w:val="0"/>
              <w:spacing w:before="0" w:after="283"/>
              <w:jc w:val="left"/>
              <w:rPr/>
            </w:pPr>
            <w:r>
              <w:rPr/>
              <w:t> </w:t>
            </w:r>
          </w:p>
        </w:tc>
        <w:tc>
          <w:tcPr>
            <w:tcW w:w="2176"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336" w:type="dxa"/>
            <w:tcBorders/>
            <w:vAlign w:val="bottom"/>
          </w:tcPr>
          <w:p>
            <w:pPr>
              <w:pStyle w:val="TableContents"/>
              <w:pBdr>
                <w:bottom w:val="single" w:sz="2" w:space="1" w:color="000000"/>
              </w:pBdr>
              <w:bidi w:val="0"/>
              <w:spacing w:before="0" w:after="20"/>
              <w:jc w:val="left"/>
              <w:rPr/>
            </w:pPr>
            <w:r>
              <w:rPr/>
              <w:t> </w:t>
            </w:r>
          </w:p>
        </w:tc>
      </w:tr>
      <w:tr>
        <w:trPr/>
        <w:tc>
          <w:tcPr>
            <w:tcW w:w="593"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776"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176"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336" w:type="dxa"/>
            <w:tcBorders/>
            <w:vAlign w:val="bottom"/>
          </w:tcPr>
          <w:p>
            <w:pPr>
              <w:pStyle w:val="TableContents"/>
              <w:bidi w:val="0"/>
              <w:spacing w:before="0" w:after="283"/>
              <w:jc w:val="left"/>
              <w:rPr/>
            </w:pPr>
            <w:r>
              <w:rPr/>
              <w:t>Optionee’s Signature</w:t>
            </w:r>
          </w:p>
        </w:tc>
      </w:tr>
      <w:tr>
        <w:trPr>
          <w:trHeight w:val="240" w:hRule="atLeast"/>
        </w:trPr>
        <w:tc>
          <w:tcPr>
            <w:tcW w:w="593" w:type="dxa"/>
            <w:tcBorders/>
            <w:vAlign w:val="center"/>
          </w:tcPr>
          <w:p>
            <w:pPr>
              <w:pStyle w:val="TableContents"/>
              <w:bidi w:val="0"/>
              <w:spacing w:before="0" w:after="283"/>
              <w:jc w:val="left"/>
              <w:rPr>
                <w:sz w:val="4"/>
                <w:szCs w:val="4"/>
              </w:rPr>
            </w:pPr>
            <w:r>
              <w:rPr>
                <w:sz w:val="4"/>
                <w:szCs w:val="4"/>
              </w:rPr>
            </w:r>
          </w:p>
        </w:tc>
        <w:tc>
          <w:tcPr>
            <w:tcW w:w="2884" w:type="dxa"/>
            <w:gridSpan w:val="2"/>
            <w:tcBorders/>
            <w:vAlign w:val="center"/>
          </w:tcPr>
          <w:p>
            <w:pPr>
              <w:pStyle w:val="TableContents"/>
              <w:bidi w:val="0"/>
              <w:spacing w:before="0" w:after="283"/>
              <w:jc w:val="left"/>
              <w:rPr>
                <w:sz w:val="4"/>
                <w:szCs w:val="4"/>
              </w:rPr>
            </w:pPr>
            <w:r>
              <w:rPr>
                <w:sz w:val="4"/>
                <w:szCs w:val="4"/>
              </w:rPr>
            </w:r>
          </w:p>
        </w:tc>
        <w:tc>
          <w:tcPr>
            <w:tcW w:w="2284" w:type="dxa"/>
            <w:gridSpan w:val="2"/>
            <w:tcBorders/>
            <w:vAlign w:val="center"/>
          </w:tcPr>
          <w:p>
            <w:pPr>
              <w:pStyle w:val="TableContents"/>
              <w:bidi w:val="0"/>
              <w:spacing w:before="0" w:after="283"/>
              <w:jc w:val="left"/>
              <w:rPr>
                <w:sz w:val="4"/>
                <w:szCs w:val="4"/>
              </w:rPr>
            </w:pPr>
            <w:r>
              <w:rPr>
                <w:sz w:val="4"/>
                <w:szCs w:val="4"/>
              </w:rPr>
            </w:r>
          </w:p>
        </w:tc>
        <w:tc>
          <w:tcPr>
            <w:tcW w:w="4444" w:type="dxa"/>
            <w:gridSpan w:val="2"/>
            <w:tcBorders/>
            <w:vAlign w:val="center"/>
          </w:tcPr>
          <w:p>
            <w:pPr>
              <w:pStyle w:val="TableContents"/>
              <w:bidi w:val="0"/>
              <w:spacing w:before="0" w:after="283"/>
              <w:jc w:val="left"/>
              <w:rPr>
                <w:sz w:val="4"/>
                <w:szCs w:val="4"/>
              </w:rPr>
            </w:pPr>
            <w:r>
              <w:rPr>
                <w:sz w:val="4"/>
                <w:szCs w:val="4"/>
              </w:rPr>
            </w:r>
          </w:p>
        </w:tc>
      </w:tr>
      <w:tr>
        <w:trPr/>
        <w:tc>
          <w:tcPr>
            <w:tcW w:w="593"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776"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176"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336" w:type="dxa"/>
            <w:tcBorders/>
            <w:vAlign w:val="bottom"/>
          </w:tcPr>
          <w:p>
            <w:pPr>
              <w:pStyle w:val="TableContents"/>
              <w:bidi w:val="0"/>
              <w:spacing w:before="0" w:after="283"/>
              <w:jc w:val="left"/>
              <w:rPr/>
            </w:pPr>
            <w:r>
              <w:rPr/>
              <w:t>Optionee’s name and address:</w:t>
            </w:r>
          </w:p>
        </w:tc>
      </w:tr>
      <w:tr>
        <w:trPr>
          <w:trHeight w:val="240" w:hRule="atLeast"/>
        </w:trPr>
        <w:tc>
          <w:tcPr>
            <w:tcW w:w="593" w:type="dxa"/>
            <w:tcBorders/>
            <w:vAlign w:val="center"/>
          </w:tcPr>
          <w:p>
            <w:pPr>
              <w:pStyle w:val="TableContents"/>
              <w:bidi w:val="0"/>
              <w:spacing w:before="0" w:after="283"/>
              <w:jc w:val="left"/>
              <w:rPr>
                <w:sz w:val="4"/>
                <w:szCs w:val="4"/>
              </w:rPr>
            </w:pPr>
            <w:r>
              <w:rPr>
                <w:sz w:val="4"/>
                <w:szCs w:val="4"/>
              </w:rPr>
            </w:r>
          </w:p>
        </w:tc>
        <w:tc>
          <w:tcPr>
            <w:tcW w:w="2884" w:type="dxa"/>
            <w:gridSpan w:val="2"/>
            <w:tcBorders/>
            <w:vAlign w:val="center"/>
          </w:tcPr>
          <w:p>
            <w:pPr>
              <w:pStyle w:val="TableContents"/>
              <w:bidi w:val="0"/>
              <w:spacing w:before="0" w:after="283"/>
              <w:jc w:val="left"/>
              <w:rPr>
                <w:sz w:val="4"/>
                <w:szCs w:val="4"/>
              </w:rPr>
            </w:pPr>
            <w:r>
              <w:rPr>
                <w:sz w:val="4"/>
                <w:szCs w:val="4"/>
              </w:rPr>
            </w:r>
          </w:p>
        </w:tc>
        <w:tc>
          <w:tcPr>
            <w:tcW w:w="2284" w:type="dxa"/>
            <w:gridSpan w:val="2"/>
            <w:tcBorders/>
            <w:vAlign w:val="center"/>
          </w:tcPr>
          <w:p>
            <w:pPr>
              <w:pStyle w:val="TableContents"/>
              <w:bidi w:val="0"/>
              <w:spacing w:before="0" w:after="283"/>
              <w:jc w:val="left"/>
              <w:rPr>
                <w:sz w:val="4"/>
                <w:szCs w:val="4"/>
              </w:rPr>
            </w:pPr>
            <w:r>
              <w:rPr>
                <w:sz w:val="4"/>
                <w:szCs w:val="4"/>
              </w:rPr>
            </w:r>
          </w:p>
        </w:tc>
        <w:tc>
          <w:tcPr>
            <w:tcW w:w="4444" w:type="dxa"/>
            <w:gridSpan w:val="2"/>
            <w:tcBorders/>
            <w:vAlign w:val="center"/>
          </w:tcPr>
          <w:p>
            <w:pPr>
              <w:pStyle w:val="TableContents"/>
              <w:bidi w:val="0"/>
              <w:spacing w:before="0" w:after="283"/>
              <w:jc w:val="left"/>
              <w:rPr>
                <w:sz w:val="4"/>
                <w:szCs w:val="4"/>
              </w:rPr>
            </w:pPr>
            <w:r>
              <w:rPr>
                <w:sz w:val="4"/>
                <w:szCs w:val="4"/>
              </w:rPr>
            </w:r>
          </w:p>
        </w:tc>
      </w:tr>
      <w:tr>
        <w:trPr/>
        <w:tc>
          <w:tcPr>
            <w:tcW w:w="593"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776"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176"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336" w:type="dxa"/>
            <w:tcBorders/>
            <w:vAlign w:val="bottom"/>
          </w:tcPr>
          <w:p>
            <w:pPr>
              <w:pStyle w:val="TableContents"/>
              <w:pBdr>
                <w:bottom w:val="single" w:sz="2" w:space="1" w:color="000000"/>
              </w:pBdr>
              <w:bidi w:val="0"/>
              <w:spacing w:before="0" w:after="20"/>
              <w:jc w:val="left"/>
              <w:rPr/>
            </w:pPr>
            <w:r>
              <w:rPr/>
              <w:t> </w:t>
            </w:r>
          </w:p>
        </w:tc>
      </w:tr>
      <w:tr>
        <w:trPr>
          <w:trHeight w:val="240" w:hRule="atLeast"/>
        </w:trPr>
        <w:tc>
          <w:tcPr>
            <w:tcW w:w="593" w:type="dxa"/>
            <w:tcBorders/>
            <w:vAlign w:val="center"/>
          </w:tcPr>
          <w:p>
            <w:pPr>
              <w:pStyle w:val="TableContents"/>
              <w:bidi w:val="0"/>
              <w:spacing w:before="0" w:after="283"/>
              <w:jc w:val="left"/>
              <w:rPr>
                <w:sz w:val="4"/>
                <w:szCs w:val="4"/>
              </w:rPr>
            </w:pPr>
            <w:r>
              <w:rPr>
                <w:sz w:val="4"/>
                <w:szCs w:val="4"/>
              </w:rPr>
            </w:r>
          </w:p>
        </w:tc>
        <w:tc>
          <w:tcPr>
            <w:tcW w:w="2884" w:type="dxa"/>
            <w:gridSpan w:val="2"/>
            <w:tcBorders/>
            <w:vAlign w:val="center"/>
          </w:tcPr>
          <w:p>
            <w:pPr>
              <w:pStyle w:val="TableContents"/>
              <w:bidi w:val="0"/>
              <w:spacing w:before="0" w:after="283"/>
              <w:jc w:val="left"/>
              <w:rPr>
                <w:sz w:val="4"/>
                <w:szCs w:val="4"/>
              </w:rPr>
            </w:pPr>
            <w:r>
              <w:rPr>
                <w:sz w:val="4"/>
                <w:szCs w:val="4"/>
              </w:rPr>
            </w:r>
          </w:p>
        </w:tc>
        <w:tc>
          <w:tcPr>
            <w:tcW w:w="2284" w:type="dxa"/>
            <w:gridSpan w:val="2"/>
            <w:tcBorders/>
            <w:vAlign w:val="center"/>
          </w:tcPr>
          <w:p>
            <w:pPr>
              <w:pStyle w:val="TableContents"/>
              <w:bidi w:val="0"/>
              <w:spacing w:before="0" w:after="283"/>
              <w:jc w:val="left"/>
              <w:rPr>
                <w:sz w:val="4"/>
                <w:szCs w:val="4"/>
              </w:rPr>
            </w:pPr>
            <w:r>
              <w:rPr>
                <w:sz w:val="4"/>
                <w:szCs w:val="4"/>
              </w:rPr>
            </w:r>
          </w:p>
        </w:tc>
        <w:tc>
          <w:tcPr>
            <w:tcW w:w="4444" w:type="dxa"/>
            <w:gridSpan w:val="2"/>
            <w:tcBorders/>
            <w:vAlign w:val="center"/>
          </w:tcPr>
          <w:p>
            <w:pPr>
              <w:pStyle w:val="TableContents"/>
              <w:bidi w:val="0"/>
              <w:spacing w:before="0" w:after="283"/>
              <w:jc w:val="left"/>
              <w:rPr>
                <w:sz w:val="4"/>
                <w:szCs w:val="4"/>
              </w:rPr>
            </w:pPr>
            <w:r>
              <w:rPr>
                <w:sz w:val="4"/>
                <w:szCs w:val="4"/>
              </w:rPr>
            </w:r>
          </w:p>
        </w:tc>
      </w:tr>
      <w:tr>
        <w:trPr/>
        <w:tc>
          <w:tcPr>
            <w:tcW w:w="593"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776"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176"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336" w:type="dxa"/>
            <w:tcBorders/>
            <w:vAlign w:val="bottom"/>
          </w:tcPr>
          <w:p>
            <w:pPr>
              <w:pStyle w:val="TableContents"/>
              <w:pBdr>
                <w:bottom w:val="single" w:sz="2" w:space="1" w:color="000000"/>
              </w:pBdr>
              <w:bidi w:val="0"/>
              <w:spacing w:before="0" w:after="20"/>
              <w:jc w:val="left"/>
              <w:rPr/>
            </w:pPr>
            <w:r>
              <w:rPr/>
              <w:t> </w:t>
            </w:r>
          </w:p>
        </w:tc>
      </w:tr>
      <w:tr>
        <w:trPr>
          <w:trHeight w:val="240" w:hRule="atLeast"/>
        </w:trPr>
        <w:tc>
          <w:tcPr>
            <w:tcW w:w="593" w:type="dxa"/>
            <w:tcBorders/>
            <w:vAlign w:val="center"/>
          </w:tcPr>
          <w:p>
            <w:pPr>
              <w:pStyle w:val="TableContents"/>
              <w:bidi w:val="0"/>
              <w:spacing w:before="0" w:after="283"/>
              <w:jc w:val="left"/>
              <w:rPr>
                <w:sz w:val="4"/>
                <w:szCs w:val="4"/>
              </w:rPr>
            </w:pPr>
            <w:r>
              <w:rPr>
                <w:sz w:val="4"/>
                <w:szCs w:val="4"/>
              </w:rPr>
            </w:r>
          </w:p>
        </w:tc>
        <w:tc>
          <w:tcPr>
            <w:tcW w:w="2884" w:type="dxa"/>
            <w:gridSpan w:val="2"/>
            <w:tcBorders/>
            <w:vAlign w:val="center"/>
          </w:tcPr>
          <w:p>
            <w:pPr>
              <w:pStyle w:val="TableContents"/>
              <w:bidi w:val="0"/>
              <w:spacing w:before="0" w:after="283"/>
              <w:jc w:val="left"/>
              <w:rPr>
                <w:sz w:val="4"/>
                <w:szCs w:val="4"/>
              </w:rPr>
            </w:pPr>
            <w:r>
              <w:rPr>
                <w:sz w:val="4"/>
                <w:szCs w:val="4"/>
              </w:rPr>
            </w:r>
          </w:p>
        </w:tc>
        <w:tc>
          <w:tcPr>
            <w:tcW w:w="2284" w:type="dxa"/>
            <w:gridSpan w:val="2"/>
            <w:tcBorders/>
            <w:vAlign w:val="center"/>
          </w:tcPr>
          <w:p>
            <w:pPr>
              <w:pStyle w:val="TableContents"/>
              <w:bidi w:val="0"/>
              <w:spacing w:before="0" w:after="283"/>
              <w:jc w:val="left"/>
              <w:rPr>
                <w:sz w:val="4"/>
                <w:szCs w:val="4"/>
              </w:rPr>
            </w:pPr>
            <w:r>
              <w:rPr>
                <w:sz w:val="4"/>
                <w:szCs w:val="4"/>
              </w:rPr>
            </w:r>
          </w:p>
        </w:tc>
        <w:tc>
          <w:tcPr>
            <w:tcW w:w="4444" w:type="dxa"/>
            <w:gridSpan w:val="2"/>
            <w:tcBorders/>
            <w:vAlign w:val="center"/>
          </w:tcPr>
          <w:p>
            <w:pPr>
              <w:pStyle w:val="TableContents"/>
              <w:bidi w:val="0"/>
              <w:spacing w:before="0" w:after="283"/>
              <w:jc w:val="left"/>
              <w:rPr>
                <w:sz w:val="4"/>
                <w:szCs w:val="4"/>
              </w:rPr>
            </w:pPr>
            <w:r>
              <w:rPr>
                <w:sz w:val="4"/>
                <w:szCs w:val="4"/>
              </w:rPr>
            </w:r>
          </w:p>
        </w:tc>
      </w:tr>
      <w:tr>
        <w:trPr/>
        <w:tc>
          <w:tcPr>
            <w:tcW w:w="593"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776"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176"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336" w:type="dxa"/>
            <w:tcBorders/>
            <w:vAlign w:val="bottom"/>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NON-QUALIFIED STOCK OPTION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OBSIDIAN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EQUITY INCENTIVE PLAN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85"/>
        <w:gridCol w:w="125"/>
        <w:gridCol w:w="7695"/>
      </w:tblGrid>
      <w:tr>
        <w:trPr/>
        <w:tc>
          <w:tcPr>
            <w:tcW w:w="2385"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695" w:type="dxa"/>
            <w:tcBorders/>
            <w:vAlign w:val="center"/>
          </w:tcPr>
          <w:p>
            <w:pPr>
              <w:pStyle w:val="TableContents"/>
              <w:bidi w:val="0"/>
              <w:spacing w:before="0" w:after="283"/>
              <w:jc w:val="left"/>
              <w:rPr>
                <w:sz w:val="4"/>
                <w:szCs w:val="4"/>
              </w:rPr>
            </w:pPr>
            <w:r>
              <w:rPr>
                <w:sz w:val="4"/>
                <w:szCs w:val="4"/>
              </w:rPr>
            </w:r>
          </w:p>
        </w:tc>
      </w:tr>
      <w:tr>
        <w:trPr/>
        <w:tc>
          <w:tcPr>
            <w:tcW w:w="2385" w:type="dxa"/>
            <w:tcBorders/>
          </w:tcPr>
          <w:p>
            <w:pPr>
              <w:pStyle w:val="TableContents"/>
              <w:bidi w:val="0"/>
              <w:spacing w:before="0" w:after="283"/>
              <w:jc w:val="left"/>
              <w:rPr/>
            </w:pPr>
            <w:r>
              <w:rPr/>
              <w:t>Name of Optionee:</w:t>
            </w:r>
          </w:p>
        </w:tc>
        <w:tc>
          <w:tcPr>
            <w:tcW w:w="125" w:type="dxa"/>
            <w:tcBorders/>
            <w:vAlign w:val="bottom"/>
          </w:tcPr>
          <w:p>
            <w:pPr>
              <w:pStyle w:val="TableContents"/>
              <w:bidi w:val="0"/>
              <w:spacing w:before="0" w:after="283"/>
              <w:jc w:val="left"/>
              <w:rPr/>
            </w:pPr>
            <w:r>
              <w:rPr/>
              <w:t>  </w:t>
            </w:r>
          </w:p>
        </w:tc>
        <w:tc>
          <w:tcPr>
            <w:tcW w:w="7695" w:type="dxa"/>
            <w:tcBorders/>
          </w:tcPr>
          <w:p>
            <w:pPr>
              <w:pStyle w:val="TableContents"/>
              <w:bidi w:val="0"/>
              <w:spacing w:before="0" w:after="283"/>
              <w:jc w:val="left"/>
              <w:rPr>
                <w:u w:val="single"/>
              </w:rPr>
            </w:pPr>
            <w:r>
              <w:rPr>
                <w:u w:val="single"/>
              </w:rPr>
              <w:t>                   </w:t>
            </w:r>
          </w:p>
        </w:tc>
      </w:tr>
      <w:tr>
        <w:trPr>
          <w:trHeight w:val="120" w:hRule="atLeast"/>
        </w:trPr>
        <w:tc>
          <w:tcPr>
            <w:tcW w:w="2385" w:type="dxa"/>
            <w:tcBorders/>
            <w:vAlign w:val="center"/>
          </w:tcPr>
          <w:p>
            <w:pPr>
              <w:pStyle w:val="TableContents"/>
              <w:bidi w:val="0"/>
              <w:spacing w:before="0" w:after="283"/>
              <w:jc w:val="left"/>
              <w:rPr>
                <w:sz w:val="4"/>
                <w:szCs w:val="4"/>
              </w:rPr>
            </w:pPr>
            <w:r>
              <w:rPr>
                <w:sz w:val="4"/>
                <w:szCs w:val="4"/>
              </w:rPr>
            </w:r>
          </w:p>
        </w:tc>
        <w:tc>
          <w:tcPr>
            <w:tcW w:w="7820" w:type="dxa"/>
            <w:gridSpan w:val="2"/>
            <w:tcBorders/>
            <w:vAlign w:val="center"/>
          </w:tcPr>
          <w:p>
            <w:pPr>
              <w:pStyle w:val="TableContents"/>
              <w:bidi w:val="0"/>
              <w:spacing w:before="0" w:after="283"/>
              <w:jc w:val="left"/>
              <w:rPr>
                <w:sz w:val="4"/>
                <w:szCs w:val="4"/>
              </w:rPr>
            </w:pPr>
            <w:r>
              <w:rPr>
                <w:sz w:val="4"/>
                <w:szCs w:val="4"/>
              </w:rPr>
            </w:r>
          </w:p>
        </w:tc>
      </w:tr>
      <w:tr>
        <w:trPr/>
        <w:tc>
          <w:tcPr>
            <w:tcW w:w="2385" w:type="dxa"/>
            <w:tcBorders/>
          </w:tcPr>
          <w:p>
            <w:pPr>
              <w:pStyle w:val="TableContents"/>
              <w:bidi w:val="0"/>
              <w:spacing w:before="0" w:after="283"/>
              <w:jc w:val="left"/>
              <w:rPr/>
            </w:pPr>
            <w:r>
              <w:rPr/>
              <w:t>No. of Option Shares:</w:t>
            </w:r>
          </w:p>
        </w:tc>
        <w:tc>
          <w:tcPr>
            <w:tcW w:w="125" w:type="dxa"/>
            <w:tcBorders/>
            <w:vAlign w:val="bottom"/>
          </w:tcPr>
          <w:p>
            <w:pPr>
              <w:pStyle w:val="TableContents"/>
              <w:bidi w:val="0"/>
              <w:spacing w:before="0" w:after="283"/>
              <w:jc w:val="left"/>
              <w:rPr/>
            </w:pPr>
            <w:r>
              <w:rPr/>
              <w:t>  </w:t>
            </w:r>
          </w:p>
        </w:tc>
        <w:tc>
          <w:tcPr>
            <w:tcW w:w="7695" w:type="dxa"/>
            <w:tcBorders/>
          </w:tcPr>
          <w:p>
            <w:pPr>
              <w:pStyle w:val="TableContents"/>
              <w:bidi w:val="0"/>
              <w:spacing w:before="0" w:after="283"/>
              <w:jc w:val="left"/>
              <w:rPr>
                <w:u w:val="single"/>
              </w:rPr>
            </w:pPr>
            <w:r>
              <w:rPr>
                <w:u w:val="single"/>
              </w:rPr>
              <w:t>          </w:t>
            </w:r>
          </w:p>
        </w:tc>
      </w:tr>
      <w:tr>
        <w:trPr>
          <w:trHeight w:val="120" w:hRule="atLeast"/>
        </w:trPr>
        <w:tc>
          <w:tcPr>
            <w:tcW w:w="2385" w:type="dxa"/>
            <w:tcBorders/>
            <w:vAlign w:val="center"/>
          </w:tcPr>
          <w:p>
            <w:pPr>
              <w:pStyle w:val="TableContents"/>
              <w:bidi w:val="0"/>
              <w:spacing w:before="0" w:after="283"/>
              <w:jc w:val="left"/>
              <w:rPr>
                <w:sz w:val="4"/>
                <w:szCs w:val="4"/>
              </w:rPr>
            </w:pPr>
            <w:r>
              <w:rPr>
                <w:sz w:val="4"/>
                <w:szCs w:val="4"/>
              </w:rPr>
            </w:r>
          </w:p>
        </w:tc>
        <w:tc>
          <w:tcPr>
            <w:tcW w:w="7820" w:type="dxa"/>
            <w:gridSpan w:val="2"/>
            <w:tcBorders/>
            <w:vAlign w:val="center"/>
          </w:tcPr>
          <w:p>
            <w:pPr>
              <w:pStyle w:val="TableContents"/>
              <w:bidi w:val="0"/>
              <w:spacing w:before="0" w:after="283"/>
              <w:jc w:val="left"/>
              <w:rPr>
                <w:sz w:val="4"/>
                <w:szCs w:val="4"/>
              </w:rPr>
            </w:pPr>
            <w:r>
              <w:rPr>
                <w:sz w:val="4"/>
                <w:szCs w:val="4"/>
              </w:rPr>
            </w:r>
          </w:p>
        </w:tc>
      </w:tr>
      <w:tr>
        <w:trPr/>
        <w:tc>
          <w:tcPr>
            <w:tcW w:w="2385" w:type="dxa"/>
            <w:tcBorders/>
          </w:tcPr>
          <w:p>
            <w:pPr>
              <w:pStyle w:val="TableContents"/>
              <w:bidi w:val="0"/>
              <w:spacing w:before="0" w:after="283"/>
              <w:jc w:val="left"/>
              <w:rPr/>
            </w:pPr>
            <w:r>
              <w:rPr/>
              <w:t>Option Exercise Price per Share:</w:t>
            </w:r>
          </w:p>
        </w:tc>
        <w:tc>
          <w:tcPr>
            <w:tcW w:w="125" w:type="dxa"/>
            <w:tcBorders/>
            <w:vAlign w:val="bottom"/>
          </w:tcPr>
          <w:p>
            <w:pPr>
              <w:pStyle w:val="TableContents"/>
              <w:bidi w:val="0"/>
              <w:spacing w:before="0" w:after="283"/>
              <w:jc w:val="left"/>
              <w:rPr/>
            </w:pPr>
            <w:r>
              <w:rPr/>
              <w:t>  </w:t>
            </w:r>
          </w:p>
        </w:tc>
        <w:tc>
          <w:tcPr>
            <w:tcW w:w="7695" w:type="dxa"/>
            <w:tcBorders/>
          </w:tcPr>
          <w:p>
            <w:pPr>
              <w:pStyle w:val="TableContents"/>
              <w:bidi w:val="0"/>
              <w:spacing w:before="0" w:after="283"/>
              <w:jc w:val="left"/>
              <w:rPr/>
            </w:pPr>
            <w:r>
              <w:rPr/>
              <w:t>$</w:t>
            </w:r>
            <w:r>
              <w:rPr>
                <w:u w:val="single"/>
              </w:rPr>
              <w:t>         </w:t>
            </w:r>
          </w:p>
        </w:tc>
      </w:tr>
      <w:tr>
        <w:trPr/>
        <w:tc>
          <w:tcPr>
            <w:tcW w:w="2385"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695" w:type="dxa"/>
            <w:tcBorders/>
          </w:tcPr>
          <w:p>
            <w:pPr>
              <w:pStyle w:val="TableContents"/>
              <w:bidi w:val="0"/>
              <w:spacing w:before="0" w:after="283"/>
              <w:jc w:val="left"/>
              <w:rPr>
                <w:b/>
              </w:rPr>
            </w:pPr>
            <w:r>
              <w:rPr>
                <w:b/>
              </w:rPr>
              <w:t>[FMV on Grant Date]</w:t>
            </w:r>
          </w:p>
        </w:tc>
      </w:tr>
      <w:tr>
        <w:trPr>
          <w:trHeight w:val="120" w:hRule="atLeast"/>
        </w:trPr>
        <w:tc>
          <w:tcPr>
            <w:tcW w:w="2385" w:type="dxa"/>
            <w:tcBorders/>
            <w:vAlign w:val="center"/>
          </w:tcPr>
          <w:p>
            <w:pPr>
              <w:pStyle w:val="TableContents"/>
              <w:bidi w:val="0"/>
              <w:spacing w:before="0" w:after="283"/>
              <w:jc w:val="left"/>
              <w:rPr>
                <w:sz w:val="4"/>
                <w:szCs w:val="4"/>
              </w:rPr>
            </w:pPr>
            <w:r>
              <w:rPr>
                <w:sz w:val="4"/>
                <w:szCs w:val="4"/>
              </w:rPr>
            </w:r>
          </w:p>
        </w:tc>
        <w:tc>
          <w:tcPr>
            <w:tcW w:w="7820" w:type="dxa"/>
            <w:gridSpan w:val="2"/>
            <w:tcBorders/>
            <w:vAlign w:val="center"/>
          </w:tcPr>
          <w:p>
            <w:pPr>
              <w:pStyle w:val="TableContents"/>
              <w:bidi w:val="0"/>
              <w:spacing w:before="0" w:after="283"/>
              <w:jc w:val="left"/>
              <w:rPr>
                <w:sz w:val="4"/>
                <w:szCs w:val="4"/>
              </w:rPr>
            </w:pPr>
            <w:r>
              <w:rPr>
                <w:sz w:val="4"/>
                <w:szCs w:val="4"/>
              </w:rPr>
            </w:r>
          </w:p>
        </w:tc>
      </w:tr>
      <w:tr>
        <w:trPr/>
        <w:tc>
          <w:tcPr>
            <w:tcW w:w="2385" w:type="dxa"/>
            <w:tcBorders/>
          </w:tcPr>
          <w:p>
            <w:pPr>
              <w:pStyle w:val="TableContents"/>
              <w:bidi w:val="0"/>
              <w:spacing w:before="0" w:after="283"/>
              <w:jc w:val="left"/>
              <w:rPr/>
            </w:pPr>
            <w:r>
              <w:rPr/>
              <w:t>Grant Date:</w:t>
            </w:r>
          </w:p>
        </w:tc>
        <w:tc>
          <w:tcPr>
            <w:tcW w:w="125" w:type="dxa"/>
            <w:tcBorders/>
            <w:vAlign w:val="bottom"/>
          </w:tcPr>
          <w:p>
            <w:pPr>
              <w:pStyle w:val="TableContents"/>
              <w:bidi w:val="0"/>
              <w:spacing w:before="0" w:after="283"/>
              <w:jc w:val="left"/>
              <w:rPr/>
            </w:pPr>
            <w:r>
              <w:rPr/>
              <w:t>  </w:t>
            </w:r>
          </w:p>
        </w:tc>
        <w:tc>
          <w:tcPr>
            <w:tcW w:w="7695" w:type="dxa"/>
            <w:tcBorders/>
          </w:tcPr>
          <w:p>
            <w:pPr>
              <w:pStyle w:val="TableContents"/>
              <w:bidi w:val="0"/>
              <w:spacing w:before="0" w:after="283"/>
              <w:jc w:val="left"/>
              <w:rPr>
                <w:u w:val="single"/>
              </w:rPr>
            </w:pPr>
            <w:r>
              <w:rPr>
                <w:u w:val="single"/>
              </w:rPr>
              <w:t>          </w:t>
            </w:r>
          </w:p>
        </w:tc>
      </w:tr>
      <w:tr>
        <w:trPr>
          <w:trHeight w:val="120" w:hRule="atLeast"/>
        </w:trPr>
        <w:tc>
          <w:tcPr>
            <w:tcW w:w="2385" w:type="dxa"/>
            <w:tcBorders/>
            <w:vAlign w:val="center"/>
          </w:tcPr>
          <w:p>
            <w:pPr>
              <w:pStyle w:val="TableContents"/>
              <w:bidi w:val="0"/>
              <w:spacing w:before="0" w:after="283"/>
              <w:jc w:val="left"/>
              <w:rPr>
                <w:sz w:val="4"/>
                <w:szCs w:val="4"/>
              </w:rPr>
            </w:pPr>
            <w:r>
              <w:rPr>
                <w:sz w:val="4"/>
                <w:szCs w:val="4"/>
              </w:rPr>
            </w:r>
          </w:p>
        </w:tc>
        <w:tc>
          <w:tcPr>
            <w:tcW w:w="7820" w:type="dxa"/>
            <w:gridSpan w:val="2"/>
            <w:tcBorders/>
            <w:vAlign w:val="center"/>
          </w:tcPr>
          <w:p>
            <w:pPr>
              <w:pStyle w:val="TableContents"/>
              <w:bidi w:val="0"/>
              <w:spacing w:before="0" w:after="283"/>
              <w:jc w:val="left"/>
              <w:rPr>
                <w:sz w:val="4"/>
                <w:szCs w:val="4"/>
              </w:rPr>
            </w:pPr>
            <w:r>
              <w:rPr>
                <w:sz w:val="4"/>
                <w:szCs w:val="4"/>
              </w:rPr>
            </w:r>
          </w:p>
        </w:tc>
      </w:tr>
      <w:tr>
        <w:trPr/>
        <w:tc>
          <w:tcPr>
            <w:tcW w:w="2385" w:type="dxa"/>
            <w:tcBorders/>
          </w:tcPr>
          <w:p>
            <w:pPr>
              <w:pStyle w:val="TableContents"/>
              <w:bidi w:val="0"/>
              <w:spacing w:before="0" w:after="283"/>
              <w:jc w:val="left"/>
              <w:rPr/>
            </w:pPr>
            <w:r>
              <w:rPr/>
              <w:t>Expiration Date:</w:t>
            </w:r>
          </w:p>
        </w:tc>
        <w:tc>
          <w:tcPr>
            <w:tcW w:w="125" w:type="dxa"/>
            <w:tcBorders/>
            <w:vAlign w:val="bottom"/>
          </w:tcPr>
          <w:p>
            <w:pPr>
              <w:pStyle w:val="TableContents"/>
              <w:bidi w:val="0"/>
              <w:spacing w:before="0" w:after="283"/>
              <w:jc w:val="left"/>
              <w:rPr/>
            </w:pPr>
            <w:r>
              <w:rPr/>
              <w:t>  </w:t>
            </w:r>
          </w:p>
        </w:tc>
        <w:tc>
          <w:tcPr>
            <w:tcW w:w="7695" w:type="dxa"/>
            <w:tcBorders/>
          </w:tcPr>
          <w:p>
            <w:pPr>
              <w:pStyle w:val="TableContents"/>
              <w:bidi w:val="0"/>
              <w:spacing w:before="0" w:after="283"/>
              <w:jc w:val="left"/>
              <w:rPr>
                <w:u w:val="single"/>
              </w:rPr>
            </w:pPr>
            <w:r>
              <w:rPr>
                <w:u w:val="single"/>
              </w:rPr>
              <w:t>          </w:t>
            </w:r>
          </w:p>
        </w:tc>
      </w:tr>
      <w:tr>
        <w:trPr/>
        <w:tc>
          <w:tcPr>
            <w:tcW w:w="2385"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695" w:type="dxa"/>
            <w:tcBorders/>
          </w:tcPr>
          <w:p>
            <w:pPr>
              <w:pStyle w:val="TableContents"/>
              <w:bidi w:val="0"/>
              <w:spacing w:before="0" w:after="283"/>
              <w:jc w:val="left"/>
              <w:rPr>
                <w:b/>
              </w:rPr>
            </w:pPr>
            <w:r>
              <w:rPr>
                <w:b/>
              </w:rPr>
              <w:t>[No more than 10 years]</w:t>
            </w:r>
          </w:p>
        </w:tc>
      </w:tr>
    </w:tbl>
    <w:p>
      <w:pPr>
        <w:pStyle w:val="TextBody"/>
        <w:bidi w:val="0"/>
        <w:spacing w:before="240" w:after="0"/>
        <w:jc w:val="left"/>
        <w:rPr>
          <w:rFonts w:ascii="Times New Roman" w:hAnsi="Times New Roman"/>
          <w:sz w:val="20"/>
        </w:rPr>
      </w:pPr>
      <w:r>
        <w:rPr>
          <w:rFonts w:ascii="Times New Roman" w:hAnsi="Times New Roman"/>
          <w:sz w:val="20"/>
        </w:rPr>
        <w:t>Pursuant to the Obsidian Therapeutics, Inc. 2026 Equity Incentive Plan, as amended through the date hereof (the “</w:t>
      </w:r>
      <w:r>
        <w:rPr>
          <w:rFonts w:ascii="Times New Roman" w:hAnsi="Times New Roman"/>
          <w:i/>
          <w:sz w:val="20"/>
        </w:rPr>
        <w:t>Plan</w:t>
      </w:r>
      <w:r>
        <w:rPr>
          <w:rFonts w:ascii="Times New Roman" w:hAnsi="Times New Roman"/>
          <w:sz w:val="20"/>
        </w:rPr>
        <w:t>”), Obsidian Therapeutics, Inc. (the “</w:t>
      </w:r>
      <w:r>
        <w:rPr>
          <w:rFonts w:ascii="Times New Roman" w:hAnsi="Times New Roman"/>
          <w:i/>
          <w:sz w:val="20"/>
        </w:rPr>
        <w:t>Company</w:t>
      </w:r>
      <w:r>
        <w:rPr>
          <w:rFonts w:ascii="Times New Roman" w:hAnsi="Times New Roman"/>
          <w:sz w:val="20"/>
        </w:rPr>
        <w:t>”) hereby grants to the Optionee named above an option (the “</w:t>
      </w:r>
      <w:r>
        <w:rPr>
          <w:rFonts w:ascii="Times New Roman" w:hAnsi="Times New Roman"/>
          <w:i/>
          <w:sz w:val="20"/>
        </w:rPr>
        <w:t>Stock Option</w:t>
      </w:r>
      <w:r>
        <w:rPr>
          <w:rFonts w:ascii="Times New Roman" w:hAnsi="Times New Roman"/>
          <w:sz w:val="20"/>
        </w:rPr>
        <w:t>”) to purchase on or prior to the Expiration Date specified above all or part of the number of shares of the Company’s Common Stock, par value $0.001 per share (the “</w:t>
      </w:r>
      <w:r>
        <w:rPr>
          <w:rFonts w:ascii="Times New Roman" w:hAnsi="Times New Roman"/>
          <w:i/>
          <w:sz w:val="20"/>
        </w:rPr>
        <w:t>Shares</w:t>
      </w:r>
      <w:r>
        <w:rPr>
          <w:rFonts w:ascii="Times New Roman" w:hAnsi="Times New Roman"/>
          <w:sz w:val="20"/>
        </w:rPr>
        <w:t xml:space="preserve">”), specified above at the Option Exercise Price per Share specified above subject to the terms and conditions set forth herein and in the Plan. This Stock Option is not intended to be an “incentive stock option” under Section 422 of the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Exercisability Schedule</w:t>
      </w:r>
      <w:r>
        <w:rPr>
          <w:rFonts w:ascii="Times New Roman" w:hAnsi="Times New Roman"/>
          <w:sz w:val="20"/>
        </w:rPr>
        <w:t xml:space="preserve">. No portion of this Stock Option may be exercised until such portion has become exercisable. Except as set forth below, and subject to the discretion of the Administrator to accelerate the exercisability schedule hereunder, this Stock Option shall be exercisable with respect to the following number of Option Shares on the dates indicated below so long as the Optionee remains in a Service Relationship through the applicable date: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76"/>
        <w:gridCol w:w="374"/>
        <w:gridCol w:w="62"/>
        <w:gridCol w:w="1264"/>
        <w:gridCol w:w="63"/>
      </w:tblGrid>
      <w:tr>
        <w:trPr/>
        <w:tc>
          <w:tcPr>
            <w:tcW w:w="5176"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76"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Incremental Number of</w:t>
              <w:br/>
              <w:t>Option Shares Exercisable</w:t>
            </w:r>
          </w:p>
        </w:tc>
        <w:tc>
          <w:tcPr>
            <w:tcW w:w="374" w:type="dxa"/>
            <w:tcBorders/>
            <w:vAlign w:val="bottom"/>
          </w:tcPr>
          <w:p>
            <w:pPr>
              <w:pStyle w:val="TableContents"/>
              <w:bidi w:val="0"/>
              <w:spacing w:before="0" w:after="283"/>
              <w:jc w:val="left"/>
              <w:rPr/>
            </w:pPr>
            <w:r>
              <w:rPr/>
              <w:t>  </w:t>
            </w:r>
          </w:p>
        </w:tc>
        <w:tc>
          <w:tcPr>
            <w:tcW w:w="1326" w:type="dxa"/>
            <w:gridSpan w:val="2"/>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Exercisability Date</w:t>
            </w:r>
          </w:p>
        </w:tc>
        <w:tc>
          <w:tcPr>
            <w:tcW w:w="63" w:type="dxa"/>
            <w:tcBorders/>
            <w:vAlign w:val="bottom"/>
          </w:tcPr>
          <w:p>
            <w:pPr>
              <w:pStyle w:val="TableContents"/>
              <w:bidi w:val="0"/>
              <w:spacing w:before="0" w:after="283"/>
              <w:jc w:val="left"/>
              <w:rPr/>
            </w:pPr>
            <w:r>
              <w:rPr/>
              <w:t> </w:t>
            </w:r>
          </w:p>
        </w:tc>
      </w:tr>
      <w:tr>
        <w:trPr/>
        <w:tc>
          <w:tcPr>
            <w:tcW w:w="5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3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bidi w:val="0"/>
              <w:spacing w:before="0" w:after="283"/>
              <w:jc w:val="right"/>
              <w:rPr>
                <w:u w:val="single"/>
              </w:rPr>
            </w:pPr>
            <w:r>
              <w:rPr>
                <w:u w:val="single"/>
              </w:rPr>
              <w:t>     </w:t>
            </w:r>
          </w:p>
        </w:tc>
        <w:tc>
          <w:tcPr>
            <w:tcW w:w="63" w:type="dxa"/>
            <w:tcBorders/>
            <w:shd w:fill="CCEEFF" w:val="clear"/>
            <w:vAlign w:val="bottom"/>
          </w:tcPr>
          <w:p>
            <w:pPr>
              <w:pStyle w:val="TableContents"/>
              <w:bidi w:val="0"/>
              <w:spacing w:before="0" w:after="283"/>
              <w:jc w:val="left"/>
              <w:rPr/>
            </w:pPr>
            <w:r>
              <w:rPr/>
              <w:t> </w:t>
            </w:r>
          </w:p>
        </w:tc>
      </w:tr>
      <w:tr>
        <w:trPr/>
        <w:tc>
          <w:tcPr>
            <w:tcW w:w="5176" w:type="dxa"/>
            <w:tcBorders/>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3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right"/>
              <w:rPr>
                <w:u w:val="single"/>
              </w:rPr>
            </w:pPr>
            <w:r>
              <w:rPr>
                <w:u w:val="single"/>
              </w:rPr>
              <w:t>     </w:t>
            </w:r>
          </w:p>
        </w:tc>
        <w:tc>
          <w:tcPr>
            <w:tcW w:w="63" w:type="dxa"/>
            <w:tcBorders/>
            <w:vAlign w:val="bottom"/>
          </w:tcPr>
          <w:p>
            <w:pPr>
              <w:pStyle w:val="TableContents"/>
              <w:bidi w:val="0"/>
              <w:spacing w:before="0" w:after="283"/>
              <w:jc w:val="left"/>
              <w:rPr/>
            </w:pPr>
            <w:r>
              <w:rPr/>
              <w:t> </w:t>
            </w:r>
          </w:p>
        </w:tc>
      </w:tr>
      <w:tr>
        <w:trPr/>
        <w:tc>
          <w:tcPr>
            <w:tcW w:w="5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3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bidi w:val="0"/>
              <w:spacing w:before="0" w:after="283"/>
              <w:jc w:val="right"/>
              <w:rPr>
                <w:u w:val="single"/>
              </w:rPr>
            </w:pPr>
            <w:r>
              <w:rPr>
                <w:u w:val="single"/>
              </w:rPr>
              <w:t>     </w:t>
            </w:r>
          </w:p>
        </w:tc>
        <w:tc>
          <w:tcPr>
            <w:tcW w:w="63" w:type="dxa"/>
            <w:tcBorders/>
            <w:shd w:fill="CCEEFF" w:val="clear"/>
            <w:vAlign w:val="bottom"/>
          </w:tcPr>
          <w:p>
            <w:pPr>
              <w:pStyle w:val="TableContents"/>
              <w:bidi w:val="0"/>
              <w:spacing w:before="0" w:after="283"/>
              <w:jc w:val="left"/>
              <w:rPr/>
            </w:pPr>
            <w:r>
              <w:rPr/>
              <w:t> </w:t>
            </w:r>
          </w:p>
        </w:tc>
      </w:tr>
      <w:tr>
        <w:trPr/>
        <w:tc>
          <w:tcPr>
            <w:tcW w:w="5176" w:type="dxa"/>
            <w:tcBorders/>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3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right"/>
              <w:rPr>
                <w:u w:val="single"/>
              </w:rPr>
            </w:pPr>
            <w:r>
              <w:rPr>
                <w:u w:val="single"/>
              </w:rPr>
              <w:t>     </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or in the Plan, all outstanding Option Shares shall become fully exercisable upon a Sale Event; provided that the Optionee remains in a Service Relationship through the consummation of the Sale Event.]1 Once exercisable, this Stock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Note to Draft</w:t>
            </w:r>
            <w:r>
              <w:rPr>
                <w:rFonts w:ascii="Times New Roman" w:hAnsi="Times New Roman"/>
                <w:sz w:val="20"/>
              </w:rPr>
              <w:t xml:space="preserve">: To be included only for non-employee directors.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Option shall continue to be exercisable at any time or times prior to the close of business on the Expiration Date, subject to the provisions hereof and of the Plan.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Manner of Exercise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Optionee may exercise this Stock Option only in the following manner: from time to time on or prior to the Expiration Date of this Stock Option, the Optionee may give written notice to the Administrator of the Optionee’s election to purchase some or all of the Option Shares purchasable at the time of such notice. This notice shall specify the number of Option Shares to be purchased.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exercise price for the Option Shares may be made by one or more of the following methods: (i) in cash, by certified or bank check or other instrument acceptable to the Administrator, (ii) through the delivery (or attestation to the ownership) of Shares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exercise price, provided that in the event the Optionee chooses to pay the option exercise price as so provided, the Optionee and the broker shall comply with such procedures and enter into such agreements of indemnity and other agreements as the Administrator may prescribe as a condition of such payment procedure, (iv) by a “net exercise” arrangement pursuant to which the Company will reduce the number of Option Shares issuable upon exercise by the largest whole number of shares with a Fair Market Value that does not exceed the aggregate exercise price or (v) a combination of (i), (ii), (iii) and (iv) above. Payment instruments will be received subject to collection. </w:t>
      </w:r>
    </w:p>
    <w:p>
      <w:pPr>
        <w:pStyle w:val="TextBody"/>
        <w:bidi w:val="0"/>
        <w:spacing w:before="240" w:after="0"/>
        <w:jc w:val="left"/>
        <w:rPr>
          <w:rFonts w:ascii="Times New Roman" w:hAnsi="Times New Roman"/>
          <w:sz w:val="20"/>
        </w:rPr>
      </w:pPr>
      <w:r>
        <w:rPr>
          <w:rFonts w:ascii="Times New Roman" w:hAnsi="Times New Roman"/>
          <w:sz w:val="20"/>
        </w:rPr>
        <w:t xml:space="preserve">The transfer to the Optionee on the records of the Company or of the transfer agent of the Option Shares will be contingent upon (i) the Company’s receipt from the Optionee of the full exercise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Option Shares and any subsequent resale of the Option Shares will be in compliance with applicable laws and regulations. In the event the Optionee chooses to pay the exercise price by previously-owned Shares through the attestation method, the number of Shares transferred to the Optionee upon the exercise of the Stock Option shall be net of the Shares attested to. </w:t>
      </w:r>
    </w:p>
    <w:p>
      <w:pPr>
        <w:pStyle w:val="TextBody"/>
        <w:bidi w:val="0"/>
        <w:spacing w:before="120" w:after="0"/>
        <w:jc w:val="left"/>
        <w:rPr>
          <w:rFonts w:ascii="Times New Roman" w:hAnsi="Times New Roman"/>
          <w:sz w:val="20"/>
        </w:rPr>
      </w:pPr>
      <w:r>
        <w:rPr>
          <w:rFonts w:ascii="Times New Roman" w:hAnsi="Times New Roman"/>
          <w:sz w:val="20"/>
        </w:rPr>
        <w:t xml:space="preserve">(b) The Shares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Option Shares unless and until this Stock Option has been exercised pursuant to the terms hereof, the Company or the transfer agent has transferred the Option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Optionee and the Optionee’s name has been entered as the stockholder of record on the books of the Company. Thereupon, the Optionee shall have full voting, dividend and other ownership rights with respect to such Option Shares.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 other provision hereof or of the Plan, no portion of this Stock Option shall be exercisable after the Expiration Date hereof.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Termination of Service Relationship</w:t>
      </w:r>
      <w:r>
        <w:rPr>
          <w:rFonts w:ascii="Times New Roman" w:hAnsi="Times New Roman"/>
          <w:sz w:val="20"/>
        </w:rPr>
        <w:t xml:space="preserve">. If the Optionee’s Service Relationship terminates, the period within which to exercise the Stock Option may be subject to earlier termination as set forth below.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Termination Due to Death</w:t>
      </w:r>
      <w:r>
        <w:rPr>
          <w:rFonts w:ascii="Times New Roman" w:hAnsi="Times New Roman"/>
          <w:sz w:val="20"/>
        </w:rPr>
        <w:t xml:space="preserve">. If the Optionee’s Service Relationship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Unless otherwise determined by the Administrator, any portion of this Stock Option that is not exercisable on the date of death shall terminate immediately and be of no further force or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 Due to Disability</w:t>
      </w:r>
      <w:r>
        <w:rPr>
          <w:rFonts w:ascii="Times New Roman" w:hAnsi="Times New Roman"/>
          <w:sz w:val="20"/>
        </w:rPr>
        <w:t xml:space="preserve">. If the Optionee’s Service Relationship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of termination or until the Expiration Date, if earlier. Unless otherwise determined by the Administrator, any portion of this Stock Option that is not exercisable on the date of termination shall terminate immediately and be of no further force or effect.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Termination for Cause</w:t>
      </w:r>
      <w:r>
        <w:rPr>
          <w:rFonts w:ascii="Times New Roman" w:hAnsi="Times New Roman"/>
          <w:sz w:val="20"/>
        </w:rPr>
        <w:t>. If the Optionee’s Service Relationship is terminated by the Company or an Affiliate for Cause or the Company determines after the termination of the Optionee’s Service Relationship that Cause exists or existed, any portion of this Stock Option outstanding on such date shall terminate immediately and be of no further force and effect. For purposes hereof, “</w:t>
      </w:r>
      <w:r>
        <w:rPr>
          <w:rFonts w:ascii="Times New Roman" w:hAnsi="Times New Roman"/>
          <w:i/>
          <w:sz w:val="20"/>
        </w:rPr>
        <w:t>Cause</w:t>
      </w:r>
      <w:r>
        <w:rPr>
          <w:rFonts w:ascii="Times New Roman" w:hAnsi="Times New Roman"/>
          <w:sz w:val="20"/>
        </w:rPr>
        <w:t xml:space="preserve">” means, unless otherwise provided in an employment or other service agreement between the Company and the Optionee, a determination by the Administrator that the Optionee’s employment will be terminated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 or an Affiliate.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Other Termination</w:t>
      </w:r>
      <w:r>
        <w:rPr>
          <w:rFonts w:ascii="Times New Roman" w:hAnsi="Times New Roman"/>
          <w:sz w:val="20"/>
        </w:rPr>
        <w:t xml:space="preserve">. If the Optionee’s Service Relationship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Unless otherwise determined by the Administrator, any portion of this Stock Option that is not exercisable on the date of termination shall terminate immediately and be of no further force or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Administrator’s determination of the reason for termination of the Optionee’s Service Relationship shall be conclusive and binding on the Optionee and the Optionee’s representatives or legatees.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Incorporation of Plan</w:t>
      </w:r>
      <w:r>
        <w:rPr>
          <w:rFonts w:ascii="Times New Roman" w:hAnsi="Times New Roman"/>
          <w:sz w:val="20"/>
        </w:rPr>
        <w:t xml:space="preserve">.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Transferability</w:t>
      </w:r>
      <w:r>
        <w:rPr>
          <w:rFonts w:ascii="Times New Roman" w:hAnsi="Times New Roman"/>
          <w:sz w:val="20"/>
        </w:rPr>
        <w:t xml:space="preserve">.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Tax Withholding</w:t>
      </w:r>
      <w:r>
        <w:rPr>
          <w:rFonts w:ascii="Times New Roman" w:hAnsi="Times New Roman"/>
          <w:sz w:val="20"/>
        </w:rPr>
        <w:t xml:space="preserve">. The Optionee shall, not later than the date as of which amounts with respect to this Stock Option become includable in the gross income of the Optionee for income tax purposes, pay to the Company or an Affiliate, or make arrangements satisfactory to the Administrator for payment of, any U.S. federal, state or local, and non-U.S. or other taxes of any kind required by law to be withheld by the Company or its Affiliates with respect to the Stock Option. The Administrator may require that the Company’s or Affiliate’s tax withholding obligation to be satisfied, in whole or in part, by (i) the Company withholding from Option Shares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or (ii) an arrangement whereby a certain number of Option Shares are immediately sold and proceeds from such sale are remitted to the Company or any applicable Affiliate in an amount that would satisfy the withholding amount due.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No Obligation to Continue Service Relationship</w:t>
      </w:r>
      <w:r>
        <w:rPr>
          <w:rFonts w:ascii="Times New Roman" w:hAnsi="Times New Roman"/>
          <w:sz w:val="20"/>
        </w:rPr>
        <w:t xml:space="preserve">. Neither the Company nor any Affiliate is obligated by or as a result of the Plan or this Agreement to continue the Optionee’s employment or other Service Relationship and neither the Plan nor this Agreement shall interfere in any way with the right of the Company or any Affiliate to terminate the Optionee’s employment or other Service Relationship at any time.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Integration</w:t>
      </w:r>
      <w:r>
        <w:rPr>
          <w:rFonts w:ascii="Times New Roman" w:hAnsi="Times New Roman"/>
          <w:sz w:val="20"/>
        </w:rPr>
        <w:t xml:space="preserve">. This Agreement constitutes the entire agreement between the parties with respect to this Stock Option and supersedes all prior agreements and discussions between the parties concerning such subject matter.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Data Privacy Consent</w:t>
      </w:r>
      <w:r>
        <w:rPr>
          <w:rFonts w:ascii="Times New Roman" w:hAnsi="Times New Roman"/>
          <w:sz w:val="20"/>
        </w:rPr>
        <w:t>. In order to administer the Plan and this Agreement and to implement or structure future equity grants, the Company, its Affiliates and certain agents thereof (together, the “</w:t>
      </w:r>
      <w:r>
        <w:rPr>
          <w:rFonts w:ascii="Times New Roman" w:hAnsi="Times New Roman"/>
          <w:i/>
          <w:sz w:val="20"/>
        </w:rPr>
        <w:t>Relevant Companies</w:t>
      </w:r>
      <w:r>
        <w:rPr>
          <w:rFonts w:ascii="Times New Roman" w:hAnsi="Times New Roman"/>
          <w:sz w:val="20"/>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 w:hAnsi="Times New Roman"/>
          <w:i/>
          <w:sz w:val="20"/>
        </w:rPr>
        <w:t>Relevant Information</w:t>
      </w:r>
      <w:r>
        <w:rPr>
          <w:rFonts w:ascii="Times New Roman" w:hAnsi="Times New Roman"/>
          <w:sz w:val="20"/>
        </w:rPr>
        <w:t xml:space="preserve">”). By entering into this Agreement, the Optionee (i) authorizes the Company to collect, process, register and transfer to the Relevant Companies all Relevant Information, (ii) waives any privacy rights the Optionee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have with respect to the Relevant Information, (iii) authorizes the Relevant Companies to store and transmit such information in electronic form and (iv) authorizes the transfer of the Relevant Information to any jurisdiction that the Relevant Companies consider appropriate. The Optionee shall have access to, and the right to change, the Relevant Information. Relevant Information will only be used in accordance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Notices</w:t>
      </w:r>
      <w:r>
        <w:rPr>
          <w:rFonts w:ascii="Times New Roman" w:hAnsi="Times New Roman"/>
          <w:sz w:val="20"/>
        </w:rPr>
        <w:t xml:space="preserve">.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Clawback Acknowledgement</w:t>
      </w:r>
      <w:r>
        <w:rPr>
          <w:rFonts w:ascii="Times New Roman" w:hAnsi="Times New Roman"/>
          <w:sz w:val="20"/>
        </w:rPr>
        <w:t>. The Optionee understands that if the Optionee is or becomes subject to the Obsidian Therapeutics, Inc. Compensation Recovery Policy (as amended from time to time, the “</w:t>
      </w:r>
      <w:r>
        <w:rPr>
          <w:rFonts w:ascii="Times New Roman" w:hAnsi="Times New Roman"/>
          <w:i/>
          <w:sz w:val="20"/>
        </w:rPr>
        <w:t>Clawback Policy</w:t>
      </w:r>
      <w:r>
        <w:rPr>
          <w:rFonts w:ascii="Times New Roman" w:hAnsi="Times New Roman"/>
          <w:sz w:val="20"/>
        </w:rPr>
        <w:t xml:space="preserve">”), the Company and/or the Board shall be entitled to recover all Erroneously Awarded Compensation (as defined in the Clawback Policy) from the Optionee pursuant to such means as the Company and/or the Board may elect. The Optionee agrees that the Optionee shall take all required action to enable such recovery. The Optionee understands that such recovery may be sought and occur after the Optionee’s Service Relationship terminates. The Optionee further agrees that the Optionee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Optionee hereby irrevocably agrees to forego such indemnification. The Optionee acknowledges and agrees that the Optionee has received and has had an opportunity to review the Clawback Policy. Any action by the Company to recover Erroneously Awarded Compensation under the Clawback Policy from the Optionee shall not be deemed (i) an event giving rise to a right to resign for “good reason,” if applicable, or serve as a basis for a claim of constructive termination under any benefits or compensation arrangement applicable to the Optionee or (ii) to constitute a breach of a contract or other arrangement to which the Optionee is a party. Further, to the extent that any Optionee receives any amount in excess of the amount that the Optionee should otherwise have received under the terms of the Award for any reason (including, without limitation, by reason of a financial restatement, mistake in calculations or other administrative error), the Administrator may require the Optionee to repay any such excess amount to the Company. This Section 11 is a material term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57"/>
        <w:gridCol w:w="139"/>
        <w:gridCol w:w="3186"/>
      </w:tblGrid>
      <w:tr>
        <w:trPr/>
        <w:tc>
          <w:tcPr>
            <w:tcW w:w="757"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OBSIDIAN THERAPEUTICS, INC.</w:t>
            </w:r>
          </w:p>
        </w:tc>
      </w:tr>
      <w:tr>
        <w:trPr>
          <w:trHeight w:val="240" w:hRule="atLeast"/>
        </w:trPr>
        <w:tc>
          <w:tcPr>
            <w:tcW w:w="757" w:type="dxa"/>
            <w:tcBorders/>
            <w:vAlign w:val="center"/>
          </w:tcPr>
          <w:p>
            <w:pPr>
              <w:pStyle w:val="TableContents"/>
              <w:bidi w:val="0"/>
              <w:spacing w:before="0" w:after="283"/>
              <w:jc w:val="left"/>
              <w:rPr>
                <w:sz w:val="4"/>
                <w:szCs w:val="4"/>
              </w:rPr>
            </w:pPr>
            <w:r>
              <w:rPr>
                <w:sz w:val="4"/>
                <w:szCs w:val="4"/>
              </w:rPr>
            </w:r>
          </w:p>
        </w:tc>
        <w:tc>
          <w:tcPr>
            <w:tcW w:w="3325" w:type="dxa"/>
            <w:gridSpan w:val="2"/>
            <w:tcBorders/>
            <w:vAlign w:val="center"/>
          </w:tcPr>
          <w:p>
            <w:pPr>
              <w:pStyle w:val="TableContents"/>
              <w:bidi w:val="0"/>
              <w:spacing w:before="0" w:after="283"/>
              <w:jc w:val="left"/>
              <w:rPr>
                <w:sz w:val="4"/>
                <w:szCs w:val="4"/>
              </w:rPr>
            </w:pPr>
            <w:r>
              <w:rPr>
                <w:sz w:val="4"/>
                <w:szCs w:val="4"/>
              </w:rPr>
            </w:r>
          </w:p>
        </w:tc>
      </w:tr>
      <w:tr>
        <w:trPr/>
        <w:tc>
          <w:tcPr>
            <w:tcW w:w="757" w:type="dxa"/>
            <w:tcBorders/>
          </w:tcPr>
          <w:p>
            <w:pPr>
              <w:pStyle w:val="TableContents"/>
              <w:bidi w:val="0"/>
              <w:spacing w:before="0" w:after="283"/>
              <w:jc w:val="left"/>
              <w:rPr/>
            </w:pPr>
            <w:r>
              <w:rPr/>
              <w:t>By:</w:t>
            </w:r>
          </w:p>
        </w:tc>
        <w:tc>
          <w:tcPr>
            <w:tcW w:w="139" w:type="dxa"/>
            <w:tcBorders/>
            <w:vAlign w:val="bottom"/>
          </w:tcPr>
          <w:p>
            <w:pPr>
              <w:pStyle w:val="TableContents"/>
              <w:bidi w:val="0"/>
              <w:spacing w:before="0" w:after="283"/>
              <w:jc w:val="left"/>
              <w:rPr/>
            </w:pPr>
            <w:r>
              <w:rPr/>
              <w:t> </w:t>
            </w:r>
          </w:p>
        </w:tc>
        <w:tc>
          <w:tcPr>
            <w:tcW w:w="3186" w:type="dxa"/>
            <w:tcBorders/>
          </w:tcPr>
          <w:p>
            <w:pPr>
              <w:pStyle w:val="TableContents"/>
              <w:pBdr>
                <w:bottom w:val="single" w:sz="2" w:space="1" w:color="000000"/>
              </w:pBdr>
              <w:bidi w:val="0"/>
              <w:spacing w:before="0" w:after="20"/>
              <w:jc w:val="left"/>
              <w:rPr/>
            </w:pPr>
            <w:r>
              <w:rPr/>
              <w:t> </w:t>
            </w:r>
          </w:p>
        </w:tc>
      </w:tr>
      <w:tr>
        <w:trPr/>
        <w:tc>
          <w:tcPr>
            <w:tcW w:w="757"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Agreement is hereby accepted and the terms and conditions thereof hereby agreed to by the undersigned. Electronic acceptance of this Agreement pursuant to the Company’s instructions to the Optionee (including through an online acceptance process) is acceptable.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3"/>
        <w:gridCol w:w="108"/>
        <w:gridCol w:w="2776"/>
        <w:gridCol w:w="108"/>
        <w:gridCol w:w="2176"/>
        <w:gridCol w:w="108"/>
        <w:gridCol w:w="4336"/>
      </w:tblGrid>
      <w:tr>
        <w:trPr/>
        <w:tc>
          <w:tcPr>
            <w:tcW w:w="59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336" w:type="dxa"/>
            <w:tcBorders/>
            <w:vAlign w:val="center"/>
          </w:tcPr>
          <w:p>
            <w:pPr>
              <w:pStyle w:val="TableContents"/>
              <w:bidi w:val="0"/>
              <w:spacing w:before="0" w:after="283"/>
              <w:jc w:val="left"/>
              <w:rPr>
                <w:sz w:val="4"/>
                <w:szCs w:val="4"/>
              </w:rPr>
            </w:pPr>
            <w:r>
              <w:rPr>
                <w:sz w:val="4"/>
                <w:szCs w:val="4"/>
              </w:rPr>
            </w:r>
          </w:p>
        </w:tc>
      </w:tr>
      <w:tr>
        <w:trPr/>
        <w:tc>
          <w:tcPr>
            <w:tcW w:w="593" w:type="dxa"/>
            <w:tcBorders/>
            <w:vAlign w:val="bottom"/>
          </w:tcPr>
          <w:p>
            <w:pPr>
              <w:pStyle w:val="TableContents"/>
              <w:bidi w:val="0"/>
              <w:spacing w:before="0" w:after="283"/>
              <w:jc w:val="left"/>
              <w:rPr/>
            </w:pPr>
            <w:r>
              <w:rPr/>
              <w:t>Dated:</w:t>
            </w:r>
          </w:p>
        </w:tc>
        <w:tc>
          <w:tcPr>
            <w:tcW w:w="108" w:type="dxa"/>
            <w:tcBorders/>
            <w:vAlign w:val="bottom"/>
          </w:tcPr>
          <w:p>
            <w:pPr>
              <w:pStyle w:val="TableContents"/>
              <w:bidi w:val="0"/>
              <w:spacing w:before="0" w:after="283"/>
              <w:jc w:val="left"/>
              <w:rPr/>
            </w:pPr>
            <w:r>
              <w:rPr/>
              <w:t> </w:t>
            </w:r>
          </w:p>
        </w:tc>
        <w:tc>
          <w:tcPr>
            <w:tcW w:w="2776" w:type="dxa"/>
            <w:tcBorders/>
            <w:vAlign w:val="bottom"/>
          </w:tcPr>
          <w:p>
            <w:pPr>
              <w:pStyle w:val="TableContents"/>
              <w:pBdr>
                <w:bottom w:val="single" w:sz="2" w:space="1" w:color="000000"/>
              </w:pBdr>
              <w:bidi w:val="0"/>
              <w:spacing w:before="0" w:after="20"/>
              <w:jc w:val="left"/>
              <w:rPr/>
            </w:pPr>
            <w:r>
              <w:rPr/>
              <w:t> </w:t>
            </w:r>
          </w:p>
        </w:tc>
        <w:tc>
          <w:tcPr>
            <w:tcW w:w="108" w:type="dxa"/>
            <w:tcBorders/>
            <w:vAlign w:val="bottom"/>
          </w:tcPr>
          <w:p>
            <w:pPr>
              <w:pStyle w:val="TableContents"/>
              <w:bidi w:val="0"/>
              <w:spacing w:before="0" w:after="283"/>
              <w:jc w:val="left"/>
              <w:rPr/>
            </w:pPr>
            <w:r>
              <w:rPr/>
              <w:t> </w:t>
            </w:r>
          </w:p>
        </w:tc>
        <w:tc>
          <w:tcPr>
            <w:tcW w:w="2176"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336" w:type="dxa"/>
            <w:tcBorders/>
            <w:vAlign w:val="bottom"/>
          </w:tcPr>
          <w:p>
            <w:pPr>
              <w:pStyle w:val="TableContents"/>
              <w:pBdr>
                <w:bottom w:val="single" w:sz="2" w:space="1" w:color="000000"/>
              </w:pBdr>
              <w:bidi w:val="0"/>
              <w:spacing w:before="0" w:after="20"/>
              <w:jc w:val="left"/>
              <w:rPr/>
            </w:pPr>
            <w:r>
              <w:rPr/>
              <w:t> </w:t>
            </w:r>
          </w:p>
        </w:tc>
      </w:tr>
      <w:tr>
        <w:trPr/>
        <w:tc>
          <w:tcPr>
            <w:tcW w:w="593"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776"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176"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336" w:type="dxa"/>
            <w:tcBorders/>
          </w:tcPr>
          <w:p>
            <w:pPr>
              <w:pStyle w:val="TableContents"/>
              <w:bidi w:val="0"/>
              <w:spacing w:before="0" w:after="283"/>
              <w:jc w:val="left"/>
              <w:rPr/>
            </w:pPr>
            <w:r>
              <w:rPr/>
              <w:t>Optionee’s Signature</w:t>
            </w:r>
          </w:p>
        </w:tc>
      </w:tr>
      <w:tr>
        <w:trPr>
          <w:trHeight w:val="240" w:hRule="atLeast"/>
        </w:trPr>
        <w:tc>
          <w:tcPr>
            <w:tcW w:w="593" w:type="dxa"/>
            <w:tcBorders/>
            <w:vAlign w:val="center"/>
          </w:tcPr>
          <w:p>
            <w:pPr>
              <w:pStyle w:val="TableContents"/>
              <w:bidi w:val="0"/>
              <w:spacing w:before="0" w:after="283"/>
              <w:jc w:val="left"/>
              <w:rPr>
                <w:sz w:val="4"/>
                <w:szCs w:val="4"/>
              </w:rPr>
            </w:pPr>
            <w:r>
              <w:rPr>
                <w:sz w:val="4"/>
                <w:szCs w:val="4"/>
              </w:rPr>
            </w:r>
          </w:p>
        </w:tc>
        <w:tc>
          <w:tcPr>
            <w:tcW w:w="2884" w:type="dxa"/>
            <w:gridSpan w:val="2"/>
            <w:tcBorders/>
            <w:vAlign w:val="center"/>
          </w:tcPr>
          <w:p>
            <w:pPr>
              <w:pStyle w:val="TableContents"/>
              <w:bidi w:val="0"/>
              <w:spacing w:before="0" w:after="283"/>
              <w:jc w:val="left"/>
              <w:rPr>
                <w:sz w:val="4"/>
                <w:szCs w:val="4"/>
              </w:rPr>
            </w:pPr>
            <w:r>
              <w:rPr>
                <w:sz w:val="4"/>
                <w:szCs w:val="4"/>
              </w:rPr>
            </w:r>
          </w:p>
        </w:tc>
        <w:tc>
          <w:tcPr>
            <w:tcW w:w="2284" w:type="dxa"/>
            <w:gridSpan w:val="2"/>
            <w:tcBorders/>
            <w:vAlign w:val="center"/>
          </w:tcPr>
          <w:p>
            <w:pPr>
              <w:pStyle w:val="TableContents"/>
              <w:bidi w:val="0"/>
              <w:spacing w:before="0" w:after="283"/>
              <w:jc w:val="left"/>
              <w:rPr>
                <w:sz w:val="4"/>
                <w:szCs w:val="4"/>
              </w:rPr>
            </w:pPr>
            <w:r>
              <w:rPr>
                <w:sz w:val="4"/>
                <w:szCs w:val="4"/>
              </w:rPr>
            </w:r>
          </w:p>
        </w:tc>
        <w:tc>
          <w:tcPr>
            <w:tcW w:w="4444" w:type="dxa"/>
            <w:gridSpan w:val="2"/>
            <w:tcBorders/>
            <w:vAlign w:val="center"/>
          </w:tcPr>
          <w:p>
            <w:pPr>
              <w:pStyle w:val="TableContents"/>
              <w:bidi w:val="0"/>
              <w:spacing w:before="0" w:after="283"/>
              <w:jc w:val="left"/>
              <w:rPr>
                <w:sz w:val="4"/>
                <w:szCs w:val="4"/>
              </w:rPr>
            </w:pPr>
            <w:r>
              <w:rPr>
                <w:sz w:val="4"/>
                <w:szCs w:val="4"/>
              </w:rPr>
            </w:r>
          </w:p>
        </w:tc>
      </w:tr>
      <w:tr>
        <w:trPr/>
        <w:tc>
          <w:tcPr>
            <w:tcW w:w="593"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776"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176"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336" w:type="dxa"/>
            <w:tcBorders/>
          </w:tcPr>
          <w:p>
            <w:pPr>
              <w:pStyle w:val="TableContents"/>
              <w:bidi w:val="0"/>
              <w:spacing w:before="0" w:after="283"/>
              <w:jc w:val="left"/>
              <w:rPr/>
            </w:pPr>
            <w:r>
              <w:rPr/>
              <w:t>Optionee’s name and address:</w:t>
            </w:r>
          </w:p>
        </w:tc>
      </w:tr>
      <w:tr>
        <w:trPr>
          <w:trHeight w:val="240" w:hRule="atLeast"/>
        </w:trPr>
        <w:tc>
          <w:tcPr>
            <w:tcW w:w="593" w:type="dxa"/>
            <w:tcBorders/>
            <w:vAlign w:val="center"/>
          </w:tcPr>
          <w:p>
            <w:pPr>
              <w:pStyle w:val="TableContents"/>
              <w:bidi w:val="0"/>
              <w:spacing w:before="0" w:after="283"/>
              <w:jc w:val="left"/>
              <w:rPr>
                <w:sz w:val="4"/>
                <w:szCs w:val="4"/>
              </w:rPr>
            </w:pPr>
            <w:r>
              <w:rPr>
                <w:sz w:val="4"/>
                <w:szCs w:val="4"/>
              </w:rPr>
            </w:r>
          </w:p>
        </w:tc>
        <w:tc>
          <w:tcPr>
            <w:tcW w:w="2884" w:type="dxa"/>
            <w:gridSpan w:val="2"/>
            <w:tcBorders/>
            <w:vAlign w:val="center"/>
          </w:tcPr>
          <w:p>
            <w:pPr>
              <w:pStyle w:val="TableContents"/>
              <w:bidi w:val="0"/>
              <w:spacing w:before="0" w:after="283"/>
              <w:jc w:val="left"/>
              <w:rPr>
                <w:sz w:val="4"/>
                <w:szCs w:val="4"/>
              </w:rPr>
            </w:pPr>
            <w:r>
              <w:rPr>
                <w:sz w:val="4"/>
                <w:szCs w:val="4"/>
              </w:rPr>
            </w:r>
          </w:p>
        </w:tc>
        <w:tc>
          <w:tcPr>
            <w:tcW w:w="2284" w:type="dxa"/>
            <w:gridSpan w:val="2"/>
            <w:tcBorders/>
            <w:vAlign w:val="center"/>
          </w:tcPr>
          <w:p>
            <w:pPr>
              <w:pStyle w:val="TableContents"/>
              <w:bidi w:val="0"/>
              <w:spacing w:before="0" w:after="283"/>
              <w:jc w:val="left"/>
              <w:rPr>
                <w:sz w:val="4"/>
                <w:szCs w:val="4"/>
              </w:rPr>
            </w:pPr>
            <w:r>
              <w:rPr>
                <w:sz w:val="4"/>
                <w:szCs w:val="4"/>
              </w:rPr>
            </w:r>
          </w:p>
        </w:tc>
        <w:tc>
          <w:tcPr>
            <w:tcW w:w="4444" w:type="dxa"/>
            <w:gridSpan w:val="2"/>
            <w:tcBorders/>
            <w:vAlign w:val="center"/>
          </w:tcPr>
          <w:p>
            <w:pPr>
              <w:pStyle w:val="TableContents"/>
              <w:bidi w:val="0"/>
              <w:spacing w:before="0" w:after="283"/>
              <w:jc w:val="left"/>
              <w:rPr>
                <w:sz w:val="4"/>
                <w:szCs w:val="4"/>
              </w:rPr>
            </w:pPr>
            <w:r>
              <w:rPr>
                <w:sz w:val="4"/>
                <w:szCs w:val="4"/>
              </w:rPr>
            </w:r>
          </w:p>
        </w:tc>
      </w:tr>
      <w:tr>
        <w:trPr/>
        <w:tc>
          <w:tcPr>
            <w:tcW w:w="593"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776"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176"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336" w:type="dxa"/>
            <w:tcBorders/>
            <w:vAlign w:val="bottom"/>
          </w:tcPr>
          <w:p>
            <w:pPr>
              <w:pStyle w:val="TableContents"/>
              <w:pBdr>
                <w:bottom w:val="single" w:sz="2" w:space="1" w:color="000000"/>
              </w:pBdr>
              <w:bidi w:val="0"/>
              <w:spacing w:before="0" w:after="20"/>
              <w:jc w:val="left"/>
              <w:rPr/>
            </w:pPr>
            <w:r>
              <w:rPr/>
              <w:t> </w:t>
            </w:r>
          </w:p>
        </w:tc>
      </w:tr>
      <w:tr>
        <w:trPr>
          <w:trHeight w:val="240" w:hRule="atLeast"/>
        </w:trPr>
        <w:tc>
          <w:tcPr>
            <w:tcW w:w="593" w:type="dxa"/>
            <w:tcBorders/>
            <w:vAlign w:val="center"/>
          </w:tcPr>
          <w:p>
            <w:pPr>
              <w:pStyle w:val="TableContents"/>
              <w:bidi w:val="0"/>
              <w:spacing w:before="0" w:after="283"/>
              <w:jc w:val="left"/>
              <w:rPr>
                <w:sz w:val="4"/>
                <w:szCs w:val="4"/>
              </w:rPr>
            </w:pPr>
            <w:r>
              <w:rPr>
                <w:sz w:val="4"/>
                <w:szCs w:val="4"/>
              </w:rPr>
            </w:r>
          </w:p>
        </w:tc>
        <w:tc>
          <w:tcPr>
            <w:tcW w:w="2884" w:type="dxa"/>
            <w:gridSpan w:val="2"/>
            <w:tcBorders/>
            <w:vAlign w:val="center"/>
          </w:tcPr>
          <w:p>
            <w:pPr>
              <w:pStyle w:val="TableContents"/>
              <w:bidi w:val="0"/>
              <w:spacing w:before="0" w:after="283"/>
              <w:jc w:val="left"/>
              <w:rPr>
                <w:sz w:val="4"/>
                <w:szCs w:val="4"/>
              </w:rPr>
            </w:pPr>
            <w:r>
              <w:rPr>
                <w:sz w:val="4"/>
                <w:szCs w:val="4"/>
              </w:rPr>
            </w:r>
          </w:p>
        </w:tc>
        <w:tc>
          <w:tcPr>
            <w:tcW w:w="2284" w:type="dxa"/>
            <w:gridSpan w:val="2"/>
            <w:tcBorders/>
            <w:vAlign w:val="center"/>
          </w:tcPr>
          <w:p>
            <w:pPr>
              <w:pStyle w:val="TableContents"/>
              <w:bidi w:val="0"/>
              <w:spacing w:before="0" w:after="283"/>
              <w:jc w:val="left"/>
              <w:rPr>
                <w:sz w:val="4"/>
                <w:szCs w:val="4"/>
              </w:rPr>
            </w:pPr>
            <w:r>
              <w:rPr>
                <w:sz w:val="4"/>
                <w:szCs w:val="4"/>
              </w:rPr>
            </w:r>
          </w:p>
        </w:tc>
        <w:tc>
          <w:tcPr>
            <w:tcW w:w="4444" w:type="dxa"/>
            <w:gridSpan w:val="2"/>
            <w:tcBorders/>
            <w:vAlign w:val="center"/>
          </w:tcPr>
          <w:p>
            <w:pPr>
              <w:pStyle w:val="TableContents"/>
              <w:bidi w:val="0"/>
              <w:spacing w:before="0" w:after="283"/>
              <w:jc w:val="left"/>
              <w:rPr>
                <w:sz w:val="4"/>
                <w:szCs w:val="4"/>
              </w:rPr>
            </w:pPr>
            <w:r>
              <w:rPr>
                <w:sz w:val="4"/>
                <w:szCs w:val="4"/>
              </w:rPr>
            </w:r>
          </w:p>
        </w:tc>
      </w:tr>
      <w:tr>
        <w:trPr/>
        <w:tc>
          <w:tcPr>
            <w:tcW w:w="593"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776"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176"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336" w:type="dxa"/>
            <w:tcBorders/>
            <w:vAlign w:val="bottom"/>
          </w:tcPr>
          <w:p>
            <w:pPr>
              <w:pStyle w:val="TableContents"/>
              <w:pBdr>
                <w:bottom w:val="single" w:sz="2" w:space="1" w:color="000000"/>
              </w:pBdr>
              <w:bidi w:val="0"/>
              <w:spacing w:before="0" w:after="20"/>
              <w:jc w:val="left"/>
              <w:rPr/>
            </w:pPr>
            <w:r>
              <w:rPr/>
              <w:t> </w:t>
            </w:r>
          </w:p>
        </w:tc>
      </w:tr>
      <w:tr>
        <w:trPr>
          <w:trHeight w:val="240" w:hRule="atLeast"/>
        </w:trPr>
        <w:tc>
          <w:tcPr>
            <w:tcW w:w="593" w:type="dxa"/>
            <w:tcBorders/>
            <w:vAlign w:val="center"/>
          </w:tcPr>
          <w:p>
            <w:pPr>
              <w:pStyle w:val="TableContents"/>
              <w:bidi w:val="0"/>
              <w:spacing w:before="0" w:after="283"/>
              <w:jc w:val="left"/>
              <w:rPr>
                <w:sz w:val="4"/>
                <w:szCs w:val="4"/>
              </w:rPr>
            </w:pPr>
            <w:r>
              <w:rPr>
                <w:sz w:val="4"/>
                <w:szCs w:val="4"/>
              </w:rPr>
            </w:r>
          </w:p>
        </w:tc>
        <w:tc>
          <w:tcPr>
            <w:tcW w:w="2884" w:type="dxa"/>
            <w:gridSpan w:val="2"/>
            <w:tcBorders/>
            <w:vAlign w:val="center"/>
          </w:tcPr>
          <w:p>
            <w:pPr>
              <w:pStyle w:val="TableContents"/>
              <w:bidi w:val="0"/>
              <w:spacing w:before="0" w:after="283"/>
              <w:jc w:val="left"/>
              <w:rPr>
                <w:sz w:val="4"/>
                <w:szCs w:val="4"/>
              </w:rPr>
            </w:pPr>
            <w:r>
              <w:rPr>
                <w:sz w:val="4"/>
                <w:szCs w:val="4"/>
              </w:rPr>
            </w:r>
          </w:p>
        </w:tc>
        <w:tc>
          <w:tcPr>
            <w:tcW w:w="2284" w:type="dxa"/>
            <w:gridSpan w:val="2"/>
            <w:tcBorders/>
            <w:vAlign w:val="center"/>
          </w:tcPr>
          <w:p>
            <w:pPr>
              <w:pStyle w:val="TableContents"/>
              <w:bidi w:val="0"/>
              <w:spacing w:before="0" w:after="283"/>
              <w:jc w:val="left"/>
              <w:rPr>
                <w:sz w:val="4"/>
                <w:szCs w:val="4"/>
              </w:rPr>
            </w:pPr>
            <w:r>
              <w:rPr>
                <w:sz w:val="4"/>
                <w:szCs w:val="4"/>
              </w:rPr>
            </w:r>
          </w:p>
        </w:tc>
        <w:tc>
          <w:tcPr>
            <w:tcW w:w="4444" w:type="dxa"/>
            <w:gridSpan w:val="2"/>
            <w:tcBorders/>
            <w:vAlign w:val="center"/>
          </w:tcPr>
          <w:p>
            <w:pPr>
              <w:pStyle w:val="TableContents"/>
              <w:bidi w:val="0"/>
              <w:spacing w:before="0" w:after="283"/>
              <w:jc w:val="left"/>
              <w:rPr>
                <w:sz w:val="4"/>
                <w:szCs w:val="4"/>
              </w:rPr>
            </w:pPr>
            <w:r>
              <w:rPr>
                <w:sz w:val="4"/>
                <w:szCs w:val="4"/>
              </w:rPr>
            </w:r>
          </w:p>
        </w:tc>
      </w:tr>
      <w:tr>
        <w:trPr/>
        <w:tc>
          <w:tcPr>
            <w:tcW w:w="593"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776"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176"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336" w:type="dxa"/>
            <w:tcBorders/>
            <w:vAlign w:val="bottom"/>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UNIT AWARD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OBSIDIAN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EQUITY INCENTIVE PLAN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45"/>
        <w:gridCol w:w="101"/>
        <w:gridCol w:w="7859"/>
      </w:tblGrid>
      <w:tr>
        <w:trPr/>
        <w:tc>
          <w:tcPr>
            <w:tcW w:w="224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859" w:type="dxa"/>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pPr>
            <w:r>
              <w:rPr/>
              <w:t>Name of Grantee:</w:t>
            </w:r>
          </w:p>
        </w:tc>
        <w:tc>
          <w:tcPr>
            <w:tcW w:w="101"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u w:val="single"/>
              </w:rPr>
            </w:pPr>
            <w:r>
              <w:rPr>
                <w:u w:val="single"/>
              </w:rPr>
              <w:t>                </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7960"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pPr>
            <w:r>
              <w:rPr/>
              <w:t>No. of Restricted Stock Units:</w:t>
            </w:r>
          </w:p>
        </w:tc>
        <w:tc>
          <w:tcPr>
            <w:tcW w:w="101"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u w:val="single"/>
              </w:rPr>
            </w:pPr>
            <w:r>
              <w:rPr>
                <w:u w:val="single"/>
              </w:rPr>
              <w:t>        </w:t>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7960"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pPr>
            <w:r>
              <w:rPr/>
              <w:t>Grant Date:</w:t>
            </w:r>
          </w:p>
        </w:tc>
        <w:tc>
          <w:tcPr>
            <w:tcW w:w="101"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283"/>
              <w:jc w:val="left"/>
              <w:rPr>
                <w:u w:val="single"/>
              </w:rPr>
            </w:pPr>
            <w:r>
              <w:rPr>
                <w:u w:val="single"/>
              </w:rPr>
              <w:t>        </w:t>
            </w:r>
          </w:p>
        </w:tc>
      </w:tr>
    </w:tbl>
    <w:p>
      <w:pPr>
        <w:pStyle w:val="TextBody"/>
        <w:bidi w:val="0"/>
        <w:spacing w:before="240" w:after="0"/>
        <w:jc w:val="left"/>
        <w:rPr>
          <w:rFonts w:ascii="Times New Roman" w:hAnsi="Times New Roman"/>
          <w:sz w:val="20"/>
        </w:rPr>
      </w:pPr>
      <w:r>
        <w:rPr>
          <w:rFonts w:ascii="Times New Roman" w:hAnsi="Times New Roman"/>
          <w:sz w:val="20"/>
        </w:rPr>
        <w:t>Pursuant to the Obsidian Therapeutics, Inc. 2026 Equity Incentive Plan, as amended through the date hereof (the “</w:t>
      </w:r>
      <w:r>
        <w:rPr>
          <w:rFonts w:ascii="Times New Roman" w:hAnsi="Times New Roman"/>
          <w:i/>
          <w:sz w:val="20"/>
        </w:rPr>
        <w:t>Plan</w:t>
      </w:r>
      <w:r>
        <w:rPr>
          <w:rFonts w:ascii="Times New Roman" w:hAnsi="Times New Roman"/>
          <w:sz w:val="20"/>
        </w:rPr>
        <w:t>”), Obsidian Therapeutics, Inc. (the “</w:t>
      </w:r>
      <w:r>
        <w:rPr>
          <w:rFonts w:ascii="Times New Roman" w:hAnsi="Times New Roman"/>
          <w:i/>
          <w:sz w:val="20"/>
        </w:rPr>
        <w:t>Company</w:t>
      </w:r>
      <w:r>
        <w:rPr>
          <w:rFonts w:ascii="Times New Roman" w:hAnsi="Times New Roman"/>
          <w:sz w:val="20"/>
        </w:rPr>
        <w:t>”) hereby grants an award of the number of Restricted Stock Units listed above (an “</w:t>
      </w:r>
      <w:r>
        <w:rPr>
          <w:rFonts w:ascii="Times New Roman" w:hAnsi="Times New Roman"/>
          <w:i/>
          <w:sz w:val="20"/>
        </w:rPr>
        <w:t>Award</w:t>
      </w:r>
      <w:r>
        <w:rPr>
          <w:rFonts w:ascii="Times New Roman" w:hAnsi="Times New Roman"/>
          <w:sz w:val="20"/>
        </w:rPr>
        <w:t>”) to the Grantee named above. Each Restricted Stock Unit relates to one share of Common Stock, par value $0.001 per share (the “</w:t>
      </w:r>
      <w:r>
        <w:rPr>
          <w:rFonts w:ascii="Times New Roman" w:hAnsi="Times New Roman"/>
          <w:i/>
          <w:sz w:val="20"/>
        </w:rPr>
        <w:t>Shares</w:t>
      </w:r>
      <w:r>
        <w:rPr>
          <w:rFonts w:ascii="Times New Roman" w:hAnsi="Times New Roman"/>
          <w:sz w:val="20"/>
        </w:rPr>
        <w:t xml:space="preserve">”),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Restrictions on Transfer of Award</w:t>
      </w:r>
      <w:r>
        <w:rPr>
          <w:rFonts w:ascii="Times New Roman" w:hAnsi="Times New Roman"/>
          <w:sz w:val="20"/>
        </w:rPr>
        <w:t xml:space="preserve">. This Award may not be sold, transferred, pledged, assigned or otherwise encumbered or disposed of by the Grantee, and any Shares issuable with respect to the Award may not be sold, transferred, pledged, assigned or otherwise encumbered or disposed of until (i) the Restricted Stock Units have vested as provided in Paragraph 2 of this Agreement and (ii) Shares have been issued to the Grantee in accordance with the terms of the Plan and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Vesting of Restricted Stock Units</w:t>
      </w:r>
      <w:r>
        <w:rPr>
          <w:rFonts w:ascii="Times New Roman" w:hAnsi="Times New Roman"/>
          <w:sz w:val="20"/>
        </w:rPr>
        <w:t>. The restrictions and conditions of Paragraph 1 of this Agreement shall lapse on the vesting dates (each such date, a “</w:t>
      </w:r>
      <w:r>
        <w:rPr>
          <w:rFonts w:ascii="Times New Roman" w:hAnsi="Times New Roman"/>
          <w:i/>
          <w:sz w:val="20"/>
        </w:rPr>
        <w:t>Vesting Date</w:t>
      </w:r>
      <w:r>
        <w:rPr>
          <w:rFonts w:ascii="Times New Roman" w:hAnsi="Times New Roman"/>
          <w:sz w:val="20"/>
        </w:rPr>
        <w:t xml:space="preserve">”) specified in the following schedule so long as the Grantee remains in a Service Relationship through the applicable Vesting Date. If a series of Vesting Dates is specified, then the restrictions and conditions in Paragraph 1 shall lapse only with respect to the number of Restricted Stock Units specified as vested on such Vesting Date.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69"/>
        <w:gridCol w:w="217"/>
        <w:gridCol w:w="60"/>
        <w:gridCol w:w="1230"/>
        <w:gridCol w:w="63"/>
      </w:tblGrid>
      <w:tr>
        <w:trPr/>
        <w:tc>
          <w:tcPr>
            <w:tcW w:w="5369"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6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Incremental Number of</w:t>
              <w:br/>
              <w:t>Restricted Stock Units Vested</w:t>
            </w:r>
          </w:p>
        </w:tc>
        <w:tc>
          <w:tcPr>
            <w:tcW w:w="217" w:type="dxa"/>
            <w:tcBorders/>
            <w:vAlign w:val="bottom"/>
          </w:tcPr>
          <w:p>
            <w:pPr>
              <w:pStyle w:val="TableContents"/>
              <w:bidi w:val="0"/>
              <w:spacing w:before="0" w:after="283"/>
              <w:jc w:val="left"/>
              <w:rPr/>
            </w:pPr>
            <w:r>
              <w:rPr/>
              <w:t>  </w:t>
            </w:r>
          </w:p>
        </w:tc>
        <w:tc>
          <w:tcPr>
            <w:tcW w:w="1290" w:type="dxa"/>
            <w:gridSpan w:val="2"/>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Vesting Date</w:t>
            </w:r>
          </w:p>
        </w:tc>
        <w:tc>
          <w:tcPr>
            <w:tcW w:w="63" w:type="dxa"/>
            <w:tcBorders/>
            <w:vAlign w:val="bottom"/>
          </w:tcPr>
          <w:p>
            <w:pPr>
              <w:pStyle w:val="TableContents"/>
              <w:bidi w:val="0"/>
              <w:spacing w:before="0" w:after="283"/>
              <w:jc w:val="left"/>
              <w:rPr/>
            </w:pPr>
            <w:r>
              <w:rPr/>
              <w:t> </w:t>
            </w:r>
          </w:p>
        </w:tc>
      </w:tr>
      <w:tr>
        <w:trPr/>
        <w:tc>
          <w:tcPr>
            <w:tcW w:w="5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u w:val="single"/>
              </w:rPr>
            </w:pPr>
            <w:r>
              <w:rPr>
                <w:u w:val="single"/>
              </w:rPr>
              <w:t>     </w:t>
            </w:r>
          </w:p>
        </w:tc>
        <w:tc>
          <w:tcPr>
            <w:tcW w:w="63" w:type="dxa"/>
            <w:tcBorders/>
            <w:shd w:fill="CCEEFF" w:val="clear"/>
            <w:vAlign w:val="bottom"/>
          </w:tcPr>
          <w:p>
            <w:pPr>
              <w:pStyle w:val="TableContents"/>
              <w:bidi w:val="0"/>
              <w:spacing w:before="0" w:after="283"/>
              <w:jc w:val="left"/>
              <w:rPr/>
            </w:pPr>
            <w:r>
              <w:rPr/>
              <w:t> </w:t>
            </w:r>
          </w:p>
        </w:tc>
      </w:tr>
      <w:tr>
        <w:trPr/>
        <w:tc>
          <w:tcPr>
            <w:tcW w:w="5369" w:type="dxa"/>
            <w:tcBorders/>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u w:val="single"/>
              </w:rPr>
            </w:pPr>
            <w:r>
              <w:rPr>
                <w:u w:val="single"/>
              </w:rPr>
              <w:t>     </w:t>
            </w:r>
          </w:p>
        </w:tc>
        <w:tc>
          <w:tcPr>
            <w:tcW w:w="63" w:type="dxa"/>
            <w:tcBorders/>
            <w:vAlign w:val="bottom"/>
          </w:tcPr>
          <w:p>
            <w:pPr>
              <w:pStyle w:val="TableContents"/>
              <w:bidi w:val="0"/>
              <w:spacing w:before="0" w:after="283"/>
              <w:jc w:val="left"/>
              <w:rPr/>
            </w:pPr>
            <w:r>
              <w:rPr/>
              <w:t> </w:t>
            </w:r>
          </w:p>
        </w:tc>
      </w:tr>
      <w:tr>
        <w:trPr/>
        <w:tc>
          <w:tcPr>
            <w:tcW w:w="5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u w:val="single"/>
              </w:rPr>
            </w:pPr>
            <w:r>
              <w:rPr>
                <w:u w:val="single"/>
              </w:rPr>
              <w:t>     </w:t>
            </w:r>
          </w:p>
        </w:tc>
        <w:tc>
          <w:tcPr>
            <w:tcW w:w="63" w:type="dxa"/>
            <w:tcBorders/>
            <w:shd w:fill="CCEEFF" w:val="clear"/>
            <w:vAlign w:val="bottom"/>
          </w:tcPr>
          <w:p>
            <w:pPr>
              <w:pStyle w:val="TableContents"/>
              <w:bidi w:val="0"/>
              <w:spacing w:before="0" w:after="283"/>
              <w:jc w:val="left"/>
              <w:rPr/>
            </w:pPr>
            <w:r>
              <w:rPr/>
              <w:t> </w:t>
            </w:r>
          </w:p>
        </w:tc>
      </w:tr>
      <w:tr>
        <w:trPr/>
        <w:tc>
          <w:tcPr>
            <w:tcW w:w="5369" w:type="dxa"/>
            <w:tcBorders/>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u w:val="single"/>
              </w:rPr>
            </w:pPr>
            <w:r>
              <w:rPr>
                <w:u w:val="single"/>
              </w:rPr>
              <w:t>     </w:t>
            </w:r>
          </w:p>
        </w:tc>
        <w:tc>
          <w:tcPr>
            <w:tcW w:w="63" w:type="dxa"/>
            <w:tcBorders/>
            <w:vAlign w:val="bottom"/>
          </w:tcPr>
          <w:p>
            <w:pPr>
              <w:pStyle w:val="TableContents"/>
              <w:bidi w:val="0"/>
              <w:spacing w:before="0" w:after="283"/>
              <w:jc w:val="left"/>
              <w:rPr/>
            </w:pPr>
            <w:r>
              <w:rPr/>
              <w:t> </w:t>
            </w:r>
          </w:p>
        </w:tc>
      </w:tr>
      <w:tr>
        <w:trPr/>
        <w:tc>
          <w:tcPr>
            <w:tcW w:w="5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_____________ (___%)</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u w:val="single"/>
              </w:rPr>
            </w:pPr>
            <w:r>
              <w:rPr>
                <w:u w:val="single"/>
              </w:rPr>
              <w:t>     </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or in the Plan, all outstanding Restricted Stock Units shall become fully vested upon a Sale Event; provided that the Grantee remains in a Service Relationship through the consummation of the Sale Event.]1 The Administrator may at any time accelerate the vesting schedule specified in this Paragraph 2.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Note to Draft</w:t>
            </w:r>
            <w:r>
              <w:rPr>
                <w:rFonts w:ascii="Times New Roman" w:hAnsi="Times New Roman"/>
                <w:sz w:val="20"/>
              </w:rPr>
              <w:t xml:space="preserve">: To be included only for non-employee directors.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Termination of Service Relationship</w:t>
      </w:r>
      <w:r>
        <w:rPr>
          <w:rFonts w:ascii="Times New Roman" w:hAnsi="Times New Roman"/>
          <w:sz w:val="20"/>
        </w:rPr>
        <w:t xml:space="preserve">. Unless otherwise determined by the Administrator, if the Grantee’s Service Relationship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the Grantee’s successors, heirs, assigns or personal representatives will thereafter have any further rights or interests in such unvested 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Issuance of Shares</w:t>
      </w:r>
      <w:r>
        <w:rPr>
          <w:rFonts w:ascii="Times New Roman" w:hAnsi="Times New Roman"/>
          <w:sz w:val="20"/>
        </w:rPr>
        <w:t xml:space="preserve">. As soon as practicable following each Vesting Date (but in no event later than two and one-half months after the end of the year in which the Vesting Date occurs), the Company shall issue to the Grantee the number of Shares equal to the aggregate number of Restricted Stock Units that have vested pursuant to Paragraph 2 of this Agreement on such Vesting Date and the Grantee shall thereafter have all the rights of a stockholder of the Company with respect to such Shares.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Incorporation of Plan</w:t>
      </w:r>
      <w:r>
        <w:rPr>
          <w:rFonts w:ascii="Times New Roman" w:hAnsi="Times New Roman"/>
          <w:sz w:val="20"/>
        </w:rPr>
        <w:t xml:space="preserve">. Notwithstanding anything herein to the contrary, this Agreement shall be subject to and governed by all the terms and conditions of the Plan, including the powers of the Administrator set forth in Section 2(b) of the Plan. Capitalized terms in this Agreement shall have the meanings specified in the Plan, unless a different meaning is specified herein.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Tax Withholding</w:t>
      </w:r>
      <w:r>
        <w:rPr>
          <w:rFonts w:ascii="Times New Roman" w:hAnsi="Times New Roman"/>
          <w:sz w:val="20"/>
        </w:rPr>
        <w:t xml:space="preserve">. The Grantee shall, not later than the date as of which of this Award becomes includable in the gross income of the Grantee for income tax purposes, pay to the Company or an Affiliate, or make arrangements satisfactory to the Administrator for payment of, any U.S. federal, state or local and non-U.S. or other taxes of any kind required by law to be withheld by the Company or its Affiliates with respect to the Award. The Administrator may require that the Company’s or Affiliate’s tax withholding obligation be satisfied, in whole or in part, by (i) the Company withholding from Shares to be issued pursuant to this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or (ii) an arrangement whereby a certain number of Shares subject to the Award are immediately sold and proceeds from such sale are remitted to the Company or any applicable Affiliate in an amount that would satisfy the withholding amount due.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Section 409A of the Code.</w:t>
      </w:r>
      <w:r>
        <w:rPr>
          <w:rFonts w:ascii="Times New Roman" w:hAnsi="Times New Roman"/>
          <w:sz w:val="20"/>
        </w:rPr>
        <w:t xml:space="preserve"> This Agreement shall be interpreted in such a manner that all provisions relating to the settlement of the Award are exempt from the requirements of Section 409A as “short-term deferrals” as described in Section 409A.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 Obligation to Continue Service Relationship</w:t>
      </w:r>
      <w:r>
        <w:rPr>
          <w:rFonts w:ascii="Times New Roman" w:hAnsi="Times New Roman"/>
          <w:sz w:val="20"/>
        </w:rPr>
        <w:t xml:space="preserve">. Neither the Company nor any Affiliate is obligated by or as a result of the Plan or this Agreement to continue the Grantee’s employment or other Service Relationship and neither the Plan nor this Agreement shall interfere in any way with the right of the Company or any Affiliate to terminate the Grantee’s employment or other Service Relationship at any time.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Integration</w:t>
      </w:r>
      <w:r>
        <w:rPr>
          <w:rFonts w:ascii="Times New Roman" w:hAnsi="Times New Roman"/>
          <w:sz w:val="20"/>
        </w:rPr>
        <w:t xml:space="preserve">. This Agreement constitutes the entire agreement between the parties with respect to this Award and supersedes all prior agreements and discussions between the parties concerning such subject matter.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Data Privacy Consent</w:t>
      </w:r>
      <w:r>
        <w:rPr>
          <w:rFonts w:ascii="Times New Roman" w:hAnsi="Times New Roman"/>
          <w:sz w:val="20"/>
        </w:rPr>
        <w:t>. In order to administer the Plan and this Agreement and to implement or structure future equity grants, the Company, its Affiliates and certain agents thereof (together, the “</w:t>
      </w:r>
      <w:r>
        <w:rPr>
          <w:rFonts w:ascii="Times New Roman" w:hAnsi="Times New Roman"/>
          <w:i/>
          <w:sz w:val="20"/>
        </w:rPr>
        <w:t>Relevant Companies</w:t>
      </w:r>
      <w:r>
        <w:rPr>
          <w:rFonts w:ascii="Times New Roman" w:hAnsi="Times New Roman"/>
          <w:sz w:val="20"/>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 w:hAnsi="Times New Roman"/>
          <w:i/>
          <w:sz w:val="20"/>
        </w:rPr>
        <w:t>Relevant Information</w:t>
      </w:r>
      <w:r>
        <w:rPr>
          <w:rFonts w:ascii="Times New Roman" w:hAnsi="Times New Roman"/>
          <w:sz w:val="20"/>
        </w:rPr>
        <w:t xml:space="preserve">”).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that the Relevant Companies consider appropriate. The Grantee shall have access to, and the right to change, the Relevant Information. Relevant Information will only be used in accordance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Notices</w:t>
      </w:r>
      <w:r>
        <w:rPr>
          <w:rFonts w:ascii="Times New Roman" w:hAnsi="Times New Roman"/>
          <w:sz w:val="20"/>
        </w:rPr>
        <w:t xml:space="preserve">.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Clawback Acknowledgement</w:t>
      </w:r>
      <w:r>
        <w:rPr>
          <w:rFonts w:ascii="Times New Roman" w:hAnsi="Times New Roman"/>
          <w:sz w:val="20"/>
        </w:rPr>
        <w:t>. The Grantee understands that if the Grantee is or becomes subject to the Obsidian Therapeutics, Inc. Compensation Recovery Policy (as amended from time to time, the “</w:t>
      </w:r>
      <w:r>
        <w:rPr>
          <w:rFonts w:ascii="Times New Roman" w:hAnsi="Times New Roman"/>
          <w:i/>
          <w:sz w:val="20"/>
        </w:rPr>
        <w:t>Clawback Policy</w:t>
      </w:r>
      <w:r>
        <w:rPr>
          <w:rFonts w:ascii="Times New Roman" w:hAnsi="Times New Roman"/>
          <w:sz w:val="20"/>
        </w:rPr>
        <w:t xml:space="preserve">”), the Company and/or the Board shall be entitled to recover all Erroneously Awarded Compensation (as defined in the Clawback Policy) from the Grantee pursuant to such means as the Company and/or the Board may elect. The Grantee agrees that the Grantee shall take all required action to enable such recovery. The Grantee understands that such recovery may be sought and occur after the Grantee’s Service Relationship terminates. The Grantee further agrees that the Grantee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Grantee hereby irrevocably agrees to forego such indemnification. The Grantee acknowledges and agrees that the Grantee has received and has had an opportunity to review the Clawback Policy. Any action by the Company to recover Erroneously Awarded Compensation under the Clawback Policy from the Grantee shall not be deemed (i) an event giving rise to a right to resign for “good reason,” if applicable, or serve as a basis for a claim of constructive termination under any benefits or compensation arrangement applicable to the Grantee or (ii) to constitute a breach of a contract or other arrangement to which the Grantee is a party. Further, to the extent that any Grantee receives any amount in excess of the amount that the Grantee should otherwise have received under the terms of the Award for any reason (including, without limitation, by reason of a financial restatement, mistake in calculations or other administrative error), the Administrator may require the Grantee to repay any such excess amount to the Company. This Section 12 is a material term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57"/>
        <w:gridCol w:w="139"/>
        <w:gridCol w:w="3186"/>
      </w:tblGrid>
      <w:tr>
        <w:trPr/>
        <w:tc>
          <w:tcPr>
            <w:tcW w:w="757"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OBSIDIAN THERAPEUTICS, INC.</w:t>
            </w:r>
          </w:p>
        </w:tc>
      </w:tr>
      <w:tr>
        <w:trPr>
          <w:trHeight w:val="240" w:hRule="atLeast"/>
        </w:trPr>
        <w:tc>
          <w:tcPr>
            <w:tcW w:w="757" w:type="dxa"/>
            <w:tcBorders/>
            <w:vAlign w:val="center"/>
          </w:tcPr>
          <w:p>
            <w:pPr>
              <w:pStyle w:val="TableContents"/>
              <w:bidi w:val="0"/>
              <w:spacing w:before="0" w:after="283"/>
              <w:jc w:val="left"/>
              <w:rPr>
                <w:sz w:val="4"/>
                <w:szCs w:val="4"/>
              </w:rPr>
            </w:pPr>
            <w:r>
              <w:rPr>
                <w:sz w:val="4"/>
                <w:szCs w:val="4"/>
              </w:rPr>
            </w:r>
          </w:p>
        </w:tc>
        <w:tc>
          <w:tcPr>
            <w:tcW w:w="3325" w:type="dxa"/>
            <w:gridSpan w:val="2"/>
            <w:tcBorders/>
            <w:vAlign w:val="center"/>
          </w:tcPr>
          <w:p>
            <w:pPr>
              <w:pStyle w:val="TableContents"/>
              <w:bidi w:val="0"/>
              <w:spacing w:before="0" w:after="283"/>
              <w:jc w:val="left"/>
              <w:rPr>
                <w:sz w:val="4"/>
                <w:szCs w:val="4"/>
              </w:rPr>
            </w:pPr>
            <w:r>
              <w:rPr>
                <w:sz w:val="4"/>
                <w:szCs w:val="4"/>
              </w:rPr>
            </w:r>
          </w:p>
        </w:tc>
      </w:tr>
      <w:tr>
        <w:trPr/>
        <w:tc>
          <w:tcPr>
            <w:tcW w:w="757" w:type="dxa"/>
            <w:tcBorders/>
          </w:tcPr>
          <w:p>
            <w:pPr>
              <w:pStyle w:val="TableContents"/>
              <w:bidi w:val="0"/>
              <w:spacing w:before="0" w:after="283"/>
              <w:jc w:val="left"/>
              <w:rPr/>
            </w:pPr>
            <w:r>
              <w:rPr/>
              <w:t>By:</w:t>
            </w:r>
          </w:p>
        </w:tc>
        <w:tc>
          <w:tcPr>
            <w:tcW w:w="139" w:type="dxa"/>
            <w:tcBorders/>
            <w:vAlign w:val="bottom"/>
          </w:tcPr>
          <w:p>
            <w:pPr>
              <w:pStyle w:val="TableContents"/>
              <w:bidi w:val="0"/>
              <w:spacing w:before="0" w:after="283"/>
              <w:jc w:val="left"/>
              <w:rPr/>
            </w:pPr>
            <w:r>
              <w:rPr/>
              <w:t> </w:t>
            </w:r>
          </w:p>
        </w:tc>
        <w:tc>
          <w:tcPr>
            <w:tcW w:w="3186" w:type="dxa"/>
            <w:tcBorders/>
          </w:tcPr>
          <w:p>
            <w:pPr>
              <w:pStyle w:val="TableContents"/>
              <w:pBdr>
                <w:bottom w:val="single" w:sz="2" w:space="1" w:color="000000"/>
              </w:pBdr>
              <w:bidi w:val="0"/>
              <w:spacing w:before="0" w:after="20"/>
              <w:jc w:val="left"/>
              <w:rPr/>
            </w:pPr>
            <w:r>
              <w:rPr/>
              <w:t> </w:t>
            </w:r>
          </w:p>
        </w:tc>
      </w:tr>
      <w:tr>
        <w:trPr/>
        <w:tc>
          <w:tcPr>
            <w:tcW w:w="757"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Agreement is hereby accepted and the terms and conditions thereof hereby agreed to by the undersigned. Electronic acceptance of this Agreement pursuant to the Company’s instructions to the Grantee (including through an online acceptance process) is acceptable.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318"/>
        <w:gridCol w:w="100"/>
        <w:gridCol w:w="408"/>
        <w:gridCol w:w="60"/>
        <w:gridCol w:w="23"/>
        <w:gridCol w:w="101"/>
        <w:gridCol w:w="4195"/>
      </w:tblGrid>
      <w:tr>
        <w:trPr/>
        <w:tc>
          <w:tcPr>
            <w:tcW w:w="5318"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195" w:type="dxa"/>
            <w:tcBorders/>
            <w:vAlign w:val="center"/>
          </w:tcPr>
          <w:p>
            <w:pPr>
              <w:pStyle w:val="TableContents"/>
              <w:bidi w:val="0"/>
              <w:spacing w:before="0" w:after="283"/>
              <w:jc w:val="left"/>
              <w:rPr>
                <w:sz w:val="4"/>
                <w:szCs w:val="4"/>
              </w:rPr>
            </w:pPr>
            <w:r>
              <w:rPr>
                <w:sz w:val="4"/>
                <w:szCs w:val="4"/>
              </w:rPr>
            </w:r>
          </w:p>
        </w:tc>
      </w:tr>
      <w:tr>
        <w:trPr/>
        <w:tc>
          <w:tcPr>
            <w:tcW w:w="5318" w:type="dxa"/>
            <w:tcBorders/>
          </w:tcPr>
          <w:p>
            <w:pPr>
              <w:pStyle w:val="TableContents"/>
              <w:bidi w:val="0"/>
              <w:spacing w:before="0" w:after="283"/>
              <w:jc w:val="left"/>
              <w:rPr/>
            </w:pPr>
            <w:r>
              <w:rPr/>
              <w:t xml:space="preserve">Dated: </w:t>
            </w:r>
            <w:r>
              <w:rPr>
                <w:u w:val="single"/>
              </w:rPr>
              <w:t>      </w:t>
            </w:r>
          </w:p>
        </w:tc>
        <w:tc>
          <w:tcPr>
            <w:tcW w:w="100"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195" w:type="dxa"/>
            <w:tcBorders/>
          </w:tcPr>
          <w:p>
            <w:pPr>
              <w:pStyle w:val="TableContents"/>
              <w:pBdr>
                <w:bottom w:val="single" w:sz="2" w:space="1" w:color="000000"/>
              </w:pBdr>
              <w:bidi w:val="0"/>
              <w:spacing w:before="0" w:after="20"/>
              <w:jc w:val="left"/>
              <w:rPr/>
            </w:pPr>
            <w:r>
              <w:rPr/>
              <w:t> </w:t>
            </w:r>
          </w:p>
        </w:tc>
      </w:tr>
      <w:tr>
        <w:trPr/>
        <w:tc>
          <w:tcPr>
            <w:tcW w:w="5318"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195" w:type="dxa"/>
            <w:tcBorders/>
          </w:tcPr>
          <w:p>
            <w:pPr>
              <w:pStyle w:val="TableContents"/>
              <w:bidi w:val="0"/>
              <w:spacing w:before="0" w:after="283"/>
              <w:jc w:val="left"/>
              <w:rPr/>
            </w:pPr>
            <w:r>
              <w:rPr/>
              <w:t>Grantee’s Signature</w:t>
            </w:r>
          </w:p>
        </w:tc>
      </w:tr>
      <w:tr>
        <w:trPr>
          <w:trHeight w:val="240" w:hRule="atLeast"/>
        </w:trPr>
        <w:tc>
          <w:tcPr>
            <w:tcW w:w="5318"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96" w:type="dxa"/>
            <w:gridSpan w:val="2"/>
            <w:tcBorders/>
            <w:vAlign w:val="center"/>
          </w:tcPr>
          <w:p>
            <w:pPr>
              <w:pStyle w:val="TableContents"/>
              <w:bidi w:val="0"/>
              <w:spacing w:before="0" w:after="283"/>
              <w:jc w:val="left"/>
              <w:rPr>
                <w:sz w:val="4"/>
                <w:szCs w:val="4"/>
              </w:rPr>
            </w:pPr>
            <w:r>
              <w:rPr>
                <w:sz w:val="4"/>
                <w:szCs w:val="4"/>
              </w:rPr>
            </w:r>
          </w:p>
        </w:tc>
      </w:tr>
      <w:tr>
        <w:trPr/>
        <w:tc>
          <w:tcPr>
            <w:tcW w:w="5318"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195" w:type="dxa"/>
            <w:tcBorders/>
          </w:tcPr>
          <w:p>
            <w:pPr>
              <w:pStyle w:val="TableContents"/>
              <w:bidi w:val="0"/>
              <w:spacing w:before="0" w:after="283"/>
              <w:jc w:val="left"/>
              <w:rPr/>
            </w:pPr>
            <w:r>
              <w:rPr/>
              <w:t>Grantee’s name and address:</w:t>
            </w:r>
          </w:p>
        </w:tc>
      </w:tr>
      <w:tr>
        <w:trPr>
          <w:trHeight w:val="240" w:hRule="atLeast"/>
        </w:trPr>
        <w:tc>
          <w:tcPr>
            <w:tcW w:w="5318"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96" w:type="dxa"/>
            <w:gridSpan w:val="2"/>
            <w:tcBorders/>
            <w:vAlign w:val="center"/>
          </w:tcPr>
          <w:p>
            <w:pPr>
              <w:pStyle w:val="TableContents"/>
              <w:bidi w:val="0"/>
              <w:spacing w:before="0" w:after="283"/>
              <w:jc w:val="left"/>
              <w:rPr>
                <w:sz w:val="4"/>
                <w:szCs w:val="4"/>
              </w:rPr>
            </w:pPr>
            <w:r>
              <w:rPr>
                <w:sz w:val="4"/>
                <w:szCs w:val="4"/>
              </w:rPr>
            </w:r>
          </w:p>
        </w:tc>
      </w:tr>
      <w:tr>
        <w:trPr/>
        <w:tc>
          <w:tcPr>
            <w:tcW w:w="5318"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195" w:type="dxa"/>
            <w:tcBorders/>
          </w:tcPr>
          <w:p>
            <w:pPr>
              <w:pStyle w:val="TableContents"/>
              <w:pBdr>
                <w:bottom w:val="single" w:sz="2" w:space="1" w:color="000000"/>
              </w:pBdr>
              <w:bidi w:val="0"/>
              <w:spacing w:before="0" w:after="20"/>
              <w:jc w:val="left"/>
              <w:rPr/>
            </w:pPr>
            <w:r>
              <w:rPr/>
              <w:t> </w:t>
            </w:r>
          </w:p>
        </w:tc>
      </w:tr>
      <w:tr>
        <w:trPr>
          <w:trHeight w:val="240" w:hRule="atLeast"/>
        </w:trPr>
        <w:tc>
          <w:tcPr>
            <w:tcW w:w="5318"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96" w:type="dxa"/>
            <w:gridSpan w:val="2"/>
            <w:tcBorders/>
            <w:vAlign w:val="center"/>
          </w:tcPr>
          <w:p>
            <w:pPr>
              <w:pStyle w:val="TableContents"/>
              <w:bidi w:val="0"/>
              <w:spacing w:before="0" w:after="283"/>
              <w:jc w:val="left"/>
              <w:rPr>
                <w:sz w:val="4"/>
                <w:szCs w:val="4"/>
              </w:rPr>
            </w:pPr>
            <w:r>
              <w:rPr>
                <w:sz w:val="4"/>
                <w:szCs w:val="4"/>
              </w:rPr>
            </w:r>
          </w:p>
        </w:tc>
      </w:tr>
      <w:tr>
        <w:trPr/>
        <w:tc>
          <w:tcPr>
            <w:tcW w:w="5318"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195" w:type="dxa"/>
            <w:tcBorders/>
          </w:tcPr>
          <w:p>
            <w:pPr>
              <w:pStyle w:val="TableContents"/>
              <w:pBdr>
                <w:bottom w:val="single" w:sz="2" w:space="1" w:color="000000"/>
              </w:pBdr>
              <w:bidi w:val="0"/>
              <w:spacing w:before="0" w:after="20"/>
              <w:jc w:val="left"/>
              <w:rPr/>
            </w:pPr>
            <w:r>
              <w:rPr/>
              <w:t> </w:t>
            </w:r>
          </w:p>
        </w:tc>
      </w:tr>
      <w:tr>
        <w:trPr>
          <w:trHeight w:val="240" w:hRule="atLeast"/>
        </w:trPr>
        <w:tc>
          <w:tcPr>
            <w:tcW w:w="5318"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96" w:type="dxa"/>
            <w:gridSpan w:val="2"/>
            <w:tcBorders/>
            <w:vAlign w:val="center"/>
          </w:tcPr>
          <w:p>
            <w:pPr>
              <w:pStyle w:val="TableContents"/>
              <w:bidi w:val="0"/>
              <w:spacing w:before="0" w:after="283"/>
              <w:jc w:val="left"/>
              <w:rPr>
                <w:sz w:val="4"/>
                <w:szCs w:val="4"/>
              </w:rPr>
            </w:pPr>
            <w:r>
              <w:rPr>
                <w:sz w:val="4"/>
                <w:szCs w:val="4"/>
              </w:rPr>
            </w:r>
          </w:p>
        </w:tc>
      </w:tr>
      <w:tr>
        <w:trPr/>
        <w:tc>
          <w:tcPr>
            <w:tcW w:w="5318"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195"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11" w:name="d105773dex993.htm"/>
      <w:bookmarkStart w:id="12" w:name="ksd105773dex993"/>
      <w:bookmarkEnd w:id="11"/>
      <w:bookmarkEnd w:id="12"/>
      <w:r>
        <w:rPr>
          <w:rFonts w:ascii="Times New Roman" w:hAnsi="Times New Roman"/>
          <w:b/>
          <w:sz w:val="20"/>
        </w:rPr>
        <w:t xml:space="preserve">Exhibit 99.3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OBSIDIAN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240" w:after="0"/>
        <w:jc w:val="left"/>
        <w:rPr>
          <w:rFonts w:ascii="Times New Roman" w:hAnsi="Times New Roman"/>
          <w:sz w:val="20"/>
        </w:rPr>
      </w:pPr>
      <w:r>
        <w:rPr>
          <w:rFonts w:ascii="Times New Roman" w:hAnsi="Times New Roman"/>
          <w:sz w:val="20"/>
        </w:rPr>
        <w:t>The purpose of the Obsidian Therapeutics, Inc. 2026 Employee Stock Purchase Plan (the “</w:t>
      </w:r>
      <w:r>
        <w:rPr>
          <w:rFonts w:ascii="Times New Roman" w:hAnsi="Times New Roman"/>
          <w:i/>
          <w:sz w:val="20"/>
        </w:rPr>
        <w:t>Plan</w:t>
      </w:r>
      <w:r>
        <w:rPr>
          <w:rFonts w:ascii="Times New Roman" w:hAnsi="Times New Roman"/>
          <w:sz w:val="20"/>
        </w:rPr>
        <w:t>”) is to provide eligible employees of Obsidian Therapeutics, Inc. (the “</w:t>
      </w:r>
      <w:r>
        <w:rPr>
          <w:rFonts w:ascii="Times New Roman" w:hAnsi="Times New Roman"/>
          <w:i/>
          <w:sz w:val="20"/>
        </w:rPr>
        <w:t>Company</w:t>
      </w:r>
      <w:r>
        <w:rPr>
          <w:rFonts w:ascii="Times New Roman" w:hAnsi="Times New Roman"/>
          <w:sz w:val="20"/>
        </w:rPr>
        <w:t>”) and each Designated Company (as defined in Section 11) with opportunities to purchase shares of Stock (as defined in Section 11). A number of shares of Stock equal to the lesser of (x) 1% of the number of fully diluted shares of the Company outstanding immediately following the Effective Time (as defined in the Merger Agreement (as defined in Section 11)) and (y) 759,452 shares (the “</w:t>
      </w:r>
      <w:r>
        <w:rPr>
          <w:rFonts w:ascii="Times New Roman" w:hAnsi="Times New Roman"/>
          <w:i/>
          <w:sz w:val="20"/>
        </w:rPr>
        <w:t>Initial Limit</w:t>
      </w:r>
      <w:r>
        <w:rPr>
          <w:rFonts w:ascii="Times New Roman" w:hAnsi="Times New Roman"/>
          <w:sz w:val="20"/>
        </w:rPr>
        <w:t xml:space="preserve">”) have been approved and reserved for this purpose plus, on January 1, 2027 and each January 1 thereafter through January 1, 2036, the number of shares of Stock reserved and available for issuance under the Plan shall be cumulatively increased by the least of (i) 1% of the number of Outstanding Shares on the immediately preceding December 31st, (ii) the Initial Limit or (iii) such number of shares of Stock as determined by the Administrator. </w:t>
      </w:r>
    </w:p>
    <w:p>
      <w:pPr>
        <w:pStyle w:val="TextBody"/>
        <w:bidi w:val="0"/>
        <w:spacing w:before="240" w:after="0"/>
        <w:jc w:val="left"/>
        <w:rPr>
          <w:rFonts w:ascii="Times New Roman" w:hAnsi="Times New Roman"/>
          <w:sz w:val="20"/>
        </w:rPr>
      </w:pPr>
      <w:r>
        <w:rPr>
          <w:rFonts w:ascii="Times New Roman" w:hAnsi="Times New Roman"/>
          <w:sz w:val="20"/>
        </w:rPr>
        <w:t>The Plan includes two components: a Code Section 423 Component (the “</w:t>
      </w:r>
      <w:r>
        <w:rPr>
          <w:rFonts w:ascii="Times New Roman" w:hAnsi="Times New Roman"/>
          <w:i/>
          <w:sz w:val="20"/>
        </w:rPr>
        <w:t>423 Component</w:t>
      </w:r>
      <w:r>
        <w:rPr>
          <w:rFonts w:ascii="Times New Roman" w:hAnsi="Times New Roman"/>
          <w:sz w:val="20"/>
        </w:rPr>
        <w:t>”) and a non-Code Section 423 Component (the “</w:t>
      </w:r>
      <w:r>
        <w:rPr>
          <w:rFonts w:ascii="Times New Roman" w:hAnsi="Times New Roman"/>
          <w:i/>
          <w:sz w:val="20"/>
        </w:rPr>
        <w:t>Non-423 Component</w:t>
      </w:r>
      <w:r>
        <w:rPr>
          <w:rFonts w:ascii="Times New Roman" w:hAnsi="Times New Roman"/>
          <w:sz w:val="20"/>
        </w:rPr>
        <w:t>”). It is intended for the 423 Component to constitute an “employee stock purchase plan” within the meaning of Section 423(b) of the U.S. Internal Revenue Code of 1986, as amended (the “</w:t>
      </w:r>
      <w:r>
        <w:rPr>
          <w:rFonts w:ascii="Times New Roman" w:hAnsi="Times New Roman"/>
          <w:i/>
          <w:sz w:val="20"/>
        </w:rPr>
        <w:t>Code</w:t>
      </w:r>
      <w:r>
        <w:rPr>
          <w:rFonts w:ascii="Times New Roman" w:hAnsi="Times New Roman"/>
          <w:sz w:val="20"/>
        </w:rPr>
        <w:t xml:space="preserve">”), and the 423 Component shall be interpreted in accordance with that intent (although the Company makes no undertaking or representation to maintain such qualification). In addition, this Plan authorizes the grant of Options (as defined in Section 8) under the Non-423 Component, which does not qualify as an “employee stock purchase plan” under Section 423 of the Code, and such Options granted under the Non-423 Component shall be granted pursuant to separate Offerings (as defined in Section 2) containing such sub-plans, appendices, rules or procedures as may be adopted by the Administrator (as defined in Section 1) and designed to achieve tax, securities laws or other objectives for eligible employees and the Designated Companies in locations outside of the United States. Except as otherwise provided herein or by the Administrator, the Non-423 Component will operate and be administered in the same manner as the 423 Component.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Plan, the Administrator may designate separate Offerings under the Plan, the terms of which need not be identical, in which eligible employees will participate, even if the dates of the applicable Offerings are identical, provided that the terms of participation are the same within each separate Offering under the 423 Component as determined under Section 423 of the Code. Solely by way of example and without limiting the foregoing, the Company could, but is not required to, provide for simultaneous Offerings under the Section 423 Component and the Non-423 Component of the Plan.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Administration</w:t>
      </w:r>
      <w:r>
        <w:rPr>
          <w:rFonts w:ascii="Times New Roman" w:hAnsi="Times New Roman"/>
          <w:sz w:val="20"/>
        </w:rPr>
        <w:t>. The Plan will be administered by the person or persons (the “</w:t>
      </w:r>
      <w:r>
        <w:rPr>
          <w:rFonts w:ascii="Times New Roman" w:hAnsi="Times New Roman"/>
          <w:i/>
          <w:sz w:val="20"/>
        </w:rPr>
        <w:t>Administrator</w:t>
      </w:r>
      <w:r>
        <w:rPr>
          <w:rFonts w:ascii="Times New Roman" w:hAnsi="Times New Roman"/>
          <w:sz w:val="20"/>
        </w:rPr>
        <w:t>”) appointed by the Company’s Board of Directors (the “</w:t>
      </w:r>
      <w:r>
        <w:rPr>
          <w:rFonts w:ascii="Times New Roman" w:hAnsi="Times New Roman"/>
          <w:i/>
          <w:sz w:val="20"/>
        </w:rPr>
        <w:t>Board</w:t>
      </w:r>
      <w:r>
        <w:rPr>
          <w:rFonts w:ascii="Times New Roman" w:hAnsi="Times New Roman"/>
          <w:sz w:val="20"/>
        </w:rPr>
        <w:t xml:space="preserve">”) for such purpose. The Administrator has authority at any time to: (i) adopt, alter and repeal such rules, guidelines and practices for the administration of the Plan and for its own acts and proceedings as it deems advisable; (ii) interpret the terms and provisions of the Plan; (iii) determine when and how Options will be granted and the provisions and terms of each Offering and/or Purchase Period (as defined in Section 11) (which need not be identical); (iv) select Designated Companies; (v) impose a mandatory holding period pursuant to which Participants (as defined in Section 11) may not dispose of or transfer shares of Stock purchased under the Plan for a period of time determined by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Administrator in its discretion; (vi) make all determinations it deems advisable for the administration of the Plan; (vii) decide all disputes arising in connection with the Plan; and (viii) otherwise supervise the administration of the Plan. Further, the Administrator may adopt rules or procedures relating to the operation and administration of the Plan to accommodate the specific requirements of local laws and procedures, provided that the adoption and implementation of any such rules and/or procedures would not cause the 423 Component to be in noncompliance with Section 423 of the Code. Without limiting the generality of the foregoing, the Administrator is specifically authorized to adopt rules and procedures regarding handling of participation elections, payroll deductions, payment of interest, conversion of local currency, payroll tax, withholding procedures and handling of share certificates that vary with local requirements. All interpretations and decisions of the Administrator are binding on all persons, including the Company and the Participants. No member of the Board or individual exercising administrative authority with respect to the Plan will be liable for any action or determination made in good faith with respect to the Plan or any Option granted hereunder.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Offerings</w:t>
      </w:r>
      <w:r>
        <w:rPr>
          <w:rFonts w:ascii="Times New Roman" w:hAnsi="Times New Roman"/>
          <w:sz w:val="20"/>
        </w:rPr>
        <w:t>. The Company may make one or more offerings to eligible employees to purchase shares of Stock under the Plan (“</w:t>
      </w:r>
      <w:r>
        <w:rPr>
          <w:rFonts w:ascii="Times New Roman" w:hAnsi="Times New Roman"/>
          <w:i/>
          <w:sz w:val="20"/>
        </w:rPr>
        <w:t>Offerings</w:t>
      </w:r>
      <w:r>
        <w:rPr>
          <w:rFonts w:ascii="Times New Roman" w:hAnsi="Times New Roman"/>
          <w:sz w:val="20"/>
        </w:rPr>
        <w:t xml:space="preserve">”), consisting of one or more Purchase Periods. Each Offering will begin and end on the dates determined by the Administrator, provided that no Offering shall exceed 27 months in duration. Unless the Administrator, in its sole discretion, determines otherwise prior to an Offering Date (as defined in Section 3), and to the extent an Offering has more than one Purchase Period and to the extent permitted by applicable law, if the Fair Market Value of the Stock on any Exercise Date in an Offering is lower than the Fair Market Value of the Stock on the Offering Date, then all participants in such Offering will automatically be withdrawn from such Offering immediately after the exercise of their Options on such Exercise Date and automatically re-enrolled in the immediately following Offering as of the first day thereof and the preceding Offering will terminate.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Eligibility</w:t>
      </w:r>
      <w:r>
        <w:rPr>
          <w:rFonts w:ascii="Times New Roman" w:hAnsi="Times New Roman"/>
          <w:sz w:val="20"/>
        </w:rPr>
        <w:t>. All individuals classified as employees on the payroll records of the Company or a Designated Company as of the first day of the applicable Offering (the “</w:t>
      </w:r>
      <w:r>
        <w:rPr>
          <w:rFonts w:ascii="Times New Roman" w:hAnsi="Times New Roman"/>
          <w:i/>
          <w:sz w:val="20"/>
        </w:rPr>
        <w:t>Offering Date</w:t>
      </w:r>
      <w:r>
        <w:rPr>
          <w:rFonts w:ascii="Times New Roman" w:hAnsi="Times New Roman"/>
          <w:sz w:val="20"/>
        </w:rPr>
        <w:t xml:space="preserve">”) are eligible to participate in such Offering under the Plan, provided that the Administrator may determine, in advance of any Offering, that employees are eligible only if, as of the Offering Date, (a) they are customarily employed by the Company or a Designated Company for more than (i) 20 hours a week or (ii) five months per calendar year, (b) they have completed such minimum period of service prior to the Offering Date as determined by the Administrator (provided such service requirement does not exceed two years of employment) and/or (c) they are not highly compensated employees (within the meaning of Section 414(q) of the Code). Notwithstanding any other provision herein, individuals who are not contemporaneously classified as employees of the Company or a Designated Company for purposes of the Company’s or applicable Designated Company’s payroll system are not considered to be eligible employees of the Company or any Designated Company and are not eligible to participate in the Plan. In the event any such individuals are reclassified as employees of the Company or a Designated Company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Notwithstanding the foregoing, the exclusive means for individuals who are not contemporaneously classified as employees of the Company or a Designated Company on the Company’s or Designated Company’s payroll system to become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eligible to participate in this Plan is through an amendment or subplan to this Plan, duly executed by the Company, that specifically renders such individuals eligible to participate herein.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Participation</w:t>
      </w:r>
      <w:r>
        <w:rPr>
          <w:rFonts w:ascii="Times New Roman" w:hAnsi="Times New Roman"/>
          <w:sz w:val="20"/>
        </w:rPr>
        <w:t xml:space="preserve">. An eligible employee who is not a Participant in any prior Offering may participate in a subsequent Offering by submitting an enrollment form to the Company or an agent designated by the Company in a manner determined by the Administrator (including, but not limited to, by electronic means) by the deadline established by the Administrator for the Offering. The enrollment form will (a) state a whole percentage (unless the Administrator determines in advance of an Offering to require that a fixed amount be specified in lieu of a percentage) to be contributed from an eligible employee’s Compensation (as defined in Section 11) per pay period and (b) authorize the purchase of shares of Stock in each Offering in accordance with the terms of the Plan. An employee who does not enroll in accordance with these procedures will be deemed to have waived the right to participate. Unless a Participant files a new enrollment form, withdraws from the Plan or otherwise becomes ineligible to participate in the Plan, such Participant’s payroll deductions and purchases will continue at the same percentage of Compensation for future Offerings. Notwithstanding the foregoing, participation in the Plan will neither be permitted nor be denied contrary to the requirements of the Code.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Employee Contributions</w:t>
      </w:r>
      <w:r>
        <w:rPr>
          <w:rFonts w:ascii="Times New Roman" w:hAnsi="Times New Roman"/>
          <w:sz w:val="20"/>
        </w:rPr>
        <w:t xml:space="preserve">. Each eligible employee may authorize payroll deductions at a minimum of 1% up to a maximum of 15% of such employee’s Compensation for each pay period or such other minimum or maximum as may be specified by the Administrator in advance of an Offering. The Company will maintain book accounts showing the amount of payroll deductions made by each Participant for each Purchase Period within an Offering. No interest will accrue or be paid on payroll deductions, unless required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provisions of the Plan to the contrary, in non-U.S. jurisdictions where participation in the Plan through payroll deductions is prohibited or otherwise problematic under applicable law (as determined by the Administrator in its sole discretion), the Administrator may provide that an eligible employee may elect to participate through other contributions in a form acceptable to the Administrator in lieu of or in addition to payroll deductions; provided, however, that, for any Offering under the 423 Component, any alternative method of contribution must be applied on an equal and uniform basis to all eligible employees in the Offering. Any reference to “payroll deductions” in this Section 5 (or in any other section of the Plan) will similarly cover contributions by other means made pursuant to this Section 5.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Contribution Changes</w:t>
      </w:r>
      <w:r>
        <w:rPr>
          <w:rFonts w:ascii="Times New Roman" w:hAnsi="Times New Roman"/>
          <w:sz w:val="20"/>
        </w:rPr>
        <w:t xml:space="preserve">. Unless otherwise determined by the Administrator, except in the case of withdrawal as described in Section 7, a Participant may not increase or decrease such Participant’s payroll deductions during any Offering, but may increase or decrease such Participant’s payroll deductions with respect to the next Offering (subject to the limitations of Section 5) by filing a new enrollment form by the deadline established by the Administrator for the Offering. The Administrator may, in advance of any Offering, establish rules permitting a Participant to increase, decrease or terminate such Participant’s payroll deductions during an Offering.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Withdrawal</w:t>
      </w:r>
      <w:r>
        <w:rPr>
          <w:rFonts w:ascii="Times New Roman" w:hAnsi="Times New Roman"/>
          <w:sz w:val="20"/>
        </w:rPr>
        <w:t xml:space="preserve">. A Participant may withdraw from participation in the Plan by giving written notice to the Company or an agent designated by the Company in a form acceptable to the Administrator (including, but not limited to, by electronic means) no later than two weeks prior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end of the then-applicable Offering (or such shorter or longer period as may be specified by the Administrator prior to any Offering). The Participant’s withdrawal will be effective as soon as practicable following receipt of written notice of withdrawal by the Company or an agent designated by the Company. Following a Participant’s withdrawal, the Company will promptly refund such Participant’s entire account balance under the Plan to such Participant (after payment for any shares of Stock purchased before the effective date of withdrawal). Partial withdrawals are not permitted. A Participant may not begin participation again in any Offering from which such Participant has withdrawn, but may enroll in a subsequent Offering in accordance with Section 4.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Grant of Options</w:t>
      </w:r>
      <w:r>
        <w:rPr>
          <w:rFonts w:ascii="Times New Roman" w:hAnsi="Times New Roman"/>
          <w:sz w:val="20"/>
        </w:rPr>
        <w:t>. On each Offering Date, the Company will grant to each eligible employee who is then a Participant in the Plan an option (“</w:t>
      </w:r>
      <w:r>
        <w:rPr>
          <w:rFonts w:ascii="Times New Roman" w:hAnsi="Times New Roman"/>
          <w:i/>
          <w:sz w:val="20"/>
        </w:rPr>
        <w:t>Option</w:t>
      </w:r>
      <w:r>
        <w:rPr>
          <w:rFonts w:ascii="Times New Roman" w:hAnsi="Times New Roman"/>
          <w:sz w:val="20"/>
        </w:rPr>
        <w:t>”) to purchase on the last day of a Purchase Period (an “</w:t>
      </w:r>
      <w:r>
        <w:rPr>
          <w:rFonts w:ascii="Times New Roman" w:hAnsi="Times New Roman"/>
          <w:i/>
          <w:sz w:val="20"/>
        </w:rPr>
        <w:t>Exercise Date</w:t>
      </w:r>
      <w:r>
        <w:rPr>
          <w:rFonts w:ascii="Times New Roman" w:hAnsi="Times New Roman"/>
          <w:sz w:val="20"/>
        </w:rPr>
        <w:t>”) the lowest of (a) a number of shares of Stock determined by dividing such Participant’s accumulated payroll deductions on such Exercise Date by the Option Price (as defined below), (b) the number of shares of Stock determined by dividing $25,000 by the Fair Market Value of the Stock on the Offering Date for such Offering or (c) such other number of shares of Stock determined by the Administrator in advance of the Offering; provided, however, that such Option shall be subject to the limitations set forth below. Each Participant’s Option shall be exercisable only to the extent of such Participant’s accumulated payroll deductions on the Exercise Date. The purchase price for each share of Stock purchased under each Option (the “</w:t>
      </w:r>
      <w:r>
        <w:rPr>
          <w:rFonts w:ascii="Times New Roman" w:hAnsi="Times New Roman"/>
          <w:i/>
          <w:sz w:val="20"/>
        </w:rPr>
        <w:t>Option Price</w:t>
      </w:r>
      <w:r>
        <w:rPr>
          <w:rFonts w:ascii="Times New Roman" w:hAnsi="Times New Roman"/>
          <w:sz w:val="20"/>
        </w:rPr>
        <w:t xml:space="preserve">”) will be 85% of the Fair Market Value of the Stock on the Offering Date or the Exercise Date, whichever is less.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 Participant may be granted an Option hereunder if such Participant, immediately after the Option was granted, would be treated as owning stock possessing 5% or more of the total combined voting power or value of all classes of stock of the Company or any Parent or Subsidiary (each as defined in Section 11). For purposes of the preceding sentence, the attribution rules of Section 424(d) of the Code will apply in determining the stock ownership of a Participant, and all stock that the Participant has a contractual right to purchase will be treated as stock owned by the Participant. In addition, no Participant may be granted an Option that permits such Participant rights to purchase Stock under the Plan, and any other employee stock purchase plan of the Company and its Parents and Subsidiaries, to accrue at a rate that exceeds $25,000 of the fair market value of such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Exercise of Option and Purchase of Shares</w:t>
      </w:r>
      <w:r>
        <w:rPr>
          <w:rFonts w:ascii="Times New Roman" w:hAnsi="Times New Roman"/>
          <w:sz w:val="20"/>
        </w:rPr>
        <w:t xml:space="preserve">. Each employee who continues to be a Participant in the Plan on the Exercise Date shall be deemed to have exercised such Participant’s Option on such date and shall acquire from the Company such number of whole shares of Stock as such Participant’s accumulated payroll deductions on such date will purchase at the Option Price, subject to any other limitations contained in the Plan. Unless otherwise determined by the Administrator in advance of any Offering, any balance remaining in a Participant’s account at the end of a Purchase Period or Offering will be promptly refunded to the Participant.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Delivery of Shares</w:t>
      </w:r>
      <w:r>
        <w:rPr>
          <w:rFonts w:ascii="Times New Roman" w:hAnsi="Times New Roman"/>
          <w:sz w:val="20"/>
        </w:rPr>
        <w:t xml:space="preserve">. As soon as practicable after each Exercise Date, the Company will arrange for the delivery to each Participant of the shares of Stock acquired by the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such Exercise Date; provided that the Company may deliver such shares to a broker that holds such shares in street name for the benefit of the Participant.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Definitions</w:t>
      </w:r>
      <w:r>
        <w:rPr>
          <w:rFonts w:ascii="Times New Roman" w:hAnsi="Times New Roman"/>
          <w:sz w:val="20"/>
        </w:rPr>
        <w:t xml:space="preserve">. The following terms shall be defined as set forth below: </w:t>
      </w:r>
    </w:p>
    <w:p>
      <w:pPr>
        <w:pStyle w:val="TextBody"/>
        <w:bidi w:val="0"/>
        <w:spacing w:before="240" w:after="0"/>
        <w:jc w:val="left"/>
        <w:rPr/>
      </w:pPr>
      <w:r>
        <w:rPr/>
        <w:t>“</w:t>
      </w:r>
      <w:r>
        <w:rPr>
          <w:rFonts w:ascii="Times New Roman" w:hAnsi="Times New Roman"/>
          <w:i/>
          <w:sz w:val="20"/>
        </w:rPr>
        <w:t>Affiliate</w:t>
      </w:r>
      <w:r>
        <w:rPr>
          <w:rFonts w:ascii="Times New Roman" w:hAnsi="Times New Roman"/>
          <w:sz w:val="20"/>
        </w:rPr>
        <w:t xml:space="preserve">” means any entity that is directly or indirectly controlled by the Company that does not meet the definition of a Subsidiary below, as determined by the Administrator, whether now or hereafter existing. </w:t>
      </w:r>
    </w:p>
    <w:p>
      <w:pPr>
        <w:pStyle w:val="TextBody"/>
        <w:bidi w:val="0"/>
        <w:spacing w:before="240" w:after="0"/>
        <w:jc w:val="left"/>
        <w:rPr/>
      </w:pPr>
      <w:r>
        <w:rPr/>
        <w:t>“</w:t>
      </w:r>
      <w:r>
        <w:rPr>
          <w:rFonts w:ascii="Times New Roman" w:hAnsi="Times New Roman"/>
          <w:i/>
          <w:sz w:val="20"/>
        </w:rPr>
        <w:t>Compensation</w:t>
      </w:r>
      <w:r>
        <w:rPr>
          <w:rFonts w:ascii="Times New Roman" w:hAnsi="Times New Roman"/>
          <w:sz w:val="20"/>
        </w:rPr>
        <w:t xml:space="preserve">” means the regular or basic rate of compensation. The Administrator shall have the discretion to determine the application of this definition to Participants outside of the United States. </w:t>
      </w:r>
    </w:p>
    <w:p>
      <w:pPr>
        <w:pStyle w:val="TextBody"/>
        <w:bidi w:val="0"/>
        <w:spacing w:before="240" w:after="0"/>
        <w:jc w:val="left"/>
        <w:rPr/>
      </w:pPr>
      <w:r>
        <w:rPr/>
        <w:t>“</w:t>
      </w:r>
      <w:r>
        <w:rPr>
          <w:rFonts w:ascii="Times New Roman" w:hAnsi="Times New Roman"/>
          <w:i/>
          <w:sz w:val="20"/>
        </w:rPr>
        <w:t>Designated Company</w:t>
      </w:r>
      <w:r>
        <w:rPr>
          <w:rFonts w:ascii="Times New Roman" w:hAnsi="Times New Roman"/>
          <w:sz w:val="20"/>
        </w:rPr>
        <w:t xml:space="preserve">” means each Affiliate and Subsidiary that has been designated by the Administrator from time to time, in its sole discretion, as eligible to participate in the Plan, such designation to specify whether such participation is in the 423 Component or Non-423 Component. A Designated Company may participate in either the 423 Component or Non-423 Component, but not both. Notwithstanding the foregoing, if any Affiliate or Subsidiary is disregarded for U.S. tax purposes in respect of the Company or any Designated Company participating in the 423 Component, then such disregarded Affiliate or Subsidiary shall automatically be a Designated Company participating in the 423 Component. If any Affiliate or Subsidiary is disregarded for U.S. tax purposes in respect of any Designated Company participating in the Non-423 Component, the Administrator may exclude such Affiliate or Subsidiary from participating in the Plan, notwithstanding that the Designated Company in respect of which such Affiliate or Subsidiary is disregarded may participate in the Plan. The Administrator may so designate any Affiliate or Subsidiary, or revoke any such designation, at any time and from time to time, either before or after the Plan is approved by the Company’s stockholders. </w:t>
      </w:r>
    </w:p>
    <w:p>
      <w:pPr>
        <w:pStyle w:val="TextBody"/>
        <w:bidi w:val="0"/>
        <w:spacing w:before="240" w:after="0"/>
        <w:jc w:val="left"/>
        <w:rPr/>
      </w:pPr>
      <w:r>
        <w:rPr/>
        <w:t>“</w:t>
      </w:r>
      <w:r>
        <w:rPr>
          <w:rFonts w:ascii="Times New Roman" w:hAnsi="Times New Roman"/>
          <w:i/>
          <w:sz w:val="20"/>
        </w:rPr>
        <w:t>Effective Date</w:t>
      </w:r>
      <w:r>
        <w:rPr>
          <w:rFonts w:ascii="Times New Roman" w:hAnsi="Times New Roman"/>
          <w:sz w:val="20"/>
        </w:rPr>
        <w:t xml:space="preserve">” means the date immediately preceding the closing of the transactions contemplated by the Merger Agreement (as defined below). </w:t>
      </w:r>
    </w:p>
    <w:p>
      <w:pPr>
        <w:pStyle w:val="TextBody"/>
        <w:bidi w:val="0"/>
        <w:spacing w:before="240" w:after="0"/>
        <w:jc w:val="left"/>
        <w:rPr/>
      </w:pPr>
      <w:r>
        <w:rPr/>
        <w:t>“</w:t>
      </w:r>
      <w:r>
        <w:rPr>
          <w:rFonts w:ascii="Times New Roman" w:hAnsi="Times New Roman"/>
          <w:i/>
          <w:sz w:val="20"/>
        </w:rPr>
        <w:t xml:space="preserve">Fair Market Value” </w:t>
      </w:r>
      <w:r>
        <w:rPr>
          <w:rFonts w:ascii="Times New Roman" w:hAnsi="Times New Roman"/>
          <w:sz w:val="20"/>
        </w:rPr>
        <w:t>of the Stock on any given date means the fair market value of the Stock determined in good faith by the Administrator; provided, however, that if the Stock is listed on the National Association of Securities Dealers Automated Quotation System (“</w:t>
      </w:r>
      <w:r>
        <w:rPr>
          <w:rFonts w:ascii="Times New Roman" w:hAnsi="Times New Roman"/>
          <w:i/>
          <w:sz w:val="20"/>
        </w:rPr>
        <w:t>NASDAQ</w:t>
      </w:r>
      <w:r>
        <w:rPr>
          <w:rFonts w:ascii="Times New Roman" w:hAnsi="Times New Roman"/>
          <w:sz w:val="20"/>
        </w:rPr>
        <w:t xml:space="preserve">”), NASDAQ Global Market, The New York Stock Exchange or another national securities exchange or traded on any established market, the determination shall be made by reference to the closing price on such date. If there is no closing price for such date, the determination shall be made by reference to the last date preceding such date for which there is a closing price. </w:t>
      </w:r>
    </w:p>
    <w:p>
      <w:pPr>
        <w:pStyle w:val="TextBody"/>
        <w:bidi w:val="0"/>
        <w:spacing w:before="240" w:after="0"/>
        <w:jc w:val="left"/>
        <w:rPr/>
      </w:pPr>
      <w:r>
        <w:rPr/>
        <w:t>“</w:t>
      </w:r>
      <w:r>
        <w:rPr>
          <w:rFonts w:ascii="Times New Roman" w:hAnsi="Times New Roman"/>
          <w:i/>
          <w:sz w:val="20"/>
        </w:rPr>
        <w:t>Merger Agreement</w:t>
      </w:r>
      <w:r>
        <w:rPr>
          <w:rFonts w:ascii="Times New Roman" w:hAnsi="Times New Roman"/>
          <w:sz w:val="20"/>
        </w:rPr>
        <w:t xml:space="preserve">” means that certain Agreement and Plan of Merger, dated as of April 14, 2026, by and among Galera Therapeutics, Inc., the Company and certain other parties thereto. </w:t>
      </w:r>
    </w:p>
    <w:p>
      <w:pPr>
        <w:pStyle w:val="TextBody"/>
        <w:bidi w:val="0"/>
        <w:spacing w:before="240" w:after="0"/>
        <w:jc w:val="left"/>
        <w:rPr/>
      </w:pPr>
      <w:r>
        <w:rPr/>
        <w:t>“</w:t>
      </w:r>
      <w:r>
        <w:rPr>
          <w:rFonts w:ascii="Times New Roman" w:hAnsi="Times New Roman"/>
          <w:i/>
          <w:sz w:val="20"/>
        </w:rPr>
        <w:t>New Exercise Date</w:t>
      </w:r>
      <w:r>
        <w:rPr>
          <w:rFonts w:ascii="Times New Roman" w:hAnsi="Times New Roman"/>
          <w:sz w:val="20"/>
        </w:rPr>
        <w:t xml:space="preserve">” means a new Exercise Date if the Administrator shortens any Offering then in progress. </w:t>
      </w:r>
    </w:p>
    <w:p>
      <w:pPr>
        <w:pStyle w:val="TextBody"/>
        <w:bidi w:val="0"/>
        <w:spacing w:before="240" w:after="0"/>
        <w:jc w:val="left"/>
        <w:rPr/>
      </w:pPr>
      <w:r>
        <w:rPr/>
        <w:t>“</w:t>
      </w:r>
      <w:r>
        <w:rPr>
          <w:rFonts w:ascii="Times New Roman" w:hAnsi="Times New Roman"/>
          <w:i/>
          <w:sz w:val="20"/>
        </w:rPr>
        <w:t>Outstanding Shares</w:t>
      </w:r>
      <w:r>
        <w:rPr>
          <w:rFonts w:ascii="Times New Roman" w:hAnsi="Times New Roman"/>
          <w:sz w:val="20"/>
        </w:rPr>
        <w:t xml:space="preserve">” means, as of a specified date, the sum of (a) number of shares of Stock issued and outstanding, (b) the number of shares of Company preferred stock issued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outstanding, and (c) the number of shares of stock issuable pursuant to the exercise of any outstanding warrants to acquire shares of Stock or preferred stock of the Company. </w:t>
      </w:r>
    </w:p>
    <w:p>
      <w:pPr>
        <w:pStyle w:val="TextBody"/>
        <w:bidi w:val="0"/>
        <w:spacing w:before="240" w:after="0"/>
        <w:jc w:val="left"/>
        <w:rPr/>
      </w:pPr>
      <w:r>
        <w:rPr/>
        <w:t>“</w:t>
      </w:r>
      <w:r>
        <w:rPr>
          <w:rFonts w:ascii="Times New Roman" w:hAnsi="Times New Roman"/>
          <w:i/>
          <w:sz w:val="20"/>
        </w:rPr>
        <w:t>Parent</w:t>
      </w:r>
      <w:r>
        <w:rPr>
          <w:rFonts w:ascii="Times New Roman" w:hAnsi="Times New Roman"/>
          <w:sz w:val="20"/>
        </w:rPr>
        <w:t xml:space="preserve">” means a “parent corporation” with respect to the Company, as defined in Section 424(e) of the Code. </w:t>
      </w:r>
    </w:p>
    <w:p>
      <w:pPr>
        <w:pStyle w:val="TextBody"/>
        <w:bidi w:val="0"/>
        <w:spacing w:before="240" w:after="0"/>
        <w:jc w:val="left"/>
        <w:rPr/>
      </w:pPr>
      <w:r>
        <w:rPr/>
        <w:t>“</w:t>
      </w:r>
      <w:r>
        <w:rPr>
          <w:rFonts w:ascii="Times New Roman" w:hAnsi="Times New Roman"/>
          <w:i/>
          <w:sz w:val="20"/>
        </w:rPr>
        <w:t>Participant</w:t>
      </w:r>
      <w:r>
        <w:rPr>
          <w:rFonts w:ascii="Times New Roman" w:hAnsi="Times New Roman"/>
          <w:sz w:val="20"/>
        </w:rPr>
        <w:t xml:space="preserve">” means an individual who is eligible, as determined pursuant to Section 3, and who has complied with the provisions of Section 4. </w:t>
      </w:r>
    </w:p>
    <w:p>
      <w:pPr>
        <w:pStyle w:val="TextBody"/>
        <w:bidi w:val="0"/>
        <w:spacing w:before="240" w:after="0"/>
        <w:jc w:val="left"/>
        <w:rPr/>
      </w:pPr>
      <w:r>
        <w:rPr/>
        <w:t>“</w:t>
      </w:r>
      <w:r>
        <w:rPr>
          <w:rFonts w:ascii="Times New Roman" w:hAnsi="Times New Roman"/>
          <w:i/>
          <w:sz w:val="20"/>
        </w:rPr>
        <w:t>Purchase Period</w:t>
      </w:r>
      <w:r>
        <w:rPr>
          <w:rFonts w:ascii="Times New Roman" w:hAnsi="Times New Roman"/>
          <w:sz w:val="20"/>
        </w:rPr>
        <w:t xml:space="preserve">” means a period of time specified within an Offering, as determined by the Administrator in accordance with Section 2. </w:t>
      </w:r>
    </w:p>
    <w:p>
      <w:pPr>
        <w:pStyle w:val="TextBody"/>
        <w:bidi w:val="0"/>
        <w:spacing w:before="240" w:after="0"/>
        <w:jc w:val="left"/>
        <w:rPr/>
      </w:pPr>
      <w:r>
        <w:rPr/>
        <w:t>“</w:t>
      </w:r>
      <w:r>
        <w:rPr>
          <w:rFonts w:ascii="Times New Roman" w:hAnsi="Times New Roman"/>
          <w:i/>
          <w:sz w:val="20"/>
        </w:rPr>
        <w:t>Sale Event</w:t>
      </w:r>
      <w:r>
        <w:rPr>
          <w:rFonts w:ascii="Times New Roman" w:hAnsi="Times New Roman"/>
          <w:sz w:val="20"/>
        </w:rPr>
        <w:t xml:space="preserve">” means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acting in concert;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or (v) the approval by the stockholders of the Company of a complete liquidation or dissolution of the Company. </w:t>
      </w:r>
    </w:p>
    <w:p>
      <w:pPr>
        <w:pStyle w:val="TextBody"/>
        <w:bidi w:val="0"/>
        <w:spacing w:before="240" w:after="0"/>
        <w:jc w:val="left"/>
        <w:rPr/>
      </w:pPr>
      <w:r>
        <w:rPr/>
        <w:t>“</w:t>
      </w:r>
      <w:r>
        <w:rPr>
          <w:rFonts w:ascii="Times New Roman" w:hAnsi="Times New Roman"/>
          <w:i/>
          <w:sz w:val="20"/>
        </w:rPr>
        <w:t>Stock</w:t>
      </w:r>
      <w:r>
        <w:rPr>
          <w:rFonts w:ascii="Times New Roman" w:hAnsi="Times New Roman"/>
          <w:sz w:val="20"/>
        </w:rPr>
        <w:t xml:space="preserve">” means the Common Stock, par value $0.001 per share, of the Company, subject to adjustments pursuant to Section 17.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a “subsidiary corporation” with respect to the Company, as defined in Section 424(f) of the Code.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Rights on Termination of Employment</w:t>
      </w:r>
      <w:r>
        <w:rPr>
          <w:rFonts w:ascii="Times New Roman" w:hAnsi="Times New Roman"/>
          <w:sz w:val="20"/>
        </w:rPr>
        <w:t xml:space="preserve">. Unless otherwise required by applicable law, if a Participant’s employment terminates for any reason before the Exercise Date for any Offering, such Participant’s participation in the Plan will terminate immediately and no payroll deductions will be taken from any pay due and owing to the Participant on or after the termination date. The balance in the Participant’s account will be paid to such Participant or, in the case of such Participant’s death, to the Participant’s legal heirs. An employee will be deemed to have terminated employment, for this purpose, if the corporation that employs such employee, having been a Designated Company, ceases to be an Affiliate or a Subsidiary, or if the employee is transferred to any corporation other than the Company or a Designated Company. An employee will not be deemed to have terminated employment for this purpose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 Participant transfers employment from the Company or any Designated Company participating in the 423 Component to any Designated Company participating in the Non-423 Component, such transfer will not be treated as a termination of employment, but the Participant shall immediately cease to participate in the 423 Component; however, any contributions made for the Offering in which such transfer occurs will be transferred to the Non-423 Component, and such Participant will immediately join the then-current Offering under the Non-423 Component upon the same terms and conditions in effect for the Participant’s participation in the 423 Component, except for such modifications otherwise applicable for Participants in such Offering. A Participant who transfers employment from any Designated Company participating in the Non-423 Component to the Company or any Designated Company participating in the 423 Component will not be treated as terminating the Participant’s employment and will remain a Participant in the Non-423 Component until the earlier of (i) the end of the current Offering under the Non-423 Component or (ii) the Offering Date of the first Offering in which the Participant is eligible to participate following such transfer. Notwithstanding the foregoing, the Administrator may establish different rules to govern transfers of employment between companies participating in the 423 Component and the Non-423 Component, consistent with the applicable requirements of Section 423 of the Code.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Special Rules and Sub-Plans</w:t>
      </w:r>
      <w:r>
        <w:rPr>
          <w:rFonts w:ascii="Times New Roman" w:hAnsi="Times New Roman"/>
          <w:sz w:val="20"/>
        </w:rPr>
        <w:t xml:space="preserve">. Notwithstanding any provision to the contrary in this Plan, the Administrator may adopt such special rules or sub-plans relating to the operation and administration of the Plan to accommodate local laws, customs and procedures for jurisdictions in which the Plan is offered, the terms of which sub-plans may take precedence over other provisions of this Plan, but unless otherwise superseded by the terms of such sub-plan, the provisions of this Plan will govern the operation of such sub-plan. To the extent inconsistent with the requirements of Section 423 of the Code, any such sub-plan will be considered part of a Non-423 Offering, and Options granted thereunder will not be required by the terms of the Plan to comply with Section 423 of the Code. Without limiting the generality of the foregoing, the Administrator is authorized to adopt sub-plans for particular jurisdictions that modify or supplement the terms of the Plan to meet applicable local requirements, customs or procedures regarding, without limitation, (i) eligibility to participate; (ii) the definition of Compensation; (iii) the dates and duration of Offerings or Purchase Periods or other periods during which Participants may make payroll deductions to purchase of shares of Stock; (iv) the method of determining the Option Price and the discount from Fair Market Value at which shares of Stock may be purchased; (v) any minimum or maximum amount of payroll deductions a Participant may make in an Offering, Purchase Period or other specified period under the applicable sub-plan; (vi) the treatment of Options upon a Sale Event or a change in capitalization of the Company; (vii) the handling of payroll deductions; (viii) establishment of bank or trust accounts to hold payroll deductions; (ix) payment of interest; (x) conversion of local currency; (xi) obligations to pay payroll tax; (xii) determination of beneficiary designation requirements; (xiii) withholding procedures; and (xiv) handling of share issuances.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Optionees Not Stockholders</w:t>
      </w:r>
      <w:r>
        <w:rPr>
          <w:rFonts w:ascii="Times New Roman" w:hAnsi="Times New Roman"/>
          <w:sz w:val="20"/>
        </w:rPr>
        <w:t xml:space="preserve">. Neither the granting of an Option to a Participant nor the deductions from a Participant’s pay or other contributions will result in such Participant becoming a holder of the shares of Stock covered by an Option under the Plan until such shares of Stock have been purchased by and issued to the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Rights Not Transferable</w:t>
      </w:r>
      <w:r>
        <w:rPr>
          <w:rFonts w:ascii="Times New Roman" w:hAnsi="Times New Roman"/>
          <w:sz w:val="20"/>
        </w:rPr>
        <w:t xml:space="preserve">. Rights under the Plan are not transferable by a Participant other than by will or the laws of descent and distribution, and are exercisable during the Participant’s lifetime only by the Participant. </w:t>
      </w:r>
    </w:p>
    <w:p>
      <w:pPr>
        <w:pStyle w:val="TextBody"/>
        <w:bidi w:val="0"/>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Application of Funds</w:t>
      </w:r>
      <w:r>
        <w:rPr>
          <w:rFonts w:ascii="Times New Roman" w:hAnsi="Times New Roman"/>
          <w:sz w:val="20"/>
        </w:rPr>
        <w:t xml:space="preserve">. All funds received or held by the Company under the Plan may be combined with other corporate funds and may be used for any corporate purpose, unless otherwise required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Adjustment in Case of Changes Affecting Stock</w:t>
      </w:r>
      <w:r>
        <w:rPr>
          <w:rFonts w:ascii="Times New Roman" w:hAnsi="Times New Roman"/>
          <w:sz w:val="20"/>
        </w:rPr>
        <w:t xml:space="preserve">. In the event of a subdivision of outstanding shares of Stock, the payment of a dividend in Stock or any other change affecting the Stock, the number of shares approved for the Plan and any other share limitations in the Plan shall be equitably or proportionately adjusted to give proper effect to such event. In the case of and subject to the consummation of a Sale Event,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or to facilitate such transactions or events: </w:t>
      </w:r>
    </w:p>
    <w:p>
      <w:pPr>
        <w:pStyle w:val="TextBody"/>
        <w:bidi w:val="0"/>
        <w:spacing w:before="120" w:after="0"/>
        <w:jc w:val="left"/>
        <w:rPr>
          <w:rFonts w:ascii="Times New Roman" w:hAnsi="Times New Roman"/>
          <w:sz w:val="20"/>
        </w:rPr>
      </w:pPr>
      <w:r>
        <w:rPr>
          <w:rFonts w:ascii="Times New Roman" w:hAnsi="Times New Roman"/>
          <w:sz w:val="20"/>
        </w:rPr>
        <w:t xml:space="preserve">(a) To provide for either (i) termination of any outstanding Option in exchange for an amount of cash, if any, equal to the amount that would have been obtained upon the exercise of such Option had such Option been currently exercisable or (ii) the replacement of such outstanding Option with other options or property selected by the Administrator in its sole discretion. </w:t>
      </w:r>
    </w:p>
    <w:p>
      <w:pPr>
        <w:pStyle w:val="TextBody"/>
        <w:bidi w:val="0"/>
        <w:spacing w:before="120" w:after="0"/>
        <w:jc w:val="left"/>
        <w:rPr>
          <w:rFonts w:ascii="Times New Roman" w:hAnsi="Times New Roman"/>
          <w:sz w:val="20"/>
        </w:rPr>
      </w:pPr>
      <w:r>
        <w:rPr>
          <w:rFonts w:ascii="Times New Roman" w:hAnsi="Times New Roman"/>
          <w:sz w:val="20"/>
        </w:rPr>
        <w:t xml:space="preserve">(b) To provide that the outstanding Options under the Plan will be assumed by the successor or survivor corporation, or a parent or subsidiary thereof, or will be substituted for similar options covering the stock of the successor or survivor corporation, or a parent or subsidiary thereof, with appropriate adjustments as to the number and kind of shares and prices. </w:t>
      </w:r>
    </w:p>
    <w:p>
      <w:pPr>
        <w:pStyle w:val="TextBody"/>
        <w:bidi w:val="0"/>
        <w:spacing w:before="120" w:after="0"/>
        <w:jc w:val="left"/>
        <w:rPr>
          <w:rFonts w:ascii="Times New Roman" w:hAnsi="Times New Roman"/>
          <w:sz w:val="20"/>
        </w:rPr>
      </w:pPr>
      <w:r>
        <w:rPr>
          <w:rFonts w:ascii="Times New Roman" w:hAnsi="Times New Roman"/>
          <w:sz w:val="20"/>
        </w:rPr>
        <w:t xml:space="preserve">(c) To make adjustments in the number and type of shares of Stock (or other securities or property) subject to outstanding Options under the Plan and/or in the terms and conditions of outstanding Options and Options that may be granted in the future. </w:t>
      </w:r>
    </w:p>
    <w:p>
      <w:pPr>
        <w:pStyle w:val="TextBody"/>
        <w:bidi w:val="0"/>
        <w:spacing w:before="120" w:after="0"/>
        <w:jc w:val="left"/>
        <w:rPr>
          <w:rFonts w:ascii="Times New Roman" w:hAnsi="Times New Roman"/>
          <w:sz w:val="20"/>
        </w:rPr>
      </w:pPr>
      <w:r>
        <w:rPr>
          <w:rFonts w:ascii="Times New Roman" w:hAnsi="Times New Roman"/>
          <w:sz w:val="20"/>
        </w:rPr>
        <w:t xml:space="preserve">(d) To provide that the Offering with respect to which an Option relates will be shortened by setting a New Exercise Date on which such Offering will end. The New Exercise Date will occur before the date of the Sale Event.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the Participant has withdrawn from the Offering in advance of the New Exercise Date as provided in Section 7 hereof. </w:t>
      </w:r>
    </w:p>
    <w:p>
      <w:pPr>
        <w:pStyle w:val="TextBody"/>
        <w:bidi w:val="0"/>
        <w:spacing w:before="120" w:after="0"/>
        <w:jc w:val="left"/>
        <w:rPr>
          <w:rFonts w:ascii="Times New Roman" w:hAnsi="Times New Roman"/>
          <w:sz w:val="20"/>
        </w:rPr>
      </w:pPr>
      <w:r>
        <w:rPr>
          <w:rFonts w:ascii="Times New Roman" w:hAnsi="Times New Roman"/>
          <w:sz w:val="20"/>
        </w:rPr>
        <w:t xml:space="preserve">(e) To provide that all outstanding Options will terminate without being exercised and all amounts in the accounts of Participants will be promptly refunded.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Section 409A</w:t>
      </w:r>
      <w:r>
        <w:rPr>
          <w:rFonts w:ascii="Times New Roman" w:hAnsi="Times New Roman"/>
          <w:sz w:val="20"/>
        </w:rPr>
        <w:t xml:space="preserve">. The 423 Component of the Plan and the Options granted pursuant to Offerings thereunder are intended to be exempt from the application of Section 409A of the Code. Neither the Non-423 Component nor any Option granted pursuant to an Offering thereunder is intended to constitute or provide for “nonqualified deferred compensation” within the meaning of Section 409A of the Code. Notwithstanding any provision of the Plan to the contrary, if the Administrator determines that any Option granted under the Plan is or may be or become subject to Section 409A of the Code or that any provision of the Plan may cause an Option granted under the Plan to be or become subject to Section 409A of the Code,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of the Code. The Company makes no representation that the Options granted pursuant to the Plan will be exempt from or comply with Section 409A of the Code and makes no undertaking to preclude Section 409A of the Code from applying to any such Option. Participants will be solely responsible for the payment of any taxes and penalties incurred under Section 409A of the Code. </w:t>
      </w:r>
    </w:p>
    <w:p>
      <w:pPr>
        <w:pStyle w:val="TextBody"/>
        <w:bidi w:val="0"/>
        <w:spacing w:before="12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Amendment of the Plan</w:t>
      </w:r>
      <w:r>
        <w:rPr>
          <w:rFonts w:ascii="Times New Roman" w:hAnsi="Times New Roman"/>
          <w:sz w:val="20"/>
        </w:rPr>
        <w:t xml:space="preserve">. The Board may at any time and from time to time amend the Plan in any respect, except that without the approval within 12 months of such Board action by the stockholders, no amendment may be made increasing the number of shares of Stock approved for issuance under the Plan or making any other change that the Administrator determines would require stockholder approval in order for the 423 Component of the Plan, as amended, to qualify as an “employee stock purchase plan” under Section 423(b) of the Code. </w:t>
      </w:r>
    </w:p>
    <w:p>
      <w:pPr>
        <w:pStyle w:val="TextBody"/>
        <w:bidi w:val="0"/>
        <w:spacing w:before="12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Insufficient Shares</w:t>
      </w:r>
      <w:r>
        <w:rPr>
          <w:rFonts w:ascii="Times New Roman" w:hAnsi="Times New Roman"/>
          <w:sz w:val="20"/>
        </w:rPr>
        <w:t xml:space="preserve">. If the total number of shares of Stock that would otherwise be purchased on any Exercise Date plus the number of shares of Stock purchased under previous Offerings under the Plan exceeds the maximum number of shares of Stock issuable under the Plan, the shares then available shall be apportioned among Participants in proportion to the amount of payroll deductions accumulated on behalf of each Participant that would otherwise be used to purchase shares of Stock on such Exercise Date.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Termination of the Plan</w:t>
      </w:r>
      <w:r>
        <w:rPr>
          <w:rFonts w:ascii="Times New Roman" w:hAnsi="Times New Roman"/>
          <w:sz w:val="20"/>
        </w:rPr>
        <w:t xml:space="preserve">. The Plan may be terminated at any time by the Board. Upon termination of the Plan, all amounts in the accounts of Participants shall be promptly refunded. </w:t>
      </w:r>
    </w:p>
    <w:p>
      <w:pPr>
        <w:pStyle w:val="TextBody"/>
        <w:bidi w:val="0"/>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Governmental Regulations</w:t>
      </w:r>
      <w:r>
        <w:rPr>
          <w:rFonts w:ascii="Times New Roman" w:hAnsi="Times New Roman"/>
          <w:sz w:val="20"/>
        </w:rPr>
        <w:t xml:space="preserve">. The Company’s obligation to sell and deliver shares of Stock under the Plan is subject to obtaining all governmental approvals required in connection with the authorization, issuance or sale of such Stock. </w:t>
      </w:r>
    </w:p>
    <w:p>
      <w:pPr>
        <w:pStyle w:val="TextBody"/>
        <w:bidi w:val="0"/>
        <w:spacing w:before="12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Governing Law</w:t>
      </w:r>
      <w:r>
        <w:rPr>
          <w:rFonts w:ascii="Times New Roman" w:hAnsi="Times New Roman"/>
          <w:sz w:val="20"/>
        </w:rPr>
        <w:t xml:space="preserve">. This Plan and all Options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without regard to conflict of law principles. </w:t>
      </w:r>
    </w:p>
    <w:p>
      <w:pPr>
        <w:pStyle w:val="TextBody"/>
        <w:bidi w:val="0"/>
        <w:spacing w:before="12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Issuance of Shares</w:t>
      </w:r>
      <w:r>
        <w:rPr>
          <w:rFonts w:ascii="Times New Roman" w:hAnsi="Times New Roman"/>
          <w:sz w:val="20"/>
        </w:rPr>
        <w:t xml:space="preserve">. Shares may be issued upon exercise of an Option from authorized but unissued Stock, from shares held in the treasury of the Company or from any other proper source.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Tax Withholding</w:t>
      </w:r>
      <w:r>
        <w:rPr>
          <w:rFonts w:ascii="Times New Roman" w:hAnsi="Times New Roman"/>
          <w:sz w:val="20"/>
        </w:rPr>
        <w:t xml:space="preserve">. Participation in the Plan is subject to any applicable U.S. and non-U.S. federal, state or local tax withholding requirements on income the Participant realizes in connection with the Plan. Each Participant agrees, by entering the Plan, that the Company or any Subsidiary or Affiliate may, but will not be obligated to, withhold from a Participant’s wages, salary or other compensation at any time the amount necessary for the Company or any Subsidiary or Affiliate to meet applicable withholding obligations, including any withholding required to make available to the Company or any Subsidiary or Affiliate any tax deductions or benefits attributable to the sale or disposition of Stock by such Participant. In addition, the Company or any Subsidiary or Affiliate may, but will not be obligated to, withhold from the proceeds of the sale of Stock or use any other method of withholding that the Company or any Subsidiary or Affiliate deems appropriate to the extent permitted by U.S. Treasury Regulation Section 1.423-2(f) with respect to the 423 Component. The Company will not be required to issue any shares of Stock under the Plan until such obligations are satisfied. </w:t>
      </w:r>
    </w:p>
    <w:p>
      <w:pPr>
        <w:pStyle w:val="TextBody"/>
        <w:bidi w:val="0"/>
        <w:spacing w:before="12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Notification Upon Sale of Shares Under the 423 Component</w:t>
      </w:r>
      <w:r>
        <w:rPr>
          <w:rFonts w:ascii="Times New Roman" w:hAnsi="Times New Roman"/>
          <w:sz w:val="20"/>
        </w:rPr>
        <w:t xml:space="preserve">. Each Participant who is subject to tax in the United States and participates in the 423 Component agrees, by entering the Plan, to give the Company prompt notice of any disposition of shares of Stock purchased under the Plan where such disposition occurs within two years after the date of grant of the Option pursuant to which such shares were purchased or within one year after the date such shares were purchased. </w:t>
      </w:r>
    </w:p>
    <w:p>
      <w:pPr>
        <w:pStyle w:val="TextBody"/>
        <w:bidi w:val="0"/>
        <w:spacing w:before="12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Effective Date</w:t>
      </w:r>
      <w:r>
        <w:rPr>
          <w:rFonts w:ascii="Times New Roman" w:hAnsi="Times New Roman"/>
          <w:sz w:val="20"/>
        </w:rPr>
        <w:t xml:space="preserve">. This Plan will become effective on the Effective Date, subject to stockholder approval in accordance with applicable state law, the Company’s bylaws and articles of incorporation and applicable stock exchange rules. </w:t>
      </w:r>
    </w:p>
    <w:p>
      <w:pPr>
        <w:pStyle w:val="TextBody"/>
        <w:bidi w:val="0"/>
        <w:spacing w:before="12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Equal Rights and Privileges</w:t>
      </w:r>
      <w:r>
        <w:rPr>
          <w:rFonts w:ascii="Times New Roman" w:hAnsi="Times New Roman"/>
          <w:sz w:val="20"/>
        </w:rPr>
        <w:t xml:space="preserve">. Notwithstanding any provision of the Plan to the contrary and in accordance with Section 423 of the Code, all eligible employees who are granted Options under the 423 Component shall have the same rights and privileges. </w:t>
      </w:r>
    </w:p>
    <w:p>
      <w:pPr>
        <w:pStyle w:val="TextBody"/>
        <w:bidi w:val="0"/>
        <w:spacing w:before="120" w:after="0"/>
        <w:jc w:val="left"/>
        <w:rPr>
          <w:rFonts w:ascii="Times New Roman" w:hAnsi="Times New Roman"/>
          <w:sz w:val="20"/>
        </w:rPr>
      </w:pPr>
      <w:r>
        <w:rPr>
          <w:rFonts w:ascii="Times New Roman" w:hAnsi="Times New Roman"/>
          <w:sz w:val="20"/>
        </w:rPr>
        <w:t xml:space="preserve">29. </w:t>
      </w:r>
      <w:r>
        <w:rPr>
          <w:rFonts w:ascii="Times New Roman" w:hAnsi="Times New Roman"/>
          <w:sz w:val="20"/>
          <w:u w:val="single"/>
        </w:rPr>
        <w:t>No Right to Continued Service</w:t>
      </w:r>
      <w:r>
        <w:rPr>
          <w:rFonts w:ascii="Times New Roman" w:hAnsi="Times New Roman"/>
          <w:sz w:val="20"/>
        </w:rPr>
        <w:t xml:space="preserve">. None of the Plan, participation in any Offering, or any compensation paid hereunder will confer on any Participant the right to continue as an employee or in any other capacity. </w:t>
      </w:r>
    </w:p>
    <w:p>
      <w:pPr>
        <w:pStyle w:val="TextBody"/>
        <w:bidi w:val="0"/>
        <w:spacing w:before="240" w:after="0"/>
        <w:jc w:val="left"/>
        <w:rPr>
          <w:rFonts w:ascii="Times New Roman" w:hAnsi="Times New Roman"/>
          <w:sz w:val="20"/>
        </w:rPr>
      </w:pPr>
      <w:r>
        <w:rPr>
          <w:rFonts w:ascii="Times New Roman" w:hAnsi="Times New Roman"/>
          <w:sz w:val="20"/>
        </w:rPr>
        <w:t xml:space="preserve">DATE APPROVED BY BOARD OF DIRECTORS: June 30, 2026 </w:t>
      </w:r>
    </w:p>
    <w:p>
      <w:pPr>
        <w:pStyle w:val="TextBody"/>
        <w:bidi w:val="0"/>
        <w:spacing w:before="240" w:after="0"/>
        <w:jc w:val="left"/>
        <w:rPr>
          <w:rFonts w:ascii="Times New Roman" w:hAnsi="Times New Roman"/>
          <w:sz w:val="20"/>
        </w:rPr>
      </w:pPr>
      <w:r>
        <w:rPr>
          <w:rFonts w:ascii="Times New Roman" w:hAnsi="Times New Roman"/>
          <w:sz w:val="20"/>
        </w:rPr>
        <w:t xml:space="preserve">DATE APPROVED BY STOCKHOLDERS: June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p>
    <w:p>
      <w:pPr>
        <w:pStyle w:val="Normal"/>
        <w:bidi w:val="0"/>
        <w:spacing w:before="0" w:after="0"/>
        <w:jc w:val="left"/>
        <w:rPr>
          <w:sz w:val="4"/>
          <w:szCs w:val="4"/>
        </w:rPr>
      </w:pPr>
      <w:r>
        <w:rPr>
          <w:sz w:val="4"/>
          <w:szCs w:val="4"/>
        </w:rPr>
      </w:r>
      <w:bookmarkStart w:id="13" w:name="d105773dexfilingfees.htm"/>
      <w:bookmarkStart w:id="14" w:name="ksd105773dexfilingfees"/>
      <w:bookmarkStart w:id="15" w:name="d105773dexfilingfees.htm"/>
      <w:bookmarkStart w:id="16" w:name="ksd105773dexfilingfees"/>
      <w:bookmarkEnd w:id="15"/>
      <w:bookmarkEnd w:id="16"/>
      <w:r>
        <w:br w:type="page"/>
      </w:r>
    </w:p>
    <w:tbl>
      <w:tblPr>
        <w:tblW w:w="3578" w:type="dxa"/>
        <w:jc w:val="left"/>
        <w:tblInd w:w="0" w:type="dxa"/>
        <w:tblLayout w:type="fixed"/>
        <w:tblCellMar>
          <w:top w:w="28" w:type="dxa"/>
          <w:left w:w="28" w:type="dxa"/>
          <w:bottom w:w="28" w:type="dxa"/>
          <w:right w:w="28" w:type="dxa"/>
        </w:tblCellMar>
      </w:tblPr>
      <w:tblGrid>
        <w:gridCol w:w="3424"/>
        <w:gridCol w:w="154"/>
      </w:tblGrid>
      <w:tr>
        <w:trPr/>
        <w:tc>
          <w:tcPr>
            <w:tcW w:w="357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4"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4" w:type="dxa"/>
            <w:tcBorders/>
            <w:vAlign w:val="center"/>
          </w:tcPr>
          <w:p>
            <w:pPr>
              <w:pStyle w:val="TableContents"/>
              <w:bidi w:val="0"/>
              <w:spacing w:before="0" w:after="283"/>
              <w:jc w:val="left"/>
              <w:rPr>
                <w:b/>
              </w:rPr>
            </w:pPr>
            <w:r>
              <w:rPr>
                <w:b/>
              </w:rPr>
              <w:t xml:space="preserve">Obsidian Therapeutics,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494" w:type="dxa"/>
        <w:jc w:val="left"/>
        <w:tblInd w:w="0" w:type="dxa"/>
        <w:tblLayout w:type="fixed"/>
        <w:tblCellMar>
          <w:top w:w="28" w:type="dxa"/>
          <w:left w:w="28" w:type="dxa"/>
          <w:bottom w:w="28" w:type="dxa"/>
          <w:right w:w="28" w:type="dxa"/>
        </w:tblCellMar>
      </w:tblPr>
      <w:tblGrid>
        <w:gridCol w:w="241"/>
        <w:gridCol w:w="946"/>
        <w:gridCol w:w="1381"/>
        <w:gridCol w:w="1276"/>
        <w:gridCol w:w="1186"/>
        <w:gridCol w:w="1156"/>
        <w:gridCol w:w="1786"/>
        <w:gridCol w:w="1126"/>
        <w:gridCol w:w="1396"/>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38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9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381" w:type="dxa"/>
            <w:tcBorders/>
            <w:shd w:fill="E7E7E2" w:val="clear"/>
            <w:vAlign w:val="center"/>
          </w:tcPr>
          <w:p>
            <w:pPr>
              <w:pStyle w:val="TableContents"/>
              <w:bidi w:val="0"/>
              <w:spacing w:before="0" w:after="283"/>
              <w:jc w:val="left"/>
              <w:rPr/>
            </w:pPr>
            <w:r>
              <w:rPr/>
              <w:t xml:space="preserve">Common Stock, par value $0.001 per share to be issued pursuant to the Obsidian Therapeutics, Inc. 2016 Stock Option and Grant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4,928,416 </w:t>
            </w:r>
          </w:p>
        </w:tc>
        <w:tc>
          <w:tcPr>
            <w:tcW w:w="1156" w:type="dxa"/>
            <w:tcBorders/>
            <w:shd w:fill="E7E7E2" w:val="clear"/>
            <w:vAlign w:val="center"/>
          </w:tcPr>
          <w:p>
            <w:pPr>
              <w:pStyle w:val="TableContents"/>
              <w:bidi w:val="0"/>
              <w:spacing w:before="0" w:after="283"/>
              <w:jc w:val="right"/>
              <w:rPr/>
            </w:pPr>
            <w:r>
              <w:rPr/>
              <w:t xml:space="preserve">$ 5.62 </w:t>
            </w:r>
          </w:p>
        </w:tc>
        <w:tc>
          <w:tcPr>
            <w:tcW w:w="1786" w:type="dxa"/>
            <w:tcBorders/>
            <w:shd w:fill="E7E7E2" w:val="clear"/>
            <w:vAlign w:val="center"/>
          </w:tcPr>
          <w:p>
            <w:pPr>
              <w:pStyle w:val="TableContents"/>
              <w:bidi w:val="0"/>
              <w:spacing w:before="0" w:after="283"/>
              <w:jc w:val="right"/>
              <w:rPr/>
            </w:pPr>
            <w:r>
              <w:rPr/>
              <w:t xml:space="preserve">$ 27,697,697.92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$ 3,825.05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381" w:type="dxa"/>
            <w:tcBorders/>
            <w:shd w:fill="E7E7E2" w:val="clear"/>
            <w:vAlign w:val="center"/>
          </w:tcPr>
          <w:p>
            <w:pPr>
              <w:pStyle w:val="TableContents"/>
              <w:bidi w:val="0"/>
              <w:spacing w:before="0" w:after="283"/>
              <w:jc w:val="left"/>
              <w:rPr/>
            </w:pPr>
            <w:r>
              <w:rPr/>
              <w:t xml:space="preserve">Common Stock, par value $0.001 per share to be issued pursuant to the Obsidian Therapeutics, Inc. 2026 Equity Incentive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7,494,541 </w:t>
            </w:r>
          </w:p>
        </w:tc>
        <w:tc>
          <w:tcPr>
            <w:tcW w:w="1156" w:type="dxa"/>
            <w:tcBorders/>
            <w:shd w:fill="E7E7E2" w:val="clear"/>
            <w:vAlign w:val="center"/>
          </w:tcPr>
          <w:p>
            <w:pPr>
              <w:pStyle w:val="TableContents"/>
              <w:bidi w:val="0"/>
              <w:spacing w:before="0" w:after="283"/>
              <w:jc w:val="right"/>
              <w:rPr/>
            </w:pPr>
            <w:r>
              <w:rPr/>
              <w:t xml:space="preserve">$ 12.00 </w:t>
            </w:r>
          </w:p>
        </w:tc>
        <w:tc>
          <w:tcPr>
            <w:tcW w:w="1786" w:type="dxa"/>
            <w:tcBorders/>
            <w:shd w:fill="E7E7E2" w:val="clear"/>
            <w:vAlign w:val="center"/>
          </w:tcPr>
          <w:p>
            <w:pPr>
              <w:pStyle w:val="TableContents"/>
              <w:bidi w:val="0"/>
              <w:spacing w:before="0" w:after="283"/>
              <w:jc w:val="right"/>
              <w:rPr/>
            </w:pPr>
            <w:r>
              <w:rPr/>
              <w:t xml:space="preserve">$ 89,934,492.00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$ 12,419.95 </w:t>
            </w:r>
          </w:p>
        </w:tc>
      </w:tr>
      <w:tr>
        <w:trPr/>
        <w:tc>
          <w:tcPr>
            <w:tcW w:w="241"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381" w:type="dxa"/>
            <w:tcBorders/>
            <w:shd w:fill="E7E7E2" w:val="clear"/>
            <w:vAlign w:val="center"/>
          </w:tcPr>
          <w:p>
            <w:pPr>
              <w:pStyle w:val="TableContents"/>
              <w:bidi w:val="0"/>
              <w:spacing w:before="0" w:after="283"/>
              <w:jc w:val="left"/>
              <w:rPr/>
            </w:pPr>
            <w:r>
              <w:rPr/>
              <w:t xml:space="preserve">Common Stock, par value $0.001 per share to be issued pursuant to the Obsidian Therapeutics, Inc. 2026 Employee Stock Purchase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749,464 </w:t>
            </w:r>
          </w:p>
        </w:tc>
        <w:tc>
          <w:tcPr>
            <w:tcW w:w="1156" w:type="dxa"/>
            <w:tcBorders/>
            <w:shd w:fill="E7E7E2" w:val="clear"/>
            <w:vAlign w:val="center"/>
          </w:tcPr>
          <w:p>
            <w:pPr>
              <w:pStyle w:val="TableContents"/>
              <w:bidi w:val="0"/>
              <w:spacing w:before="0" w:after="283"/>
              <w:jc w:val="right"/>
              <w:rPr/>
            </w:pPr>
            <w:r>
              <w:rPr/>
              <w:t xml:space="preserve">$ 10.20 </w:t>
            </w:r>
          </w:p>
        </w:tc>
        <w:tc>
          <w:tcPr>
            <w:tcW w:w="1786" w:type="dxa"/>
            <w:tcBorders/>
            <w:shd w:fill="E7E7E2" w:val="clear"/>
            <w:vAlign w:val="center"/>
          </w:tcPr>
          <w:p>
            <w:pPr>
              <w:pStyle w:val="TableContents"/>
              <w:bidi w:val="0"/>
              <w:spacing w:before="0" w:after="283"/>
              <w:jc w:val="right"/>
              <w:rPr/>
            </w:pPr>
            <w:r>
              <w:rPr/>
              <w:t xml:space="preserve">$ 7,644,532.80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$ 1,055.71 </w:t>
            </w:r>
          </w:p>
        </w:tc>
      </w:tr>
      <w:tr>
        <w:trPr/>
        <w:tc>
          <w:tcPr>
            <w:tcW w:w="5030"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17" w:name="MaxAggtOfferingPrice"/>
            <w:bookmarkEnd w:id="17"/>
            <w:r>
              <w:rPr/>
              <w:t xml:space="preserve">$ 125,276,722.72 </w:t>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8" w:name="TotalFeeAmt"/>
            <w:bookmarkEnd w:id="18"/>
            <w:r>
              <w:rPr/>
              <w:t xml:space="preserve">$ 17,300.71 </w:t>
            </w:r>
          </w:p>
        </w:tc>
      </w:tr>
      <w:tr>
        <w:trPr/>
        <w:tc>
          <w:tcPr>
            <w:tcW w:w="5030"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19" w:name="TotalOffsetAmt"/>
            <w:bookmarkEnd w:id="19"/>
            <w:r>
              <w:rPr/>
              <w:t xml:space="preserve">$ 0.00 </w:t>
            </w:r>
          </w:p>
        </w:tc>
      </w:tr>
      <w:tr>
        <w:trPr/>
        <w:tc>
          <w:tcPr>
            <w:tcW w:w="5030"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20" w:name="NetFeeAmt"/>
            <w:bookmarkEnd w:id="20"/>
            <w:r>
              <w:rPr/>
              <w:t xml:space="preserve">$ 17,300.71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5"/>
        <w:gridCol w:w="8711"/>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Represents shares of common stock, par value $0.001 per share ("Common Stock"), of Obsidian Therapeutics, Inc. (the "Registrant"), issuable pursuant to equity awards granted under the Registrant's 2016 Stock Option and Grant Plan (the "2016 Plan"), which were assumed by the Registrant as a result of the Completed Transactions (as defined in this registration statement on Form S-8 (this "Registration Statement")). No further grants will be made under the 2016 Plan. To the extent outstanding awards granted under the 2016 Plan are forfeited, canceled, held back upon exercise of an option or settlement of an award to cover the exercise price or tax withholding, reacquired by the Registrant prior to vesting, satisfied without the issuance of Common Stock or otherwise terminated (other than by exercise), the number of shares underlying such awards will be available for future grant under the 2026 Plan (as defined below). Estimated solely for the purpose of calculating the registration fee pursuant to Rule 457(h) and 457(c) of the Securities Act of 1933, as amended (the "Securities Act"), and based on the weighted-average exercise price of $5.62 per share of Common Stock. Pursuant to Rule 416(a) under the Securities Act, this Registration Statement shall also cover any additional shares of Common Stock that become issuable under the 2016 Plan by reason of any stock dividend, stock split, recapitalization or other similar transaction.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6" w:type="dxa"/>
            <w:gridSpan w:val="2"/>
            <w:tcBorders/>
            <w:vAlign w:val="center"/>
          </w:tcPr>
          <w:p>
            <w:pPr>
              <w:pStyle w:val="TableContents"/>
              <w:bidi w:val="0"/>
              <w:spacing w:before="0" w:after="283"/>
              <w:jc w:val="left"/>
              <w:rPr/>
            </w:pPr>
            <w:r>
              <w:rPr/>
              <w:t xml:space="preserve">The amount registered represents 7,494,541 shares of Common Stock reserved for issuance pursuant to future awards under the Registrant's 2026 Equity Incentive Plan (the "2026 Plan"). The 2026 Plan provides that the number of shares reserved for issuance under the 2026 Plan will automatically increase on January 1 of each year, commencing on January 1, 2027, in an amount equal to (i) 5% of the number of Outstanding Shares (as defined in the 2026 Plan) on the immediately preceding December 31 or (ii) such lesser number of shares as determined by the Administrator (as defined in the 2026 Plan). Estimated solely for the purpose of calculating the registration fee pursuant to Rule 457(h) and 457(c) of the Securities Act, and based on $12.00, the initial reference price (the "Initial Reference Price") of one share of the Common Stock set forth in the Registrant's final prospectus on Form S-4, dated July 2, 2026 (the "S-4 Registration Statement"), relating to the Completed Transactions (as defined in this Registration Statement). Pursuant to Rule 416(a) under the Securities Act, this Registration Statement shall also cover any additional shares of Common Stock that become issuable under the 2026 Plan by reason of any stock dividend, stock split, recapitalization or other similar transaction.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6" w:type="dxa"/>
            <w:gridSpan w:val="2"/>
            <w:tcBorders/>
            <w:vAlign w:val="center"/>
          </w:tcPr>
          <w:p>
            <w:pPr>
              <w:pStyle w:val="TableContents"/>
              <w:bidi w:val="0"/>
              <w:spacing w:before="0" w:after="283"/>
              <w:jc w:val="left"/>
              <w:rPr/>
            </w:pPr>
            <w:r>
              <w:rPr/>
              <w:t xml:space="preserve">The amount registered represents 749,464 shares of Common Stock reserved for future issuance under the Registrant's 2026 Employee Stock Purchase Plan (the "2026 ESPP"). The 2026 ESPP provides that the number of shares reserved for issuance under the 2026 ESPP will automatically increase on January 1 of each year, beginning on January 1, 2027 and ending on (and including) January 1, 2036, by an amount equal to the least of (i) 1% of the number of Outstanding Shares (as defined in the 2026 ESPP) on the immediately preceding December 31, (ii) 759,452 shares of Common Stock and (iii) such number of shares of Common Stock as determined by the Administrator (as defined in the 2026 Plan). Estimated solely for the purpose of calculating the amount of the registration fee pursuant to Rule 457(h) and 457(c) of the Securities Act, based on 85% of the Initial Reference Price of one share of the Common Stock set forth in the S-4 Registration Statement. Pursuant to Rule 416(a) under the Securities Act, this Registration Statement shall also cover any additional shares of Common Stock that become issuable under the 2026 ESPP by reason of any stock dividend, stock split, recapitalization or other similar transaction.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130606/000119312526293383/d117787ds4a.htm" TargetMode="External"/><Relationship Id="rId3" Type="http://schemas.openxmlformats.org/officeDocument/2006/relationships/hyperlink" Target="http://www.sec.gov/Archives/edgar/data/../../../ix?doc=/Archives/edgar/data/2130606/000119312526330810/d309963d8k.htm" TargetMode="External"/><Relationship Id="rId4" Type="http://schemas.openxmlformats.org/officeDocument/2006/relationships/hyperlink" Target="http://www.sec.gov/Archives/edgar/data/2130606/000119312526329768/d227853d8a12ba.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114</Pages>
  <Words>49069</Words>
  <Characters>255073</Characters>
  <CharactersWithSpaces>304739</CharactersWithSpaces>
  <Paragraphs>1743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EX-99.3</dc:title>
</cp:coreProperties>
</file>