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27853d8a12ba.htm"/>
      <w:bookmarkStart w:id="1" w:name="ksd227853d8a12b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8-A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FOR REGISTRATION OF CERTAIN CLASSES OF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12(b) OR (g)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OBSIDIAN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42-1977778</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1030 Massachusetts Ave,</w:t>
            </w:r>
          </w:p>
          <w:p>
            <w:pPr>
              <w:pStyle w:val="TableContents"/>
              <w:bidi w:val="0"/>
              <w:spacing w:before="0" w:after="20"/>
              <w:jc w:val="center"/>
              <w:rPr>
                <w:rFonts w:ascii="Times New Roman" w:hAnsi="Times New Roman"/>
                <w:b/>
                <w:sz w:val="20"/>
              </w:rPr>
            </w:pPr>
            <w:r>
              <w:rPr>
                <w:rFonts w:ascii="Times New Roman" w:hAnsi="Times New Roman"/>
                <w:b/>
                <w:sz w:val="20"/>
              </w:rPr>
              <w:t xml:space="preserve">Cambridge, MA </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02138</w:t>
            </w:r>
          </w:p>
        </w:tc>
      </w:tr>
      <w:tr>
        <w:trPr/>
        <w:tc>
          <w:tcPr>
            <w:tcW w:w="5154" w:type="dxa"/>
            <w:tcBorders/>
          </w:tcPr>
          <w:p>
            <w:pPr>
              <w:pStyle w:val="TableContents"/>
              <w:bidi w:val="0"/>
              <w:spacing w:before="0" w:after="283"/>
              <w:jc w:val="center"/>
              <w:rPr>
                <w:b/>
              </w:rPr>
            </w:pPr>
            <w:r>
              <w:rPr>
                <w:b/>
              </w:rPr>
              <w:t>(Address of principal 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Title of each class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to be so registered</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 on which</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each class is to be registered</w:t>
            </w:r>
          </w:p>
        </w:tc>
      </w:tr>
      <w:tr>
        <w:trPr/>
        <w:tc>
          <w:tcPr>
            <w:tcW w:w="5154" w:type="dxa"/>
            <w:tcBorders/>
          </w:tcPr>
          <w:p>
            <w:pPr>
              <w:pStyle w:val="TableContents"/>
              <w:bidi w:val="0"/>
              <w:spacing w:before="0" w:after="283"/>
              <w:jc w:val="center"/>
              <w:rPr>
                <w:b/>
              </w:rPr>
            </w:pPr>
            <w:r>
              <w:rPr>
                <w:b/>
              </w:rPr>
              <w:t>Common Stock, par value $0.001 per share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The Nasdaq Stock Market LLC</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12(b) of the Exchange Act and is effective pursuant to General Instruction A.(c) or (e),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12(g) of the Exchange Act and is effective pursuant to General Instruction A.(d) or (e),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concurrently with a Regulation A offering, check the following box. ☐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Act registration statement or Regulation A offering statement file number to which this form relates: </w:t>
      </w:r>
    </w:p>
    <w:p>
      <w:pPr>
        <w:pStyle w:val="TextBody"/>
        <w:bidi w:val="0"/>
        <w:spacing w:before="0" w:after="0"/>
        <w:jc w:val="center"/>
        <w:rPr>
          <w:rFonts w:ascii="Times New Roman" w:hAnsi="Times New Roman"/>
          <w:b/>
          <w:sz w:val="20"/>
        </w:rPr>
      </w:pPr>
      <w:r>
        <w:rPr>
          <w:rFonts w:ascii="Times New Roman" w:hAnsi="Times New Roman"/>
          <w:b/>
          <w:sz w:val="20"/>
        </w:rPr>
        <w:t xml:space="preserve">333-295249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12(g) of the Act: </w:t>
      </w:r>
    </w:p>
    <w:p>
      <w:pPr>
        <w:pStyle w:val="TextBody"/>
        <w:bidi w:val="0"/>
        <w:spacing w:before="0" w:after="0"/>
        <w:jc w:val="center"/>
        <w:rPr>
          <w:rFonts w:ascii="Times New Roman" w:hAnsi="Times New Roman"/>
          <w:b/>
          <w:sz w:val="20"/>
        </w:rPr>
      </w:pPr>
      <w:r>
        <w:rPr>
          <w:rFonts w:ascii="Times New Roman" w:hAnsi="Times New Roman"/>
          <w:b/>
          <w:sz w:val="20"/>
        </w:rPr>
        <w:t xml:space="preserve">None.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EXPLANATORY NOTE </w:t>
      </w:r>
    </w:p>
    <w:p>
      <w:pPr>
        <w:pStyle w:val="TextBody"/>
        <w:bidi w:val="0"/>
        <w:spacing w:before="120" w:after="0"/>
        <w:jc w:val="left"/>
        <w:rPr>
          <w:rFonts w:ascii="Times New Roman" w:hAnsi="Times New Roman"/>
          <w:sz w:val="20"/>
        </w:rPr>
      </w:pPr>
      <w:r>
        <w:rPr>
          <w:rFonts w:ascii="Times New Roman" w:hAnsi="Times New Roman"/>
          <w:sz w:val="20"/>
        </w:rPr>
        <w:t xml:space="preserve">This Form 8-A/A is being filed to update the corporate name and contact information for the Registrant (as defined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1. Description of Registrant’s Securities to be Registered. </w:t>
      </w:r>
    </w:p>
    <w:p>
      <w:pPr>
        <w:pStyle w:val="TextBody"/>
        <w:bidi w:val="0"/>
        <w:spacing w:before="120" w:after="0"/>
        <w:jc w:val="left"/>
        <w:rPr>
          <w:rFonts w:ascii="Times New Roman" w:hAnsi="Times New Roman"/>
          <w:sz w:val="20"/>
        </w:rPr>
      </w:pPr>
      <w:r>
        <w:rPr>
          <w:rFonts w:ascii="Times New Roman" w:hAnsi="Times New Roman"/>
          <w:sz w:val="20"/>
        </w:rPr>
        <w:t xml:space="preserve">Obsidian Therapeutics, Inc., formerly known as Gazelle Parent, Inc. (the “Registrant”), hereby incorporates by reference the description of its common stock, par value $0.001 per share, to be registered hereunder contained under the heading “Description of Parent Capital Stock” in the Registrant’s Registration Statement on Form S-4 (File No. 333-295249), as initially filed publicly with the Securities and Exchange Commission (the “Commission”) on April 22, 2026 as amended (the “Registration Statement”), and in the prospectus included in the Registration Statement filed separately by the Registrant with the Commission pursuant to Rule 424(b) under the Securities Act of 1933, as amended, which prospectus shall be deemed to be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2. Exhibits.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“Instructions as to Exhibits” with respect to Form 8-A, no exhibits are required to be filed as part of this registration statement because no other securities of the Registrant are registered on The Nasdaq Stock Market LLC and the securities registered hereby are not being registered pursuant to Section 12(g) of the Securities Exchange Act of 1934, as amended.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12 of the Securities Exchange Act of 1934, the registrant has duly caused this registration statement to be signed on its behalf by the undersigned, thereto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93"/>
        <w:gridCol w:w="111"/>
        <w:gridCol w:w="382"/>
        <w:gridCol w:w="111"/>
        <w:gridCol w:w="665"/>
        <w:gridCol w:w="111"/>
        <w:gridCol w:w="4532"/>
      </w:tblGrid>
      <w:tr>
        <w:trPr/>
        <w:tc>
          <w:tcPr>
            <w:tcW w:w="4293"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532" w:type="dxa"/>
            <w:tcBorders/>
            <w:vAlign w:val="center"/>
          </w:tcPr>
          <w:p>
            <w:pPr>
              <w:pStyle w:val="TableContents"/>
              <w:bidi w:val="0"/>
              <w:spacing w:before="0" w:after="283"/>
              <w:jc w:val="left"/>
              <w:rPr>
                <w:sz w:val="4"/>
                <w:szCs w:val="4"/>
              </w:rPr>
            </w:pPr>
            <w:r>
              <w:rPr>
                <w:sz w:val="4"/>
                <w:szCs w:val="4"/>
              </w:rPr>
            </w:r>
          </w:p>
        </w:tc>
      </w:tr>
      <w:tr>
        <w:trPr/>
        <w:tc>
          <w:tcPr>
            <w:tcW w:w="4293" w:type="dxa"/>
            <w:tcBorders/>
          </w:tcPr>
          <w:p>
            <w:pPr>
              <w:pStyle w:val="TableContents"/>
              <w:bidi w:val="0"/>
              <w:spacing w:before="0" w:after="283"/>
              <w:jc w:val="left"/>
              <w:rPr/>
            </w:pPr>
            <w:r>
              <w:rPr/>
              <w:t>Date: August 3, 2026</w:t>
            </w:r>
          </w:p>
        </w:tc>
        <w:tc>
          <w:tcPr>
            <w:tcW w:w="111" w:type="dxa"/>
            <w:tcBorders/>
            <w:vAlign w:val="bottom"/>
          </w:tcPr>
          <w:p>
            <w:pPr>
              <w:pStyle w:val="TableContents"/>
              <w:bidi w:val="0"/>
              <w:spacing w:before="0" w:after="283"/>
              <w:jc w:val="left"/>
              <w:rPr/>
            </w:pPr>
            <w:r>
              <w:rPr/>
              <w:t> </w:t>
            </w:r>
          </w:p>
        </w:tc>
        <w:tc>
          <w:tcPr>
            <w:tcW w:w="38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308" w:type="dxa"/>
            <w:gridSpan w:val="3"/>
            <w:tcBorders/>
          </w:tcPr>
          <w:p>
            <w:pPr>
              <w:pStyle w:val="TableContents"/>
              <w:bidi w:val="0"/>
              <w:spacing w:before="0" w:after="283"/>
              <w:jc w:val="left"/>
              <w:rPr>
                <w:b/>
              </w:rPr>
            </w:pPr>
            <w:r>
              <w:rPr>
                <w:b/>
              </w:rPr>
              <w:t>OBSIDIAN THERAPEUTICS, INC.</w:t>
            </w:r>
          </w:p>
        </w:tc>
      </w:tr>
      <w:tr>
        <w:trPr>
          <w:trHeight w:val="240" w:hRule="atLeast"/>
        </w:trPr>
        <w:tc>
          <w:tcPr>
            <w:tcW w:w="4293" w:type="dxa"/>
            <w:tcBorders/>
            <w:vAlign w:val="center"/>
          </w:tcPr>
          <w:p>
            <w:pPr>
              <w:pStyle w:val="TableContents"/>
              <w:bidi w:val="0"/>
              <w:spacing w:before="0" w:after="283"/>
              <w:jc w:val="left"/>
              <w:rPr>
                <w:sz w:val="4"/>
                <w:szCs w:val="4"/>
              </w:rPr>
            </w:pPr>
            <w:r>
              <w:rPr>
                <w:sz w:val="4"/>
                <w:szCs w:val="4"/>
              </w:rPr>
            </w:r>
          </w:p>
        </w:tc>
        <w:tc>
          <w:tcPr>
            <w:tcW w:w="493" w:type="dxa"/>
            <w:gridSpan w:val="2"/>
            <w:tcBorders/>
            <w:vAlign w:val="center"/>
          </w:tcPr>
          <w:p>
            <w:pPr>
              <w:pStyle w:val="TableContents"/>
              <w:bidi w:val="0"/>
              <w:spacing w:before="0" w:after="283"/>
              <w:jc w:val="left"/>
              <w:rPr>
                <w:sz w:val="4"/>
                <w:szCs w:val="4"/>
              </w:rPr>
            </w:pPr>
            <w:r>
              <w:rPr>
                <w:sz w:val="4"/>
                <w:szCs w:val="4"/>
              </w:rPr>
            </w:r>
          </w:p>
        </w:tc>
        <w:tc>
          <w:tcPr>
            <w:tcW w:w="776" w:type="dxa"/>
            <w:gridSpan w:val="2"/>
            <w:tcBorders/>
            <w:vAlign w:val="center"/>
          </w:tcPr>
          <w:p>
            <w:pPr>
              <w:pStyle w:val="TableContents"/>
              <w:bidi w:val="0"/>
              <w:spacing w:before="0" w:after="283"/>
              <w:jc w:val="left"/>
              <w:rPr>
                <w:sz w:val="4"/>
                <w:szCs w:val="4"/>
              </w:rPr>
            </w:pPr>
            <w:r>
              <w:rPr>
                <w:sz w:val="4"/>
                <w:szCs w:val="4"/>
              </w:rPr>
            </w:r>
          </w:p>
        </w:tc>
        <w:tc>
          <w:tcPr>
            <w:tcW w:w="4643" w:type="dxa"/>
            <w:gridSpan w:val="2"/>
            <w:tcBorders/>
            <w:vAlign w:val="center"/>
          </w:tcPr>
          <w:p>
            <w:pPr>
              <w:pStyle w:val="TableContents"/>
              <w:bidi w:val="0"/>
              <w:spacing w:before="0" w:after="283"/>
              <w:jc w:val="left"/>
              <w:rPr>
                <w:sz w:val="4"/>
                <w:szCs w:val="4"/>
              </w:rPr>
            </w:pPr>
            <w:r>
              <w:rPr>
                <w:sz w:val="4"/>
                <w:szCs w:val="4"/>
              </w:rPr>
            </w:r>
          </w:p>
        </w:tc>
      </w:tr>
      <w:tr>
        <w:trPr/>
        <w:tc>
          <w:tcPr>
            <w:tcW w:w="429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By:</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4532" w:type="dxa"/>
            <w:tcBorders>
              <w:bottom w:val="single" w:sz="2" w:space="0" w:color="000000"/>
            </w:tcBorders>
            <w:tcMar>
              <w:bottom w:w="28" w:type="dxa"/>
            </w:tcMar>
          </w:tcPr>
          <w:p>
            <w:pPr>
              <w:pStyle w:val="TableContents"/>
              <w:bidi w:val="0"/>
              <w:spacing w:before="0" w:after="283"/>
              <w:jc w:val="left"/>
              <w:rPr/>
            </w:pPr>
            <w:r>
              <w:rPr/>
              <w:t>/s/ Julie Feder</w:t>
            </w:r>
          </w:p>
        </w:tc>
      </w:tr>
      <w:tr>
        <w:trPr/>
        <w:tc>
          <w:tcPr>
            <w:tcW w:w="429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4532" w:type="dxa"/>
            <w:tcBorders/>
          </w:tcPr>
          <w:p>
            <w:pPr>
              <w:pStyle w:val="TableContents"/>
              <w:bidi w:val="0"/>
              <w:spacing w:before="0" w:after="283"/>
              <w:jc w:val="left"/>
              <w:rPr/>
            </w:pPr>
            <w:r>
              <w:rPr/>
              <w:t>Julie Feder</w:t>
            </w:r>
          </w:p>
        </w:tc>
      </w:tr>
      <w:tr>
        <w:trPr/>
        <w:tc>
          <w:tcPr>
            <w:tcW w:w="429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4532" w:type="dxa"/>
            <w:tcBorders/>
          </w:tcPr>
          <w:p>
            <w:pPr>
              <w:pStyle w:val="TableContents"/>
              <w:bidi w:val="0"/>
              <w:spacing w:before="0" w:after="283"/>
              <w:jc w:val="left"/>
              <w:rPr/>
            </w:pPr>
            <w:r>
              <w:rPr/>
              <w:t>Chief Financial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499</Words>
  <Characters>2716</Characters>
  <CharactersWithSpaces>3228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8-A12B/A</dc:title>
</cp:coreProperties>
</file>